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5AA114">
      <w:pPr>
        <w:jc w:val="center"/>
        <w:rPr>
          <w:color w:val="auto"/>
          <w:sz w:val="30"/>
          <w:szCs w:val="30"/>
        </w:rPr>
      </w:pPr>
      <w:r>
        <w:rPr>
          <w:color w:val="auto"/>
          <w:sz w:val="30"/>
          <w:szCs w:val="30"/>
        </w:rPr>
        <w:t>Supporting information</w:t>
      </w:r>
    </w:p>
    <w:p w14:paraId="1AE25DE6">
      <w:pPr>
        <w:rPr>
          <w:color w:val="auto"/>
          <w:sz w:val="30"/>
          <w:szCs w:val="30"/>
        </w:rPr>
      </w:pPr>
    </w:p>
    <w:p w14:paraId="79390E07">
      <w:pPr>
        <w:rPr>
          <w:rFonts w:ascii="Times New Roman Bold" w:hAnsi="Times New Roman Bold" w:eastAsia="等线" w:cs="Times New Roman Bold"/>
          <w:b w:val="0"/>
          <w:bCs w:val="0"/>
          <w:color w:val="auto"/>
          <w:sz w:val="24"/>
          <w:szCs w:val="24"/>
          <w:lang w:bidi="ar"/>
        </w:rPr>
      </w:pPr>
      <w:bookmarkStart w:id="0" w:name="OLE_LINK23"/>
      <w:r>
        <w:rPr>
          <w:rFonts w:ascii="Times New Roman Bold" w:hAnsi="Times New Roman Bold" w:eastAsia="等线" w:cs="Times New Roman Bold"/>
          <w:b w:val="0"/>
          <w:bCs w:val="0"/>
          <w:color w:val="auto"/>
          <w:sz w:val="24"/>
          <w:szCs w:val="24"/>
          <w:lang w:bidi="ar"/>
        </w:rPr>
        <w:t>Copper-</w:t>
      </w:r>
      <w:r>
        <w:rPr>
          <w:rFonts w:hint="eastAsia" w:ascii="Times New Roman Bold" w:hAnsi="Times New Roman Bold" w:eastAsia="等线" w:cs="Times New Roman Bold"/>
          <w:b w:val="0"/>
          <w:bCs w:val="0"/>
          <w:color w:val="auto"/>
          <w:sz w:val="24"/>
          <w:szCs w:val="24"/>
          <w:lang w:bidi="ar"/>
        </w:rPr>
        <w:t xml:space="preserve">coordination </w:t>
      </w:r>
      <w:r>
        <w:rPr>
          <w:rFonts w:ascii="Times New Roman Bold" w:hAnsi="Times New Roman Bold" w:eastAsia="等线" w:cs="Times New Roman Bold"/>
          <w:b w:val="0"/>
          <w:bCs w:val="0"/>
          <w:color w:val="auto"/>
          <w:sz w:val="24"/>
          <w:szCs w:val="24"/>
          <w:lang w:bidi="ar"/>
        </w:rPr>
        <w:t>D</w:t>
      </w:r>
      <w:r>
        <w:rPr>
          <w:rFonts w:hint="eastAsia" w:ascii="Times New Roman Bold" w:hAnsi="Times New Roman Bold" w:eastAsia="等线" w:cs="Times New Roman Bold"/>
          <w:b w:val="0"/>
          <w:bCs w:val="0"/>
          <w:color w:val="auto"/>
          <w:sz w:val="24"/>
          <w:szCs w:val="24"/>
          <w:lang w:bidi="ar"/>
        </w:rPr>
        <w:t>riven</w:t>
      </w:r>
      <w:r>
        <w:rPr>
          <w:rFonts w:ascii="Times New Roman Bold" w:hAnsi="Times New Roman Bold" w:eastAsia="等线" w:cs="Times New Roman Bold"/>
          <w:b w:val="0"/>
          <w:bCs w:val="0"/>
          <w:color w:val="auto"/>
          <w:sz w:val="24"/>
          <w:szCs w:val="24"/>
          <w:lang w:bidi="ar"/>
        </w:rPr>
        <w:t xml:space="preserve"> Br</w:t>
      </w:r>
      <w:r>
        <w:rPr>
          <w:rFonts w:hint="eastAsia" w:ascii="Times New Roman Bold" w:hAnsi="Times New Roman Bold" w:eastAsia="等线" w:cs="Times New Roman Bold"/>
          <w:b w:val="0"/>
          <w:bCs w:val="0"/>
          <w:color w:val="auto"/>
          <w:sz w:val="24"/>
          <w:szCs w:val="24"/>
          <w:lang w:bidi="ar"/>
        </w:rPr>
        <w:t>a</w:t>
      </w:r>
      <w:r>
        <w:rPr>
          <w:rFonts w:ascii="Times New Roman Bold" w:hAnsi="Times New Roman Bold" w:eastAsia="等线" w:cs="Times New Roman Bold"/>
          <w:b w:val="0"/>
          <w:bCs w:val="0"/>
          <w:color w:val="auto"/>
          <w:sz w:val="24"/>
          <w:szCs w:val="24"/>
          <w:lang w:bidi="ar"/>
        </w:rPr>
        <w:t>in-targeting Nanoassembl</w:t>
      </w:r>
      <w:r>
        <w:rPr>
          <w:rFonts w:hint="eastAsia" w:ascii="Times New Roman Bold" w:hAnsi="Times New Roman Bold" w:eastAsia="等线" w:cs="Times New Roman Bold"/>
          <w:b w:val="0"/>
          <w:bCs w:val="0"/>
          <w:color w:val="auto"/>
          <w:sz w:val="24"/>
          <w:szCs w:val="24"/>
          <w:lang w:bidi="ar"/>
        </w:rPr>
        <w:t>y</w:t>
      </w:r>
      <w:r>
        <w:rPr>
          <w:rFonts w:ascii="Times New Roman Bold" w:hAnsi="Times New Roman Bold" w:eastAsia="等线" w:cs="Times New Roman Bold"/>
          <w:b w:val="0"/>
          <w:bCs w:val="0"/>
          <w:color w:val="auto"/>
          <w:sz w:val="24"/>
          <w:szCs w:val="24"/>
          <w:lang w:bidi="ar"/>
        </w:rPr>
        <w:t xml:space="preserve"> for Efficient Glioblastoma Multiforme Immunotherapy </w:t>
      </w:r>
      <w:r>
        <w:rPr>
          <w:rFonts w:hint="eastAsia" w:ascii="Times New Roman Bold" w:hAnsi="Times New Roman Bold" w:eastAsia="等线" w:cs="Times New Roman Bold"/>
          <w:b w:val="0"/>
          <w:bCs w:val="0"/>
          <w:color w:val="auto"/>
          <w:sz w:val="24"/>
          <w:szCs w:val="24"/>
          <w:lang w:bidi="ar"/>
        </w:rPr>
        <w:t>by</w:t>
      </w:r>
      <w:r>
        <w:rPr>
          <w:rFonts w:ascii="Times New Roman Bold" w:hAnsi="Times New Roman Bold" w:eastAsia="等线" w:cs="Times New Roman Bold"/>
          <w:b w:val="0"/>
          <w:bCs w:val="0"/>
          <w:color w:val="auto"/>
          <w:sz w:val="24"/>
          <w:szCs w:val="24"/>
          <w:lang w:bidi="ar"/>
        </w:rPr>
        <w:t xml:space="preserve"> </w:t>
      </w:r>
      <w:r>
        <w:rPr>
          <w:rFonts w:hint="eastAsia" w:ascii="Times New Roman Bold" w:hAnsi="Times New Roman Bold" w:eastAsia="等线" w:cs="Times New Roman Bold"/>
          <w:b w:val="0"/>
          <w:bCs w:val="0"/>
          <w:color w:val="auto"/>
          <w:sz w:val="24"/>
          <w:szCs w:val="24"/>
          <w:lang w:bidi="ar"/>
        </w:rPr>
        <w:t>Cuproptosis</w:t>
      </w:r>
      <w:r>
        <w:rPr>
          <w:rFonts w:ascii="Times New Roman Bold" w:hAnsi="Times New Roman Bold" w:eastAsia="等线" w:cs="Times New Roman Bold"/>
          <w:b w:val="0"/>
          <w:bCs w:val="0"/>
          <w:color w:val="auto"/>
          <w:sz w:val="24"/>
          <w:szCs w:val="24"/>
          <w:lang w:bidi="ar"/>
        </w:rPr>
        <w:t>-mediated</w:t>
      </w:r>
      <w:r>
        <w:rPr>
          <w:rFonts w:hint="eastAsia" w:ascii="Times New Roman Bold" w:hAnsi="Times New Roman Bold" w:eastAsia="等线" w:cs="Times New Roman Bold"/>
          <w:b w:val="0"/>
          <w:bCs w:val="0"/>
          <w:color w:val="auto"/>
          <w:sz w:val="24"/>
          <w:szCs w:val="24"/>
          <w:lang w:bidi="ar"/>
        </w:rPr>
        <w:t xml:space="preserve"> </w:t>
      </w:r>
      <w:r>
        <w:rPr>
          <w:rFonts w:ascii="Times New Roman Bold" w:hAnsi="Times New Roman Bold" w:eastAsia="等线" w:cs="Times New Roman Bold"/>
          <w:b w:val="0"/>
          <w:bCs w:val="0"/>
          <w:color w:val="auto"/>
          <w:sz w:val="24"/>
          <w:szCs w:val="24"/>
          <w:lang w:bidi="ar"/>
        </w:rPr>
        <w:t>T</w:t>
      </w:r>
      <w:r>
        <w:rPr>
          <w:rFonts w:hint="eastAsia" w:ascii="Times New Roman Bold" w:hAnsi="Times New Roman Bold" w:eastAsia="等线" w:cs="Times New Roman Bold"/>
          <w:b w:val="0"/>
          <w:bCs w:val="0"/>
          <w:color w:val="auto"/>
          <w:sz w:val="24"/>
          <w:szCs w:val="24"/>
          <w:lang w:bidi="ar"/>
        </w:rPr>
        <w:t xml:space="preserve">umor </w:t>
      </w:r>
      <w:r>
        <w:rPr>
          <w:rFonts w:ascii="Times New Roman Bold" w:hAnsi="Times New Roman Bold" w:eastAsia="等线" w:cs="Times New Roman Bold"/>
          <w:b w:val="0"/>
          <w:bCs w:val="0"/>
          <w:color w:val="auto"/>
          <w:sz w:val="24"/>
          <w:szCs w:val="24"/>
          <w:lang w:bidi="ar"/>
        </w:rPr>
        <w:t>I</w:t>
      </w:r>
      <w:r>
        <w:rPr>
          <w:rFonts w:hint="eastAsia" w:ascii="Times New Roman Bold" w:hAnsi="Times New Roman Bold" w:eastAsia="等线" w:cs="Times New Roman Bold"/>
          <w:b w:val="0"/>
          <w:bCs w:val="0"/>
          <w:color w:val="auto"/>
          <w:sz w:val="24"/>
          <w:szCs w:val="24"/>
          <w:lang w:bidi="ar"/>
        </w:rPr>
        <w:t xml:space="preserve">mmune </w:t>
      </w:r>
      <w:r>
        <w:rPr>
          <w:rFonts w:ascii="Times New Roman Bold" w:hAnsi="Times New Roman Bold" w:eastAsia="等线" w:cs="Times New Roman Bold"/>
          <w:b w:val="0"/>
          <w:bCs w:val="0"/>
          <w:color w:val="auto"/>
          <w:sz w:val="24"/>
          <w:szCs w:val="24"/>
          <w:lang w:bidi="ar"/>
        </w:rPr>
        <w:t>M</w:t>
      </w:r>
      <w:r>
        <w:rPr>
          <w:rFonts w:hint="eastAsia" w:ascii="Times New Roman Bold" w:hAnsi="Times New Roman Bold" w:eastAsia="等线" w:cs="Times New Roman Bold"/>
          <w:b w:val="0"/>
          <w:bCs w:val="0"/>
          <w:color w:val="auto"/>
          <w:sz w:val="24"/>
          <w:szCs w:val="24"/>
          <w:lang w:bidi="ar"/>
        </w:rPr>
        <w:t>icroenvironment</w:t>
      </w:r>
      <w:r>
        <w:rPr>
          <w:rFonts w:ascii="Times New Roman Bold" w:hAnsi="Times New Roman Bold" w:eastAsia="等线" w:cs="Times New Roman Bold"/>
          <w:b w:val="0"/>
          <w:bCs w:val="0"/>
          <w:color w:val="auto"/>
          <w:sz w:val="24"/>
          <w:szCs w:val="24"/>
          <w:lang w:bidi="ar"/>
        </w:rPr>
        <w:t xml:space="preserve"> </w:t>
      </w:r>
      <w:r>
        <w:rPr>
          <w:rFonts w:hint="eastAsia" w:ascii="Times New Roman Bold" w:hAnsi="Times New Roman Bold" w:eastAsia="等线" w:cs="Times New Roman Bold"/>
          <w:b w:val="0"/>
          <w:bCs w:val="0"/>
          <w:color w:val="auto"/>
          <w:sz w:val="24"/>
          <w:szCs w:val="24"/>
          <w:lang w:bidi="ar"/>
        </w:rPr>
        <w:t>Reprogramming</w:t>
      </w:r>
    </w:p>
    <w:bookmarkEnd w:id="0"/>
    <w:p w14:paraId="1CDC1BB4">
      <w:pPr>
        <w:rPr>
          <w:rFonts w:eastAsia="等线"/>
          <w:b w:val="0"/>
          <w:bCs w:val="0"/>
          <w:color w:val="auto"/>
          <w:sz w:val="24"/>
          <w:szCs w:val="24"/>
          <w:lang w:bidi="ar"/>
        </w:rPr>
      </w:pPr>
      <w:r>
        <w:rPr>
          <w:rFonts w:eastAsia="等线"/>
          <w:b w:val="0"/>
          <w:bCs w:val="0"/>
          <w:color w:val="auto"/>
          <w:sz w:val="24"/>
          <w:szCs w:val="24"/>
          <w:lang w:bidi="ar"/>
        </w:rPr>
        <w:t>Yang Chen</w:t>
      </w:r>
      <w:r>
        <w:rPr>
          <w:rFonts w:eastAsia="等线"/>
          <w:b w:val="0"/>
          <w:bCs w:val="0"/>
          <w:color w:val="auto"/>
          <w:sz w:val="24"/>
          <w:szCs w:val="24"/>
          <w:vertAlign w:val="superscript"/>
          <w:lang w:bidi="ar"/>
        </w:rPr>
        <w:t>1#</w:t>
      </w:r>
      <w:r>
        <w:rPr>
          <w:rFonts w:eastAsia="等线"/>
          <w:b w:val="0"/>
          <w:bCs w:val="0"/>
          <w:color w:val="auto"/>
          <w:sz w:val="24"/>
          <w:szCs w:val="24"/>
          <w:lang w:bidi="ar"/>
        </w:rPr>
        <w:t>, Hailong Tian</w:t>
      </w:r>
      <w:r>
        <w:rPr>
          <w:rFonts w:eastAsia="等线"/>
          <w:b w:val="0"/>
          <w:bCs w:val="0"/>
          <w:color w:val="auto"/>
          <w:sz w:val="24"/>
          <w:szCs w:val="24"/>
          <w:vertAlign w:val="superscript"/>
          <w:lang w:bidi="ar"/>
        </w:rPr>
        <w:t>2#</w:t>
      </w:r>
      <w:r>
        <w:rPr>
          <w:rFonts w:eastAsia="等线"/>
          <w:b w:val="0"/>
          <w:bCs w:val="0"/>
          <w:color w:val="auto"/>
          <w:sz w:val="24"/>
          <w:szCs w:val="24"/>
          <w:lang w:bidi="ar"/>
        </w:rPr>
        <w:t>,</w:t>
      </w:r>
      <w:r>
        <w:rPr>
          <w:rFonts w:hint="eastAsia" w:eastAsia="等线"/>
          <w:b w:val="0"/>
          <w:bCs w:val="0"/>
          <w:color w:val="auto"/>
          <w:sz w:val="24"/>
          <w:szCs w:val="24"/>
          <w:lang w:bidi="ar"/>
        </w:rPr>
        <w:t xml:space="preserve"> Xiaodian Zhang</w:t>
      </w:r>
      <w:r>
        <w:rPr>
          <w:rFonts w:hint="eastAsia" w:eastAsia="等线"/>
          <w:b w:val="0"/>
          <w:bCs w:val="0"/>
          <w:color w:val="auto"/>
          <w:sz w:val="24"/>
          <w:szCs w:val="24"/>
          <w:vertAlign w:val="superscript"/>
          <w:lang w:bidi="ar"/>
        </w:rPr>
        <w:t>3#</w:t>
      </w:r>
      <w:r>
        <w:rPr>
          <w:rFonts w:hint="eastAsia" w:eastAsia="等线"/>
          <w:b w:val="0"/>
          <w:bCs w:val="0"/>
          <w:color w:val="auto"/>
          <w:sz w:val="24"/>
          <w:szCs w:val="24"/>
          <w:lang w:bidi="ar"/>
        </w:rPr>
        <w:t>,</w:t>
      </w:r>
      <w:r>
        <w:rPr>
          <w:rFonts w:eastAsia="等线"/>
          <w:b w:val="0"/>
          <w:bCs w:val="0"/>
          <w:color w:val="auto"/>
          <w:sz w:val="24"/>
          <w:szCs w:val="24"/>
          <w:lang w:bidi="ar"/>
        </w:rPr>
        <w:t xml:space="preserve"> Edouard C. Nice</w:t>
      </w:r>
      <w:r>
        <w:rPr>
          <w:rFonts w:hint="eastAsia" w:eastAsia="等线"/>
          <w:b w:val="0"/>
          <w:bCs w:val="0"/>
          <w:color w:val="auto"/>
          <w:sz w:val="24"/>
          <w:szCs w:val="24"/>
          <w:vertAlign w:val="superscript"/>
          <w:lang w:bidi="ar"/>
        </w:rPr>
        <w:t>4</w:t>
      </w:r>
      <w:r>
        <w:rPr>
          <w:rFonts w:eastAsia="等线"/>
          <w:b w:val="0"/>
          <w:bCs w:val="0"/>
          <w:color w:val="auto"/>
          <w:sz w:val="24"/>
          <w:szCs w:val="24"/>
          <w:lang w:bidi="ar"/>
        </w:rPr>
        <w:t>, Canhua Huang</w:t>
      </w:r>
      <w:r>
        <w:rPr>
          <w:rFonts w:eastAsia="等线"/>
          <w:b w:val="0"/>
          <w:bCs w:val="0"/>
          <w:color w:val="auto"/>
          <w:sz w:val="24"/>
          <w:szCs w:val="24"/>
          <w:vertAlign w:val="superscript"/>
          <w:lang w:bidi="ar"/>
        </w:rPr>
        <w:t>1,2</w:t>
      </w:r>
      <w:r>
        <w:rPr>
          <w:rFonts w:eastAsia="等线"/>
          <w:b w:val="0"/>
          <w:bCs w:val="0"/>
          <w:color w:val="auto"/>
          <w:sz w:val="24"/>
          <w:szCs w:val="24"/>
          <w:lang w:bidi="ar"/>
        </w:rPr>
        <w:t>,</w:t>
      </w:r>
      <w:r>
        <w:rPr>
          <w:rFonts w:hint="eastAsia" w:eastAsia="等线"/>
          <w:b w:val="0"/>
          <w:bCs w:val="0"/>
          <w:color w:val="auto"/>
          <w:sz w:val="24"/>
          <w:szCs w:val="24"/>
          <w:lang w:bidi="ar"/>
        </w:rPr>
        <w:t xml:space="preserve"> </w:t>
      </w:r>
      <w:r>
        <w:rPr>
          <w:rFonts w:eastAsia="等线"/>
          <w:b w:val="0"/>
          <w:bCs w:val="0"/>
          <w:color w:val="auto"/>
          <w:sz w:val="24"/>
          <w:szCs w:val="24"/>
          <w:lang w:bidi="ar"/>
        </w:rPr>
        <w:t>Haiyuan Zhang</w:t>
      </w:r>
      <w:r>
        <w:rPr>
          <w:rFonts w:hint="eastAsia" w:eastAsia="等线"/>
          <w:b w:val="0"/>
          <w:bCs w:val="0"/>
          <w:color w:val="auto"/>
          <w:sz w:val="24"/>
          <w:szCs w:val="24"/>
          <w:vertAlign w:val="superscript"/>
          <w:lang w:bidi="ar"/>
        </w:rPr>
        <w:t>5</w:t>
      </w:r>
      <w:r>
        <w:rPr>
          <w:rFonts w:eastAsia="等线"/>
          <w:b w:val="0"/>
          <w:bCs w:val="0"/>
          <w:color w:val="auto"/>
          <w:sz w:val="24"/>
          <w:szCs w:val="24"/>
          <w:lang w:bidi="ar"/>
        </w:rPr>
        <w:t>*, Shaojiang Zheng</w:t>
      </w:r>
      <w:r>
        <w:rPr>
          <w:rFonts w:hint="eastAsia" w:eastAsia="等线"/>
          <w:b w:val="0"/>
          <w:bCs w:val="0"/>
          <w:color w:val="auto"/>
          <w:sz w:val="24"/>
          <w:szCs w:val="24"/>
          <w:vertAlign w:val="superscript"/>
          <w:lang w:bidi="ar"/>
        </w:rPr>
        <w:t>3</w:t>
      </w:r>
      <w:r>
        <w:rPr>
          <w:rFonts w:eastAsia="等线"/>
          <w:b w:val="0"/>
          <w:bCs w:val="0"/>
          <w:color w:val="auto"/>
          <w:sz w:val="24"/>
          <w:szCs w:val="24"/>
          <w:lang w:bidi="ar"/>
        </w:rPr>
        <w:t>*</w:t>
      </w:r>
    </w:p>
    <w:p w14:paraId="431F974A">
      <w:pPr>
        <w:rPr>
          <w:rFonts w:eastAsia="等线"/>
          <w:b w:val="0"/>
          <w:bCs w:val="0"/>
          <w:color w:val="auto"/>
          <w:sz w:val="24"/>
          <w:szCs w:val="24"/>
          <w:lang w:bidi="ar"/>
        </w:rPr>
      </w:pPr>
    </w:p>
    <w:p w14:paraId="2DFBD5FD">
      <w:pPr>
        <w:rPr>
          <w:rFonts w:ascii="Times New Roman Italic" w:hAnsi="Times New Roman Italic" w:cs="Times New Roman Italic"/>
          <w:b w:val="0"/>
          <w:bCs w:val="0"/>
          <w:i/>
          <w:iCs/>
          <w:color w:val="auto"/>
          <w:sz w:val="24"/>
          <w:szCs w:val="24"/>
        </w:rPr>
      </w:pPr>
      <w:r>
        <w:rPr>
          <w:rFonts w:ascii="Times New Roman Italic" w:hAnsi="Times New Roman Italic" w:cs="Times New Roman Italic"/>
          <w:b w:val="0"/>
          <w:bCs w:val="0"/>
          <w:i/>
          <w:iCs/>
          <w:color w:val="auto"/>
          <w:sz w:val="24"/>
          <w:szCs w:val="24"/>
          <w:vertAlign w:val="superscript"/>
        </w:rPr>
        <w:t>1</w:t>
      </w:r>
      <w:r>
        <w:rPr>
          <w:rFonts w:ascii="Times New Roman Italic" w:hAnsi="Times New Roman Italic" w:cs="Times New Roman Italic"/>
          <w:b w:val="0"/>
          <w:bCs w:val="0"/>
          <w:i/>
          <w:iCs/>
          <w:color w:val="auto"/>
          <w:sz w:val="24"/>
          <w:szCs w:val="24"/>
        </w:rPr>
        <w:t xml:space="preserve">School of Basic Medical Sciences, </w:t>
      </w:r>
      <w:bookmarkStart w:id="1" w:name="OLE_LINK16"/>
      <w:r>
        <w:rPr>
          <w:rFonts w:ascii="Times New Roman Italic" w:hAnsi="Times New Roman Italic" w:cs="Times New Roman Italic"/>
          <w:b w:val="0"/>
          <w:bCs w:val="0"/>
          <w:i/>
          <w:iCs/>
          <w:color w:val="auto"/>
          <w:sz w:val="24"/>
          <w:szCs w:val="24"/>
        </w:rPr>
        <w:t>Chengdu University of Traditional Chinese Medicine</w:t>
      </w:r>
      <w:bookmarkEnd w:id="1"/>
      <w:r>
        <w:rPr>
          <w:rFonts w:ascii="Times New Roman Italic" w:hAnsi="Times New Roman Italic" w:cs="Times New Roman Italic"/>
          <w:b w:val="0"/>
          <w:bCs w:val="0"/>
          <w:i/>
          <w:iCs/>
          <w:color w:val="auto"/>
          <w:sz w:val="24"/>
          <w:szCs w:val="24"/>
        </w:rPr>
        <w:t>, Chengdu 611137, China;</w:t>
      </w:r>
    </w:p>
    <w:p w14:paraId="314D182A">
      <w:pPr>
        <w:rPr>
          <w:rFonts w:ascii="Times New Roman Italic" w:hAnsi="Times New Roman Italic" w:cs="Times New Roman Italic"/>
          <w:b w:val="0"/>
          <w:bCs w:val="0"/>
          <w:i/>
          <w:iCs/>
          <w:color w:val="auto"/>
          <w:sz w:val="24"/>
          <w:szCs w:val="24"/>
        </w:rPr>
      </w:pPr>
      <w:r>
        <w:rPr>
          <w:rFonts w:ascii="Times New Roman Italic" w:hAnsi="Times New Roman Italic" w:cs="Times New Roman Italic"/>
          <w:b w:val="0"/>
          <w:bCs w:val="0"/>
          <w:i/>
          <w:iCs/>
          <w:color w:val="auto"/>
          <w:sz w:val="24"/>
          <w:szCs w:val="24"/>
          <w:vertAlign w:val="superscript"/>
        </w:rPr>
        <w:t>2</w:t>
      </w:r>
      <w:r>
        <w:rPr>
          <w:rFonts w:ascii="Times New Roman Italic" w:hAnsi="Times New Roman Italic" w:cs="Times New Roman Italic"/>
          <w:b w:val="0"/>
          <w:bCs w:val="0"/>
          <w:i/>
          <w:iCs/>
          <w:color w:val="auto"/>
          <w:sz w:val="24"/>
          <w:szCs w:val="24"/>
        </w:rPr>
        <w:t>Department of Biotherapy, Cancer Center and State Key Laboratory of Biotherapy, West China Hospital, Sichuan University,</w:t>
      </w:r>
      <w:r>
        <w:rPr>
          <w:rFonts w:hint="eastAsia" w:ascii="Times New Roman Italic" w:hAnsi="Times New Roman Italic" w:cs="Times New Roman Italic"/>
          <w:b w:val="0"/>
          <w:bCs w:val="0"/>
          <w:i/>
          <w:iCs/>
          <w:color w:val="auto"/>
          <w:sz w:val="24"/>
          <w:szCs w:val="24"/>
          <w:lang w:val="en-US" w:eastAsia="zh-CN"/>
        </w:rPr>
        <w:t xml:space="preserve"> </w:t>
      </w:r>
      <w:r>
        <w:rPr>
          <w:rFonts w:hint="eastAsia" w:ascii="Times New Roman Italic" w:hAnsi="Times New Roman Italic" w:cs="Times New Roman Italic"/>
          <w:b w:val="0"/>
          <w:bCs w:val="0"/>
          <w:i/>
          <w:iCs/>
          <w:color w:val="auto"/>
          <w:sz w:val="24"/>
          <w:szCs w:val="24"/>
        </w:rPr>
        <w:t>Frontiers Medical Center, Tianfu Jincheng Laboratory</w:t>
      </w:r>
      <w:r>
        <w:rPr>
          <w:rFonts w:hint="eastAsia" w:ascii="Times New Roman Italic" w:hAnsi="Times New Roman Italic" w:cs="Times New Roman Italic"/>
          <w:b w:val="0"/>
          <w:bCs w:val="0"/>
          <w:i/>
          <w:iCs/>
          <w:color w:val="auto"/>
          <w:sz w:val="24"/>
          <w:szCs w:val="24"/>
          <w:lang w:val="en-US" w:eastAsia="zh-CN"/>
        </w:rPr>
        <w:t>,</w:t>
      </w:r>
      <w:r>
        <w:rPr>
          <w:rFonts w:ascii="Times New Roman Italic" w:hAnsi="Times New Roman Italic" w:cs="Times New Roman Italic"/>
          <w:b w:val="0"/>
          <w:bCs w:val="0"/>
          <w:i/>
          <w:iCs/>
          <w:color w:val="auto"/>
          <w:sz w:val="24"/>
          <w:szCs w:val="24"/>
        </w:rPr>
        <w:t xml:space="preserve"> Chengdu 610041, China;</w:t>
      </w:r>
    </w:p>
    <w:p w14:paraId="75A4C125">
      <w:pPr>
        <w:rPr>
          <w:rFonts w:ascii="Times New Roman Italic" w:hAnsi="Times New Roman Italic" w:cs="Times New Roman Italic"/>
          <w:b w:val="0"/>
          <w:bCs w:val="0"/>
          <w:i/>
          <w:iCs/>
          <w:color w:val="auto"/>
          <w:sz w:val="24"/>
          <w:szCs w:val="24"/>
        </w:rPr>
      </w:pPr>
      <w:r>
        <w:rPr>
          <w:rFonts w:ascii="Times New Roman Italic" w:hAnsi="Times New Roman Italic" w:cs="Times New Roman Italic"/>
          <w:b w:val="0"/>
          <w:bCs w:val="0"/>
          <w:i/>
          <w:iCs/>
          <w:color w:val="auto"/>
          <w:sz w:val="24"/>
          <w:szCs w:val="24"/>
          <w:vertAlign w:val="superscript"/>
        </w:rPr>
        <w:t>3</w:t>
      </w:r>
      <w:r>
        <w:rPr>
          <w:rFonts w:hint="eastAsia" w:ascii="Times New Roman Italic" w:hAnsi="Times New Roman Italic" w:cs="Times New Roman Italic"/>
          <w:b w:val="0"/>
          <w:bCs w:val="0"/>
          <w:i/>
          <w:iCs/>
          <w:color w:val="auto"/>
          <w:sz w:val="24"/>
          <w:szCs w:val="24"/>
        </w:rPr>
        <w:t>Key Laboratory of Emergency and Trauma of Ministry of Education, Engineering Research Center for Hainan Biological Sample Resources of Major Diseases, the Hainan Branch of National Clinical Research Center for Cancer, the First Affiliated Hospital, Hainan Medical University, Haikou 570102, China;</w:t>
      </w:r>
    </w:p>
    <w:p w14:paraId="4C92A9FE">
      <w:pPr>
        <w:rPr>
          <w:rFonts w:ascii="Times New Roman Italic" w:hAnsi="Times New Roman Italic" w:cs="Times New Roman Italic"/>
          <w:b w:val="0"/>
          <w:bCs w:val="0"/>
          <w:i/>
          <w:iCs/>
          <w:color w:val="auto"/>
          <w:sz w:val="24"/>
          <w:szCs w:val="24"/>
        </w:rPr>
      </w:pPr>
      <w:r>
        <w:rPr>
          <w:rFonts w:ascii="Times New Roman Italic" w:hAnsi="Times New Roman Italic" w:cs="Times New Roman Italic"/>
          <w:b w:val="0"/>
          <w:bCs w:val="0"/>
          <w:i/>
          <w:iCs/>
          <w:color w:val="auto"/>
          <w:sz w:val="24"/>
          <w:szCs w:val="24"/>
          <w:vertAlign w:val="superscript"/>
        </w:rPr>
        <w:t>4</w:t>
      </w:r>
      <w:r>
        <w:rPr>
          <w:rFonts w:ascii="Times New Roman Italic" w:hAnsi="Times New Roman Italic" w:cs="Times New Roman Italic"/>
          <w:b w:val="0"/>
          <w:bCs w:val="0"/>
          <w:i/>
          <w:iCs/>
          <w:color w:val="auto"/>
          <w:sz w:val="24"/>
          <w:szCs w:val="24"/>
        </w:rPr>
        <w:t>Department of Biochemistry and Molecular Biology, Monash University, Clayton, VIC 3800, Australia;</w:t>
      </w:r>
    </w:p>
    <w:p w14:paraId="1D7522D0">
      <w:pPr>
        <w:rPr>
          <w:rFonts w:hint="eastAsia" w:ascii="Times New Roman Italic" w:hAnsi="Times New Roman Italic" w:cs="Times New Roman Italic" w:eastAsiaTheme="minorEastAsia"/>
          <w:b w:val="0"/>
          <w:bCs w:val="0"/>
          <w:i/>
          <w:iCs/>
          <w:color w:val="auto"/>
          <w:sz w:val="24"/>
          <w:szCs w:val="24"/>
          <w:lang w:val="en-US" w:eastAsia="zh-CN"/>
        </w:rPr>
      </w:pPr>
      <w:r>
        <w:rPr>
          <w:rFonts w:hint="eastAsia" w:ascii="Times New Roman Italic" w:hAnsi="Times New Roman Italic" w:cs="Times New Roman Italic"/>
          <w:b w:val="0"/>
          <w:bCs w:val="0"/>
          <w:i/>
          <w:iCs/>
          <w:color w:val="auto"/>
          <w:sz w:val="24"/>
          <w:szCs w:val="24"/>
          <w:vertAlign w:val="superscript"/>
        </w:rPr>
        <w:t>5</w:t>
      </w:r>
      <w:r>
        <w:rPr>
          <w:rFonts w:ascii="Times New Roman Italic" w:hAnsi="Times New Roman Italic" w:cs="Times New Roman Italic"/>
          <w:b w:val="0"/>
          <w:bCs w:val="0"/>
          <w:i/>
          <w:iCs/>
          <w:color w:val="auto"/>
          <w:sz w:val="24"/>
          <w:szCs w:val="24"/>
        </w:rPr>
        <w:t>School of Basic Medicine, Health Science Center, Yangtze University, Jingzhou 434023, Chin</w:t>
      </w:r>
      <w:r>
        <w:rPr>
          <w:rFonts w:hint="eastAsia" w:ascii="Times New Roman Italic" w:hAnsi="Times New Roman Italic" w:cs="Times New Roman Italic"/>
          <w:b w:val="0"/>
          <w:bCs w:val="0"/>
          <w:i/>
          <w:iCs/>
          <w:color w:val="auto"/>
          <w:sz w:val="24"/>
          <w:szCs w:val="24"/>
        </w:rPr>
        <w:t>a</w:t>
      </w:r>
      <w:bookmarkStart w:id="4" w:name="_GoBack"/>
      <w:bookmarkEnd w:id="4"/>
    </w:p>
    <w:p w14:paraId="31BC9B51">
      <w:pPr>
        <w:rPr>
          <w:rFonts w:hint="eastAsia" w:ascii="Times New Roman Italic" w:hAnsi="Times New Roman Italic" w:cs="Times New Roman Italic" w:eastAsiaTheme="minorEastAsia"/>
          <w:b w:val="0"/>
          <w:bCs w:val="0"/>
          <w:i/>
          <w:iCs/>
          <w:color w:val="auto"/>
          <w:sz w:val="24"/>
          <w:szCs w:val="24"/>
          <w:lang w:val="en-US" w:eastAsia="zh-CN"/>
        </w:rPr>
      </w:pPr>
    </w:p>
    <w:p w14:paraId="3B526C58">
      <w:pPr>
        <w:rPr>
          <w:rFonts w:hint="eastAsia" w:ascii="Times New Roman Italic" w:hAnsi="Times New Roman Italic" w:cs="Times New Roman Italic"/>
          <w:b w:val="0"/>
          <w:bCs w:val="0"/>
          <w:i/>
          <w:iCs/>
          <w:color w:val="auto"/>
          <w:sz w:val="24"/>
          <w:szCs w:val="24"/>
        </w:rPr>
      </w:pPr>
    </w:p>
    <w:p w14:paraId="4E6E7C5D">
      <w:pPr>
        <w:rPr>
          <w:rFonts w:ascii="Times New Roman Italic" w:hAnsi="Times New Roman Italic" w:cs="Times New Roman Italic"/>
          <w:b w:val="0"/>
          <w:bCs w:val="0"/>
          <w:i/>
          <w:iCs/>
          <w:color w:val="auto"/>
          <w:sz w:val="24"/>
          <w:szCs w:val="24"/>
        </w:rPr>
      </w:pPr>
      <w:r>
        <w:rPr>
          <w:rFonts w:hint="eastAsia"/>
          <w:b w:val="0"/>
          <w:bCs w:val="0"/>
          <w:color w:val="auto"/>
          <w:sz w:val="24"/>
          <w:szCs w:val="24"/>
          <w:vertAlign w:val="superscript"/>
        </w:rPr>
        <w:t>#</w:t>
      </w:r>
      <w:r>
        <w:rPr>
          <w:rFonts w:ascii="Times New Roman Italic" w:hAnsi="Times New Roman Italic" w:cs="Times New Roman Italic"/>
          <w:b w:val="0"/>
          <w:bCs w:val="0"/>
          <w:i/>
          <w:iCs/>
          <w:color w:val="auto"/>
          <w:sz w:val="24"/>
          <w:szCs w:val="24"/>
        </w:rPr>
        <w:t>These authors contributed equally to this work.</w:t>
      </w:r>
    </w:p>
    <w:p w14:paraId="7FA5D53F">
      <w:pPr>
        <w:rPr>
          <w:rFonts w:ascii="Times New Roman Italic" w:hAnsi="Times New Roman Italic" w:cs="Times New Roman Italic"/>
          <w:b w:val="0"/>
          <w:bCs w:val="0"/>
          <w:i/>
          <w:iCs/>
          <w:color w:val="auto"/>
          <w:sz w:val="24"/>
          <w:szCs w:val="24"/>
        </w:rPr>
      </w:pPr>
      <w:r>
        <w:rPr>
          <w:rFonts w:ascii="Times New Roman Italic" w:hAnsi="Times New Roman Italic" w:cs="Times New Roman Italic"/>
          <w:b w:val="0"/>
          <w:bCs w:val="0"/>
          <w:i/>
          <w:iCs/>
          <w:color w:val="auto"/>
          <w:sz w:val="24"/>
          <w:szCs w:val="24"/>
          <w:vertAlign w:val="superscript"/>
        </w:rPr>
        <w:t>*</w:t>
      </w:r>
      <w:r>
        <w:rPr>
          <w:rFonts w:ascii="Times New Roman Italic" w:hAnsi="Times New Roman Italic" w:cs="Times New Roman Italic"/>
          <w:b w:val="0"/>
          <w:bCs w:val="0"/>
          <w:i/>
          <w:iCs/>
          <w:color w:val="auto"/>
          <w:sz w:val="24"/>
          <w:szCs w:val="24"/>
        </w:rPr>
        <w:t>Corresponding authors.</w:t>
      </w:r>
    </w:p>
    <w:p w14:paraId="1907E67D">
      <w:pPr>
        <w:rPr>
          <w:rFonts w:ascii="Times New Roman Italic" w:hAnsi="Times New Roman Italic" w:cs="Times New Roman Italic"/>
          <w:b w:val="0"/>
          <w:bCs w:val="0"/>
          <w:i/>
          <w:iCs/>
          <w:color w:val="auto"/>
          <w:sz w:val="24"/>
          <w:szCs w:val="24"/>
        </w:rPr>
        <w:sectPr>
          <w:footerReference r:id="rId5" w:type="default"/>
          <w:pgSz w:w="11906" w:h="16838"/>
          <w:pgMar w:top="1440" w:right="1800" w:bottom="1440" w:left="1800" w:header="851" w:footer="992" w:gutter="0"/>
          <w:cols w:space="425" w:num="1"/>
          <w:docGrid w:type="lines" w:linePitch="312" w:charSpace="0"/>
        </w:sectPr>
      </w:pPr>
      <w:r>
        <w:rPr>
          <w:rFonts w:ascii="Times New Roman Italic" w:hAnsi="Times New Roman Italic" w:cs="Times New Roman Italic"/>
          <w:b w:val="0"/>
          <w:bCs w:val="0"/>
          <w:i/>
          <w:iCs/>
          <w:color w:val="auto"/>
          <w:sz w:val="24"/>
          <w:szCs w:val="24"/>
        </w:rPr>
        <w:t xml:space="preserve">Email Addresses: </w:t>
      </w:r>
      <w:r>
        <w:rPr>
          <w:rFonts w:hint="eastAsia" w:ascii="Times New Roman Italic" w:hAnsi="Times New Roman Italic" w:cs="Times New Roman Italic"/>
          <w:b w:val="0"/>
          <w:bCs w:val="0"/>
          <w:i/>
          <w:iCs/>
          <w:color w:val="auto"/>
          <w:sz w:val="24"/>
          <w:szCs w:val="24"/>
        </w:rPr>
        <w:t>zhy02141003@163.com</w:t>
      </w:r>
      <w:r>
        <w:rPr>
          <w:rFonts w:ascii="Times New Roman Italic" w:hAnsi="Times New Roman Italic" w:cs="Times New Roman Italic"/>
          <w:b w:val="0"/>
          <w:bCs w:val="0"/>
          <w:i/>
          <w:iCs/>
          <w:color w:val="auto"/>
          <w:sz w:val="24"/>
          <w:szCs w:val="24"/>
        </w:rPr>
        <w:t xml:space="preserve"> (H. Zhang)</w:t>
      </w:r>
      <w:r>
        <w:rPr>
          <w:rFonts w:hint="eastAsia" w:ascii="Times New Roman Italic" w:hAnsi="Times New Roman Italic" w:cs="Times New Roman Italic"/>
          <w:b w:val="0"/>
          <w:bCs w:val="0"/>
          <w:i/>
          <w:iCs/>
          <w:color w:val="auto"/>
          <w:sz w:val="24"/>
          <w:szCs w:val="24"/>
        </w:rPr>
        <w:t>;</w:t>
      </w:r>
      <w:r>
        <w:rPr>
          <w:rFonts w:ascii="Times New Roman Italic" w:hAnsi="Times New Roman Italic" w:cs="Times New Roman Italic"/>
          <w:b w:val="0"/>
          <w:bCs w:val="0"/>
          <w:i/>
          <w:iCs/>
          <w:color w:val="auto"/>
          <w:sz w:val="24"/>
          <w:szCs w:val="24"/>
        </w:rPr>
        <w:t xml:space="preserve"> </w:t>
      </w:r>
      <w:r>
        <w:rPr>
          <w:rFonts w:hint="eastAsia" w:ascii="Times New Roman Italic" w:hAnsi="Times New Roman Italic" w:cs="Times New Roman Italic"/>
          <w:b w:val="0"/>
          <w:bCs w:val="0"/>
          <w:i/>
          <w:iCs/>
          <w:color w:val="auto"/>
          <w:sz w:val="24"/>
          <w:szCs w:val="24"/>
        </w:rPr>
        <w:t xml:space="preserve"> zshaojiang@muhn.edu.cn </w:t>
      </w:r>
      <w:r>
        <w:rPr>
          <w:rFonts w:ascii="Times New Roman Italic" w:hAnsi="Times New Roman Italic" w:cs="Times New Roman Italic"/>
          <w:b w:val="0"/>
          <w:bCs w:val="0"/>
          <w:i/>
          <w:iCs/>
          <w:color w:val="auto"/>
          <w:sz w:val="24"/>
          <w:szCs w:val="24"/>
        </w:rPr>
        <w:t>(S. Zheng)</w:t>
      </w:r>
    </w:p>
    <w:p w14:paraId="65B4B694">
      <w:pPr>
        <w:rPr>
          <w:rFonts w:ascii="Times New Roman Bold" w:hAnsi="Times New Roman Bold" w:cs="Times New Roman Bold"/>
          <w:b w:val="0"/>
          <w:bCs w:val="0"/>
          <w:color w:val="auto"/>
        </w:rPr>
      </w:pPr>
    </w:p>
    <w:p w14:paraId="60CD4B5E">
      <w:pPr>
        <w:rPr>
          <w:b w:val="0"/>
          <w:bCs w:val="0"/>
          <w:color w:val="auto"/>
        </w:rPr>
      </w:pPr>
      <w:r>
        <w:rPr>
          <w:rFonts w:hint="eastAsia"/>
          <w:b w:val="0"/>
          <w:bCs w:val="0"/>
          <w:color w:val="auto"/>
        </w:rPr>
        <w:drawing>
          <wp:inline distT="0" distB="0" distL="0" distR="0">
            <wp:extent cx="5229225" cy="5842000"/>
            <wp:effectExtent l="0" t="0" r="9525" b="6350"/>
            <wp:docPr id="25706697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066975" name="图片 2"/>
                    <pic:cNvPicPr>
                      <a:picLocks noChangeAspect="1"/>
                    </pic:cNvPicPr>
                  </pic:nvPicPr>
                  <pic:blipFill>
                    <a:blip r:embed="rId8"/>
                    <a:srcRect r="855"/>
                    <a:stretch>
                      <a:fillRect/>
                    </a:stretch>
                  </pic:blipFill>
                  <pic:spPr>
                    <a:xfrm>
                      <a:off x="0" y="0"/>
                      <a:ext cx="5229225" cy="5842000"/>
                    </a:xfrm>
                    <a:prstGeom prst="rect">
                      <a:avLst/>
                    </a:prstGeom>
                    <a:ln>
                      <a:noFill/>
                    </a:ln>
                  </pic:spPr>
                </pic:pic>
              </a:graphicData>
            </a:graphic>
          </wp:inline>
        </w:drawing>
      </w:r>
    </w:p>
    <w:p w14:paraId="1BB33E5E">
      <w:pPr>
        <w:rPr>
          <w:b w:val="0"/>
          <w:bCs w:val="0"/>
          <w:color w:val="auto"/>
        </w:rPr>
      </w:pPr>
      <w:r>
        <w:rPr>
          <w:rFonts w:ascii="Times New Roman Bold" w:hAnsi="Times New Roman Bold" w:cs="Times New Roman Bold"/>
          <w:color w:val="auto"/>
        </w:rPr>
        <w:t>Fig. S1</w:t>
      </w:r>
      <w:r>
        <w:rPr>
          <w:rFonts w:hint="eastAsia" w:ascii="Times New Roman Bold" w:hAnsi="Times New Roman Bold" w:cs="Times New Roman Bold"/>
          <w:color w:val="auto"/>
        </w:rPr>
        <w:t xml:space="preserve"> </w:t>
      </w:r>
      <w:r>
        <w:rPr>
          <w:rFonts w:hint="eastAsia"/>
          <w:b w:val="0"/>
          <w:bCs w:val="0"/>
          <w:color w:val="auto"/>
        </w:rPr>
        <w:t xml:space="preserve">The preparation and characterization of TCe6@Cu/TP5 NPs. </w:t>
      </w:r>
      <w:r>
        <w:rPr>
          <w:rFonts w:hint="eastAsia"/>
          <w:color w:val="auto"/>
        </w:rPr>
        <w:t>A, B</w:t>
      </w:r>
      <w:r>
        <w:rPr>
          <w:rFonts w:hint="eastAsia"/>
          <w:b w:val="0"/>
          <w:bCs w:val="0"/>
          <w:color w:val="auto"/>
        </w:rPr>
        <w:t xml:space="preserve"> </w:t>
      </w:r>
      <w:r>
        <w:rPr>
          <w:b w:val="0"/>
          <w:bCs w:val="0"/>
          <w:color w:val="auto"/>
          <w:vertAlign w:val="superscript"/>
        </w:rPr>
        <w:t>1</w:t>
      </w:r>
      <w:r>
        <w:rPr>
          <w:b w:val="0"/>
          <w:bCs w:val="0"/>
          <w:color w:val="auto"/>
        </w:rPr>
        <w:t>H-NMR and mass spectrum of TPP-NH</w:t>
      </w:r>
      <w:r>
        <w:rPr>
          <w:b w:val="0"/>
          <w:bCs w:val="0"/>
          <w:color w:val="auto"/>
          <w:vertAlign w:val="subscript"/>
        </w:rPr>
        <w:t>2</w:t>
      </w:r>
      <w:r>
        <w:rPr>
          <w:b w:val="0"/>
          <w:bCs w:val="0"/>
          <w:color w:val="auto"/>
        </w:rPr>
        <w:t xml:space="preserve">. </w:t>
      </w:r>
      <w:r>
        <w:rPr>
          <w:rFonts w:hint="eastAsia"/>
          <w:color w:val="auto"/>
        </w:rPr>
        <w:t>C, D</w:t>
      </w:r>
      <w:r>
        <w:rPr>
          <w:b w:val="0"/>
          <w:bCs w:val="0"/>
          <w:color w:val="auto"/>
        </w:rPr>
        <w:t xml:space="preserve"> </w:t>
      </w:r>
      <w:r>
        <w:rPr>
          <w:b w:val="0"/>
          <w:bCs w:val="0"/>
          <w:color w:val="auto"/>
          <w:vertAlign w:val="superscript"/>
        </w:rPr>
        <w:t>1</w:t>
      </w:r>
      <w:r>
        <w:rPr>
          <w:b w:val="0"/>
          <w:bCs w:val="0"/>
          <w:color w:val="auto"/>
        </w:rPr>
        <w:t xml:space="preserve">H-NMR and mass spectrum of TCe6. </w:t>
      </w:r>
      <w:r>
        <w:rPr>
          <w:rFonts w:hint="eastAsia"/>
          <w:color w:val="auto"/>
        </w:rPr>
        <w:t>E</w:t>
      </w:r>
      <w:r>
        <w:rPr>
          <w:b w:val="0"/>
          <w:bCs w:val="0"/>
          <w:color w:val="auto"/>
        </w:rPr>
        <w:t xml:space="preserve"> The UV–vis absorption spectra of Ce6 and TCe6. </w:t>
      </w:r>
      <w:r>
        <w:rPr>
          <w:rFonts w:hint="eastAsia"/>
          <w:color w:val="auto"/>
        </w:rPr>
        <w:t>F</w:t>
      </w:r>
      <w:r>
        <w:rPr>
          <w:b w:val="0"/>
          <w:bCs w:val="0"/>
          <w:color w:val="auto"/>
        </w:rPr>
        <w:t xml:space="preserve"> Standard curves for TCe6 using the UV–vis absorption spectra. </w:t>
      </w:r>
      <w:r>
        <w:rPr>
          <w:rFonts w:hint="eastAsia"/>
          <w:color w:val="auto"/>
        </w:rPr>
        <w:t>G</w:t>
      </w:r>
      <w:r>
        <w:rPr>
          <w:b w:val="0"/>
          <w:bCs w:val="0"/>
          <w:color w:val="auto"/>
        </w:rPr>
        <w:t xml:space="preserve"> The loading efficiency of TP5 and Cu in NPs.</w:t>
      </w:r>
      <w:r>
        <w:rPr>
          <w:rFonts w:hint="eastAsia"/>
          <w:b w:val="0"/>
          <w:bCs w:val="0"/>
          <w:color w:val="auto"/>
        </w:rPr>
        <w:t xml:space="preserve"> </w:t>
      </w:r>
      <w:r>
        <w:rPr>
          <w:rFonts w:hint="eastAsia"/>
          <w:color w:val="auto"/>
        </w:rPr>
        <w:t>H-L</w:t>
      </w:r>
      <w:r>
        <w:rPr>
          <w:rFonts w:hint="eastAsia"/>
          <w:b w:val="0"/>
          <w:bCs w:val="0"/>
          <w:color w:val="auto"/>
        </w:rPr>
        <w:t xml:space="preserve"> </w:t>
      </w:r>
      <w:r>
        <w:rPr>
          <w:b w:val="0"/>
          <w:bCs w:val="0"/>
          <w:color w:val="auto"/>
        </w:rPr>
        <w:t xml:space="preserve">The high-resolution </w:t>
      </w:r>
      <w:r>
        <w:rPr>
          <w:rFonts w:hint="eastAsia"/>
          <w:b w:val="0"/>
          <w:bCs w:val="0"/>
          <w:color w:val="auto"/>
        </w:rPr>
        <w:t>XPS of C 1</w:t>
      </w:r>
      <w:r>
        <w:rPr>
          <w:rFonts w:hint="eastAsia"/>
          <w:b w:val="0"/>
          <w:bCs w:val="0"/>
          <w:i/>
          <w:iCs/>
          <w:color w:val="auto"/>
        </w:rPr>
        <w:t>s</w:t>
      </w:r>
      <w:r>
        <w:rPr>
          <w:rFonts w:hint="eastAsia"/>
          <w:b w:val="0"/>
          <w:bCs w:val="0"/>
          <w:color w:val="auto"/>
        </w:rPr>
        <w:t>, N 1</w:t>
      </w:r>
      <w:r>
        <w:rPr>
          <w:rFonts w:hint="eastAsia"/>
          <w:b w:val="0"/>
          <w:bCs w:val="0"/>
          <w:i/>
          <w:iCs/>
          <w:color w:val="auto"/>
        </w:rPr>
        <w:t>s</w:t>
      </w:r>
      <w:r>
        <w:rPr>
          <w:rFonts w:hint="eastAsia"/>
          <w:b w:val="0"/>
          <w:bCs w:val="0"/>
          <w:color w:val="auto"/>
        </w:rPr>
        <w:t>, O 1</w:t>
      </w:r>
      <w:r>
        <w:rPr>
          <w:rFonts w:hint="eastAsia"/>
          <w:b w:val="0"/>
          <w:bCs w:val="0"/>
          <w:i/>
          <w:iCs/>
          <w:color w:val="auto"/>
        </w:rPr>
        <w:t>s</w:t>
      </w:r>
      <w:r>
        <w:rPr>
          <w:rFonts w:hint="eastAsia"/>
          <w:b w:val="0"/>
          <w:bCs w:val="0"/>
          <w:color w:val="auto"/>
        </w:rPr>
        <w:t>, P 2</w:t>
      </w:r>
      <w:r>
        <w:rPr>
          <w:rFonts w:hint="eastAsia"/>
          <w:b w:val="0"/>
          <w:bCs w:val="0"/>
          <w:i/>
          <w:iCs/>
          <w:color w:val="auto"/>
        </w:rPr>
        <w:t>p</w:t>
      </w:r>
      <w:r>
        <w:rPr>
          <w:rFonts w:hint="eastAsia"/>
          <w:b w:val="0"/>
          <w:bCs w:val="0"/>
          <w:color w:val="auto"/>
        </w:rPr>
        <w:t>, and Cu 2</w:t>
      </w:r>
      <w:r>
        <w:rPr>
          <w:rFonts w:hint="eastAsia"/>
          <w:b w:val="0"/>
          <w:bCs w:val="0"/>
          <w:i/>
          <w:iCs/>
          <w:color w:val="auto"/>
        </w:rPr>
        <w:t>p</w:t>
      </w:r>
      <w:r>
        <w:rPr>
          <w:rFonts w:hint="eastAsia"/>
          <w:b w:val="0"/>
          <w:bCs w:val="0"/>
          <w:color w:val="auto"/>
        </w:rPr>
        <w:t xml:space="preserve"> spectra of TCe6@Cu/TP5.</w:t>
      </w:r>
    </w:p>
    <w:p w14:paraId="3ED13BCD">
      <w:pPr>
        <w:rPr>
          <w:b w:val="0"/>
          <w:bCs w:val="0"/>
          <w:color w:val="auto"/>
        </w:rPr>
      </w:pPr>
      <w:r>
        <w:rPr>
          <w:rFonts w:hint="eastAsia"/>
          <w:b w:val="0"/>
          <w:bCs w:val="0"/>
          <w:color w:val="auto"/>
        </w:rPr>
        <w:t xml:space="preserve"> </w:t>
      </w:r>
      <w:r>
        <w:rPr>
          <w:rFonts w:ascii="Times New Roman Bold" w:hAnsi="Times New Roman Bold" w:cs="Times New Roman Bold"/>
          <w:color w:val="auto"/>
        </w:rPr>
        <w:drawing>
          <wp:inline distT="0" distB="0" distL="0" distR="0">
            <wp:extent cx="5274310" cy="3034665"/>
            <wp:effectExtent l="0" t="0" r="2540" b="0"/>
            <wp:docPr id="167710978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7109789" name="图片 3"/>
                    <pic:cNvPicPr>
                      <a:picLocks noChangeAspect="1"/>
                    </pic:cNvPicPr>
                  </pic:nvPicPr>
                  <pic:blipFill>
                    <a:blip r:embed="rId9"/>
                    <a:stretch>
                      <a:fillRect/>
                    </a:stretch>
                  </pic:blipFill>
                  <pic:spPr>
                    <a:xfrm>
                      <a:off x="0" y="0"/>
                      <a:ext cx="5274310" cy="3034665"/>
                    </a:xfrm>
                    <a:prstGeom prst="rect">
                      <a:avLst/>
                    </a:prstGeom>
                  </pic:spPr>
                </pic:pic>
              </a:graphicData>
            </a:graphic>
          </wp:inline>
        </w:drawing>
      </w:r>
      <w:r>
        <w:rPr>
          <w:rFonts w:ascii="Times New Roman Bold" w:hAnsi="Times New Roman Bold" w:cs="Times New Roman Bold"/>
          <w:color w:val="auto"/>
        </w:rPr>
        <w:t xml:space="preserve">Fig. </w:t>
      </w:r>
      <w:r>
        <w:rPr>
          <w:rFonts w:eastAsia="宋体"/>
          <w:color w:val="auto"/>
        </w:rPr>
        <w:t>S</w:t>
      </w:r>
      <w:r>
        <w:rPr>
          <w:rFonts w:hint="eastAsia" w:eastAsia="宋体"/>
          <w:color w:val="auto"/>
        </w:rPr>
        <w:t>2</w:t>
      </w:r>
      <w:r>
        <w:rPr>
          <w:rFonts w:hint="eastAsia" w:ascii="Times New Roman Bold" w:hAnsi="Times New Roman Bold" w:cs="Times New Roman Bold"/>
          <w:color w:val="auto"/>
        </w:rPr>
        <w:t xml:space="preserve"> </w:t>
      </w:r>
      <w:r>
        <w:rPr>
          <w:rFonts w:hint="eastAsia"/>
          <w:b w:val="0"/>
          <w:bCs w:val="0"/>
          <w:color w:val="auto"/>
        </w:rPr>
        <w:t>The p</w:t>
      </w:r>
      <w:r>
        <w:rPr>
          <w:b w:val="0"/>
          <w:bCs w:val="0"/>
          <w:color w:val="auto"/>
        </w:rPr>
        <w:t>hotodynamic effects of photosensitizers</w:t>
      </w:r>
      <w:r>
        <w:rPr>
          <w:rFonts w:hint="eastAsia"/>
          <w:b w:val="0"/>
          <w:bCs w:val="0"/>
          <w:color w:val="auto"/>
        </w:rPr>
        <w:t>.</w:t>
      </w:r>
      <w:r>
        <w:rPr>
          <w:rFonts w:ascii="Times New Roman Bold" w:hAnsi="Times New Roman Bold" w:cs="Times New Roman Bold"/>
          <w:color w:val="auto"/>
        </w:rPr>
        <w:t xml:space="preserve"> </w:t>
      </w:r>
      <w:r>
        <w:rPr>
          <w:rFonts w:hint="eastAsia"/>
          <w:color w:val="auto"/>
        </w:rPr>
        <w:t>A</w:t>
      </w:r>
      <w:r>
        <w:rPr>
          <w:b w:val="0"/>
          <w:bCs w:val="0"/>
          <w:color w:val="auto"/>
        </w:rPr>
        <w:t xml:space="preserve"> </w:t>
      </w:r>
      <w:r>
        <w:rPr>
          <w:rFonts w:hint="eastAsia"/>
          <w:b w:val="0"/>
          <w:bCs w:val="0"/>
          <w:color w:val="auto"/>
        </w:rPr>
        <w:t xml:space="preserve">The total relative amount of DPBF in different groups. </w:t>
      </w:r>
      <w:r>
        <w:rPr>
          <w:rFonts w:hint="eastAsia"/>
          <w:color w:val="auto"/>
        </w:rPr>
        <w:t>B-F</w:t>
      </w:r>
      <w:r>
        <w:rPr>
          <w:rFonts w:hint="eastAsia"/>
          <w:b w:val="0"/>
          <w:bCs w:val="0"/>
          <w:color w:val="auto"/>
        </w:rPr>
        <w:t xml:space="preserve"> </w:t>
      </w:r>
      <w:r>
        <w:rPr>
          <w:b w:val="0"/>
          <w:bCs w:val="0"/>
          <w:color w:val="auto"/>
        </w:rPr>
        <w:t xml:space="preserve">Photodynamic effects of </w:t>
      </w:r>
      <w:r>
        <w:rPr>
          <w:rFonts w:hint="eastAsia"/>
          <w:b w:val="0"/>
          <w:bCs w:val="0"/>
          <w:color w:val="auto"/>
        </w:rPr>
        <w:t xml:space="preserve">DPBF, Ce6, TCe6, TCe6@Cu, and NPs in different time points. </w:t>
      </w:r>
      <w:r>
        <w:rPr>
          <w:b w:val="0"/>
          <w:bCs w:val="0"/>
          <w:color w:val="auto"/>
        </w:rPr>
        <w:t>“NPs” represents “TCe6@Cu/TP5 NPs”.</w:t>
      </w:r>
    </w:p>
    <w:p w14:paraId="408EF5D2">
      <w:pPr>
        <w:rPr>
          <w:b w:val="0"/>
          <w:bCs w:val="0"/>
          <w:color w:val="auto"/>
        </w:rPr>
      </w:pPr>
      <w:r>
        <w:rPr>
          <w:b w:val="0"/>
          <w:bCs w:val="0"/>
          <w:color w:val="auto"/>
        </w:rPr>
        <w:drawing>
          <wp:inline distT="0" distB="0" distL="0" distR="0">
            <wp:extent cx="5274310" cy="6705600"/>
            <wp:effectExtent l="0" t="0" r="2540" b="0"/>
            <wp:docPr id="9589682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96827" name="图片 4"/>
                    <pic:cNvPicPr>
                      <a:picLocks noChangeAspect="1"/>
                    </pic:cNvPicPr>
                  </pic:nvPicPr>
                  <pic:blipFill>
                    <a:blip r:embed="rId10"/>
                    <a:srcRect b="415"/>
                    <a:stretch>
                      <a:fillRect/>
                    </a:stretch>
                  </pic:blipFill>
                  <pic:spPr>
                    <a:xfrm>
                      <a:off x="0" y="0"/>
                      <a:ext cx="5274310" cy="6705600"/>
                    </a:xfrm>
                    <a:prstGeom prst="rect">
                      <a:avLst/>
                    </a:prstGeom>
                    <a:ln>
                      <a:noFill/>
                    </a:ln>
                  </pic:spPr>
                </pic:pic>
              </a:graphicData>
            </a:graphic>
          </wp:inline>
        </w:drawing>
      </w:r>
      <w:r>
        <w:rPr>
          <w:rFonts w:ascii="Times New Roman Bold" w:hAnsi="Times New Roman Bold" w:cs="Times New Roman Bold"/>
          <w:color w:val="auto"/>
        </w:rPr>
        <w:t xml:space="preserve">Fig. </w:t>
      </w:r>
      <w:r>
        <w:rPr>
          <w:rFonts w:eastAsia="宋体"/>
          <w:color w:val="auto"/>
        </w:rPr>
        <w:t>S</w:t>
      </w:r>
      <w:r>
        <w:rPr>
          <w:rFonts w:hint="eastAsia" w:eastAsia="宋体"/>
          <w:color w:val="auto"/>
        </w:rPr>
        <w:t>3</w:t>
      </w:r>
      <w:r>
        <w:rPr>
          <w:rFonts w:ascii="Times New Roman Bold" w:hAnsi="Times New Roman Bold" w:cs="Times New Roman Bold"/>
          <w:color w:val="auto"/>
          <w:szCs w:val="21"/>
        </w:rPr>
        <w:t xml:space="preserve"> </w:t>
      </w:r>
      <w:r>
        <w:rPr>
          <w:rFonts w:hint="eastAsia"/>
          <w:b w:val="0"/>
          <w:bCs w:val="0"/>
          <w:color w:val="auto"/>
        </w:rPr>
        <w:t xml:space="preserve">The therapeutic effect of GBM cells. </w:t>
      </w:r>
      <w:r>
        <w:rPr>
          <w:rFonts w:hint="eastAsia"/>
          <w:color w:val="auto"/>
        </w:rPr>
        <w:t xml:space="preserve">A, B </w:t>
      </w:r>
      <w:r>
        <w:rPr>
          <w:b w:val="0"/>
          <w:bCs w:val="0"/>
          <w:color w:val="auto"/>
        </w:rPr>
        <w:t xml:space="preserve">The fluorescence images and flow cytometry of U87 cells treated with NPs. </w:t>
      </w:r>
      <w:r>
        <w:rPr>
          <w:rFonts w:hint="eastAsia"/>
          <w:color w:val="auto"/>
        </w:rPr>
        <w:t>C, D</w:t>
      </w:r>
      <w:r>
        <w:rPr>
          <w:b w:val="0"/>
          <w:bCs w:val="0"/>
          <w:color w:val="auto"/>
        </w:rPr>
        <w:t xml:space="preserve"> Cell viability of GL261 and U87 cells without NIR irradiation. </w:t>
      </w:r>
      <w:r>
        <w:rPr>
          <w:rFonts w:hint="eastAsia"/>
          <w:color w:val="auto"/>
        </w:rPr>
        <w:t>E</w:t>
      </w:r>
      <w:r>
        <w:rPr>
          <w:b w:val="0"/>
          <w:bCs w:val="0"/>
          <w:color w:val="auto"/>
        </w:rPr>
        <w:t xml:space="preserve"> Edu assay of U87 cells with NIR irradiation. </w:t>
      </w:r>
      <w:r>
        <w:rPr>
          <w:rFonts w:hint="eastAsia"/>
          <w:color w:val="auto"/>
        </w:rPr>
        <w:t>F</w:t>
      </w:r>
      <w:r>
        <w:rPr>
          <w:b w:val="0"/>
          <w:bCs w:val="0"/>
          <w:color w:val="auto"/>
        </w:rPr>
        <w:t xml:space="preserve"> LDH assay of U87 cells with NIR irradiation. </w:t>
      </w:r>
      <w:r>
        <w:rPr>
          <w:rFonts w:hint="eastAsia"/>
          <w:color w:val="auto"/>
        </w:rPr>
        <w:t>G, H</w:t>
      </w:r>
      <w:r>
        <w:rPr>
          <w:rFonts w:hint="eastAsia"/>
          <w:b w:val="0"/>
          <w:bCs w:val="0"/>
          <w:color w:val="auto"/>
        </w:rPr>
        <w:t xml:space="preserve"> </w:t>
      </w:r>
      <w:r>
        <w:rPr>
          <w:b w:val="0"/>
          <w:bCs w:val="0"/>
          <w:color w:val="auto"/>
        </w:rPr>
        <w:t>Flow cytometry analysis of apoptosis and JC-1 staining on</w:t>
      </w:r>
      <w:r>
        <w:rPr>
          <w:b w:val="0"/>
          <w:bCs w:val="0"/>
          <w:color w:val="auto"/>
          <w:sz w:val="21"/>
          <w:szCs w:val="21"/>
        </w:rPr>
        <w:t xml:space="preserve"> </w:t>
      </w:r>
      <w:r>
        <w:rPr>
          <w:b w:val="0"/>
          <w:bCs w:val="0"/>
          <w:color w:val="auto"/>
        </w:rPr>
        <w:t>U87 cells with NIR irradiation. The 660 nm laser power is 1.0 W·cm</w:t>
      </w:r>
      <w:r>
        <w:rPr>
          <w:b w:val="0"/>
          <w:bCs w:val="0"/>
          <w:color w:val="auto"/>
          <w:vertAlign w:val="superscript"/>
        </w:rPr>
        <w:t xml:space="preserve">−2 </w:t>
      </w:r>
      <w:r>
        <w:rPr>
          <w:b w:val="0"/>
          <w:bCs w:val="0"/>
          <w:color w:val="auto"/>
        </w:rPr>
        <w:t>and all data are shown as the mean ± SD. (*</w:t>
      </w:r>
      <w:r>
        <w:rPr>
          <w:b w:val="0"/>
          <w:bCs w:val="0"/>
          <w:i/>
          <w:iCs/>
          <w:color w:val="auto"/>
        </w:rPr>
        <w:t>p</w:t>
      </w:r>
      <w:r>
        <w:rPr>
          <w:b w:val="0"/>
          <w:bCs w:val="0"/>
          <w:color w:val="auto"/>
        </w:rPr>
        <w:t xml:space="preserve"> &lt; 0.05; **</w:t>
      </w:r>
      <w:r>
        <w:rPr>
          <w:b w:val="0"/>
          <w:bCs w:val="0"/>
          <w:i/>
          <w:iCs/>
          <w:color w:val="auto"/>
        </w:rPr>
        <w:t>p</w:t>
      </w:r>
      <w:r>
        <w:rPr>
          <w:b w:val="0"/>
          <w:bCs w:val="0"/>
          <w:color w:val="auto"/>
        </w:rPr>
        <w:t xml:space="preserve"> &lt;0.01; ***</w:t>
      </w:r>
      <w:r>
        <w:rPr>
          <w:b w:val="0"/>
          <w:bCs w:val="0"/>
          <w:i/>
          <w:iCs/>
          <w:color w:val="auto"/>
        </w:rPr>
        <w:t xml:space="preserve">p </w:t>
      </w:r>
      <w:r>
        <w:rPr>
          <w:b w:val="0"/>
          <w:bCs w:val="0"/>
          <w:color w:val="auto"/>
        </w:rPr>
        <w:t>&lt; 0.001; ****</w:t>
      </w:r>
      <w:r>
        <w:rPr>
          <w:b w:val="0"/>
          <w:bCs w:val="0"/>
          <w:i/>
          <w:iCs/>
          <w:color w:val="auto"/>
        </w:rPr>
        <w:t>p</w:t>
      </w:r>
      <w:r>
        <w:rPr>
          <w:b w:val="0"/>
          <w:bCs w:val="0"/>
          <w:color w:val="auto"/>
        </w:rPr>
        <w:t xml:space="preserve"> &lt; 0.0001). “NPs” represents “TCe6@Cu/TP5 NPs”.</w:t>
      </w:r>
    </w:p>
    <w:p w14:paraId="47796137">
      <w:pPr>
        <w:rPr>
          <w:b w:val="0"/>
          <w:bCs w:val="0"/>
          <w:color w:val="auto"/>
        </w:rPr>
      </w:pPr>
      <w:r>
        <w:rPr>
          <w:b w:val="0"/>
          <w:bCs w:val="0"/>
          <w:color w:val="auto"/>
        </w:rPr>
        <w:drawing>
          <wp:inline distT="0" distB="0" distL="0" distR="0">
            <wp:extent cx="5210175" cy="4061460"/>
            <wp:effectExtent l="0" t="0" r="9525" b="0"/>
            <wp:docPr id="1155997503"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5997503" name="图片 5"/>
                    <pic:cNvPicPr>
                      <a:picLocks noChangeAspect="1"/>
                    </pic:cNvPicPr>
                  </pic:nvPicPr>
                  <pic:blipFill>
                    <a:blip r:embed="rId11"/>
                    <a:srcRect r="1216"/>
                    <a:stretch>
                      <a:fillRect/>
                    </a:stretch>
                  </pic:blipFill>
                  <pic:spPr>
                    <a:xfrm>
                      <a:off x="0" y="0"/>
                      <a:ext cx="5210175" cy="4061460"/>
                    </a:xfrm>
                    <a:prstGeom prst="rect">
                      <a:avLst/>
                    </a:prstGeom>
                    <a:ln>
                      <a:noFill/>
                    </a:ln>
                  </pic:spPr>
                </pic:pic>
              </a:graphicData>
            </a:graphic>
          </wp:inline>
        </w:drawing>
      </w:r>
    </w:p>
    <w:p w14:paraId="1693525A">
      <w:pPr>
        <w:rPr>
          <w:b w:val="0"/>
          <w:bCs w:val="0"/>
          <w:color w:val="auto"/>
        </w:rPr>
      </w:pPr>
      <w:r>
        <w:rPr>
          <w:rFonts w:ascii="Times New Roman Bold" w:hAnsi="Times New Roman Bold" w:cs="Times New Roman Bold"/>
          <w:color w:val="auto"/>
        </w:rPr>
        <w:t xml:space="preserve">Fig. </w:t>
      </w:r>
      <w:r>
        <w:rPr>
          <w:rFonts w:eastAsia="宋体"/>
          <w:color w:val="auto"/>
        </w:rPr>
        <w:t>S</w:t>
      </w:r>
      <w:r>
        <w:rPr>
          <w:rFonts w:hint="eastAsia" w:eastAsia="宋体"/>
          <w:color w:val="auto"/>
        </w:rPr>
        <w:t>4</w:t>
      </w:r>
      <w:r>
        <w:rPr>
          <w:rFonts w:ascii="Times New Roman Bold" w:hAnsi="Times New Roman Bold" w:cs="Times New Roman Bold"/>
          <w:color w:val="auto"/>
        </w:rPr>
        <w:t xml:space="preserve"> </w:t>
      </w:r>
      <w:r>
        <w:rPr>
          <w:rFonts w:hint="eastAsia"/>
          <w:b w:val="0"/>
          <w:bCs w:val="0"/>
          <w:color w:val="auto"/>
        </w:rPr>
        <w:t xml:space="preserve">The mechanism of anti-U87 cell activity. </w:t>
      </w:r>
      <w:r>
        <w:rPr>
          <w:rFonts w:hint="eastAsia"/>
          <w:color w:val="auto"/>
        </w:rPr>
        <w:t>A</w:t>
      </w:r>
      <w:r>
        <w:rPr>
          <w:rFonts w:hint="eastAsia"/>
          <w:b w:val="0"/>
          <w:bCs w:val="0"/>
          <w:color w:val="auto"/>
        </w:rPr>
        <w:t xml:space="preserve"> </w:t>
      </w:r>
      <w:r>
        <w:rPr>
          <w:b w:val="0"/>
          <w:bCs w:val="0"/>
          <w:color w:val="auto"/>
        </w:rPr>
        <w:t xml:space="preserve">Mitochondrial co-localization in U87 cells. </w:t>
      </w:r>
      <w:r>
        <w:rPr>
          <w:rFonts w:hint="eastAsia"/>
          <w:color w:val="auto"/>
        </w:rPr>
        <w:t>B</w:t>
      </w:r>
      <w:r>
        <w:rPr>
          <w:b w:val="0"/>
          <w:bCs w:val="0"/>
          <w:color w:val="auto"/>
        </w:rPr>
        <w:t xml:space="preserve"> Western blotting of lipoylated DLAT, DLAT, and FDX1 proteins in U87 cells. </w:t>
      </w:r>
      <w:r>
        <w:rPr>
          <w:rFonts w:hint="eastAsia"/>
          <w:color w:val="auto"/>
        </w:rPr>
        <w:t xml:space="preserve">C </w:t>
      </w:r>
      <w:r>
        <w:rPr>
          <w:b w:val="0"/>
          <w:bCs w:val="0"/>
          <w:color w:val="auto"/>
        </w:rPr>
        <w:t xml:space="preserve">The intracellular ATP level in U87 cells. </w:t>
      </w:r>
      <w:r>
        <w:rPr>
          <w:rFonts w:hint="eastAsia"/>
          <w:color w:val="auto"/>
        </w:rPr>
        <w:t>D</w:t>
      </w:r>
      <w:r>
        <w:rPr>
          <w:rFonts w:hint="eastAsia"/>
          <w:b w:val="0"/>
          <w:bCs w:val="0"/>
          <w:color w:val="auto"/>
        </w:rPr>
        <w:t xml:space="preserve"> </w:t>
      </w:r>
      <w:r>
        <w:rPr>
          <w:b w:val="0"/>
          <w:bCs w:val="0"/>
          <w:color w:val="auto"/>
        </w:rPr>
        <w:t xml:space="preserve">Western blotting of AMPK, p-AMPK, and PD-L1 proteins in U87 cells. </w:t>
      </w:r>
      <w:r>
        <w:rPr>
          <w:rFonts w:hint="eastAsia"/>
          <w:color w:val="auto"/>
        </w:rPr>
        <w:t>E</w:t>
      </w:r>
      <w:r>
        <w:rPr>
          <w:b w:val="0"/>
          <w:bCs w:val="0"/>
          <w:color w:val="auto"/>
        </w:rPr>
        <w:t xml:space="preserve"> The relative ratio of GSH/GSSG level in U87 cells. </w:t>
      </w:r>
      <w:r>
        <w:rPr>
          <w:rFonts w:hint="eastAsia"/>
          <w:color w:val="auto"/>
        </w:rPr>
        <w:t>F</w:t>
      </w:r>
      <w:r>
        <w:rPr>
          <w:b w:val="0"/>
          <w:bCs w:val="0"/>
          <w:color w:val="auto"/>
        </w:rPr>
        <w:t xml:space="preserve"> The fluorescence images of ROS generation in U87 cells. </w:t>
      </w:r>
      <w:r>
        <w:rPr>
          <w:rFonts w:hint="eastAsia"/>
          <w:color w:val="auto"/>
        </w:rPr>
        <w:t>G</w:t>
      </w:r>
      <w:r>
        <w:rPr>
          <w:b w:val="0"/>
          <w:bCs w:val="0"/>
          <w:color w:val="auto"/>
        </w:rPr>
        <w:t xml:space="preserve"> Western blotting of cGAS-STING signaling pathway in U87 cells. Data were shown as mean ± SD. (*</w:t>
      </w:r>
      <w:r>
        <w:rPr>
          <w:rFonts w:eastAsia="宋体"/>
          <w:b w:val="0"/>
          <w:bCs w:val="0"/>
          <w:i/>
          <w:iCs/>
          <w:color w:val="auto"/>
        </w:rPr>
        <w:t xml:space="preserve">p </w:t>
      </w:r>
      <w:r>
        <w:rPr>
          <w:b w:val="0"/>
          <w:bCs w:val="0"/>
          <w:color w:val="auto"/>
        </w:rPr>
        <w:t>&lt; 0.05; **</w:t>
      </w:r>
      <w:r>
        <w:rPr>
          <w:rFonts w:eastAsia="宋体"/>
          <w:b w:val="0"/>
          <w:bCs w:val="0"/>
          <w:i/>
          <w:iCs/>
          <w:color w:val="auto"/>
        </w:rPr>
        <w:t>p</w:t>
      </w:r>
      <w:r>
        <w:rPr>
          <w:b w:val="0"/>
          <w:bCs w:val="0"/>
          <w:i/>
          <w:iCs/>
          <w:color w:val="auto"/>
        </w:rPr>
        <w:t xml:space="preserve"> </w:t>
      </w:r>
      <w:r>
        <w:rPr>
          <w:b w:val="0"/>
          <w:bCs w:val="0"/>
          <w:color w:val="auto"/>
        </w:rPr>
        <w:t>&lt;0.01; ***</w:t>
      </w:r>
      <w:r>
        <w:rPr>
          <w:rFonts w:eastAsia="宋体"/>
          <w:b w:val="0"/>
          <w:bCs w:val="0"/>
          <w:i/>
          <w:iCs/>
          <w:color w:val="auto"/>
        </w:rPr>
        <w:t>p</w:t>
      </w:r>
      <w:r>
        <w:rPr>
          <w:b w:val="0"/>
          <w:bCs w:val="0"/>
          <w:i/>
          <w:iCs/>
          <w:color w:val="auto"/>
        </w:rPr>
        <w:t xml:space="preserve"> </w:t>
      </w:r>
      <w:r>
        <w:rPr>
          <w:b w:val="0"/>
          <w:bCs w:val="0"/>
          <w:color w:val="auto"/>
        </w:rPr>
        <w:t>&lt; 0.001; ****</w:t>
      </w:r>
      <w:r>
        <w:rPr>
          <w:rFonts w:eastAsia="宋体"/>
          <w:b w:val="0"/>
          <w:bCs w:val="0"/>
          <w:i/>
          <w:iCs/>
          <w:color w:val="auto"/>
        </w:rPr>
        <w:t>p</w:t>
      </w:r>
      <w:r>
        <w:rPr>
          <w:b w:val="0"/>
          <w:bCs w:val="0"/>
          <w:color w:val="auto"/>
        </w:rPr>
        <w:t xml:space="preserve"> &lt; 0.0001). “NPs” represents “TCe6@Cu/TP5 NPs”.</w:t>
      </w:r>
    </w:p>
    <w:p w14:paraId="2CCAF23B">
      <w:pPr>
        <w:rPr>
          <w:b w:val="0"/>
          <w:bCs w:val="0"/>
          <w:color w:val="auto"/>
        </w:rPr>
      </w:pPr>
      <w:r>
        <w:rPr>
          <w:b w:val="0"/>
          <w:bCs w:val="0"/>
          <w:color w:val="auto"/>
        </w:rPr>
        <w:drawing>
          <wp:inline distT="0" distB="0" distL="0" distR="0">
            <wp:extent cx="5274310" cy="5781675"/>
            <wp:effectExtent l="0" t="0" r="2540" b="9525"/>
            <wp:docPr id="588347652"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8347652" name="图片 6"/>
                    <pic:cNvPicPr>
                      <a:picLocks noChangeAspect="1"/>
                    </pic:cNvPicPr>
                  </pic:nvPicPr>
                  <pic:blipFill>
                    <a:blip r:embed="rId12"/>
                    <a:stretch>
                      <a:fillRect/>
                    </a:stretch>
                  </pic:blipFill>
                  <pic:spPr>
                    <a:xfrm>
                      <a:off x="0" y="0"/>
                      <a:ext cx="5274310" cy="5781675"/>
                    </a:xfrm>
                    <a:prstGeom prst="rect">
                      <a:avLst/>
                    </a:prstGeom>
                  </pic:spPr>
                </pic:pic>
              </a:graphicData>
            </a:graphic>
          </wp:inline>
        </w:drawing>
      </w:r>
    </w:p>
    <w:p w14:paraId="00BB895E">
      <w:pPr>
        <w:rPr>
          <w:b w:val="0"/>
          <w:bCs w:val="0"/>
          <w:color w:val="auto"/>
        </w:rPr>
      </w:pPr>
      <w:r>
        <w:rPr>
          <w:rFonts w:ascii="Times New Roman Bold" w:hAnsi="Times New Roman Bold" w:cs="Times New Roman Bold"/>
          <w:color w:val="auto"/>
        </w:rPr>
        <w:t xml:space="preserve">Fig. </w:t>
      </w:r>
      <w:r>
        <w:rPr>
          <w:rFonts w:eastAsia="宋体"/>
          <w:color w:val="auto"/>
        </w:rPr>
        <w:t>S</w:t>
      </w:r>
      <w:r>
        <w:rPr>
          <w:rFonts w:hint="eastAsia" w:eastAsia="宋体"/>
          <w:color w:val="auto"/>
        </w:rPr>
        <w:t>5</w:t>
      </w:r>
      <w:bookmarkStart w:id="2" w:name="OLE_LINK1"/>
      <w:r>
        <w:rPr>
          <w:rFonts w:ascii="Times New Roman Bold" w:hAnsi="Times New Roman Bold" w:cs="Times New Roman Bold"/>
          <w:color w:val="auto"/>
        </w:rPr>
        <w:t xml:space="preserve"> </w:t>
      </w:r>
      <w:r>
        <w:rPr>
          <w:rStyle w:val="13"/>
          <w:b w:val="0"/>
          <w:bCs w:val="0"/>
          <w:color w:val="auto"/>
          <w:sz w:val="28"/>
          <w:szCs w:val="28"/>
        </w:rPr>
        <w:t>The mechanism of the orthotopic GBM in mice</w:t>
      </w:r>
      <w:r>
        <w:rPr>
          <w:rFonts w:hint="eastAsia"/>
          <w:b w:val="0"/>
          <w:bCs w:val="0"/>
          <w:color w:val="auto"/>
        </w:rPr>
        <w:t>.</w:t>
      </w:r>
      <w:r>
        <w:rPr>
          <w:b w:val="0"/>
          <w:bCs w:val="0"/>
          <w:color w:val="auto"/>
        </w:rPr>
        <w:t xml:space="preserve"> </w:t>
      </w:r>
      <w:r>
        <w:rPr>
          <w:rFonts w:hint="eastAsia"/>
          <w:color w:val="auto"/>
        </w:rPr>
        <w:t>A, B</w:t>
      </w:r>
      <w:r>
        <w:rPr>
          <w:b w:val="0"/>
          <w:bCs w:val="0"/>
          <w:color w:val="auto"/>
        </w:rPr>
        <w:t xml:space="preserve"> Liver </w:t>
      </w:r>
      <w:r>
        <w:rPr>
          <w:rFonts w:eastAsia="宋体"/>
          <w:b w:val="0"/>
          <w:bCs w:val="0"/>
          <w:color w:val="auto"/>
        </w:rPr>
        <w:t>ALT and AST</w:t>
      </w:r>
      <w:r>
        <w:rPr>
          <w:b w:val="0"/>
          <w:bCs w:val="0"/>
          <w:color w:val="auto"/>
        </w:rPr>
        <w:t xml:space="preserve"> levels in serum. </w:t>
      </w:r>
      <w:r>
        <w:rPr>
          <w:rFonts w:hint="eastAsia"/>
          <w:color w:val="auto"/>
        </w:rPr>
        <w:t>C, D</w:t>
      </w:r>
      <w:r>
        <w:rPr>
          <w:b w:val="0"/>
          <w:bCs w:val="0"/>
          <w:color w:val="auto"/>
        </w:rPr>
        <w:t xml:space="preserve"> Kidney </w:t>
      </w:r>
      <w:r>
        <w:rPr>
          <w:rFonts w:eastAsia="宋体"/>
          <w:b w:val="0"/>
          <w:bCs w:val="0"/>
          <w:color w:val="auto"/>
        </w:rPr>
        <w:t>URE</w:t>
      </w:r>
      <w:r>
        <w:rPr>
          <w:rFonts w:hint="eastAsia" w:eastAsia="宋体"/>
          <w:b w:val="0"/>
          <w:bCs w:val="0"/>
          <w:color w:val="auto"/>
        </w:rPr>
        <w:t>A</w:t>
      </w:r>
      <w:r>
        <w:rPr>
          <w:rFonts w:eastAsia="宋体"/>
          <w:b w:val="0"/>
          <w:bCs w:val="0"/>
          <w:color w:val="auto"/>
        </w:rPr>
        <w:t xml:space="preserve"> and CRE</w:t>
      </w:r>
      <w:r>
        <w:rPr>
          <w:b w:val="0"/>
          <w:bCs w:val="0"/>
          <w:color w:val="auto"/>
        </w:rPr>
        <w:t xml:space="preserve"> levels in serum</w:t>
      </w:r>
      <w:bookmarkEnd w:id="2"/>
      <w:r>
        <w:rPr>
          <w:rFonts w:hint="eastAsia"/>
          <w:b w:val="0"/>
          <w:bCs w:val="0"/>
          <w:color w:val="auto"/>
        </w:rPr>
        <w:t>.</w:t>
      </w:r>
      <w:r>
        <w:rPr>
          <w:b w:val="0"/>
          <w:bCs w:val="0"/>
          <w:color w:val="auto"/>
        </w:rPr>
        <w:t xml:space="preserve"> </w:t>
      </w:r>
      <w:r>
        <w:rPr>
          <w:rFonts w:hint="eastAsia"/>
          <w:color w:val="auto"/>
        </w:rPr>
        <w:t>E-G</w:t>
      </w:r>
      <w:r>
        <w:rPr>
          <w:color w:val="auto"/>
        </w:rPr>
        <w:t xml:space="preserve"> </w:t>
      </w:r>
      <w:r>
        <w:rPr>
          <w:b w:val="0"/>
          <w:bCs w:val="0"/>
          <w:color w:val="auto"/>
        </w:rPr>
        <w:t xml:space="preserve">Flow cytometry analysis of </w:t>
      </w:r>
      <w:r>
        <w:rPr>
          <w:rFonts w:eastAsia="宋体"/>
          <w:b w:val="0"/>
          <w:bCs w:val="0"/>
          <w:color w:val="auto"/>
        </w:rPr>
        <w:t>CD4</w:t>
      </w:r>
      <w:r>
        <w:rPr>
          <w:rFonts w:eastAsia="宋体"/>
          <w:b w:val="0"/>
          <w:bCs w:val="0"/>
          <w:color w:val="auto"/>
          <w:vertAlign w:val="superscript"/>
        </w:rPr>
        <w:t>+</w:t>
      </w:r>
      <w:r>
        <w:rPr>
          <w:rFonts w:eastAsia="宋体"/>
          <w:b w:val="0"/>
          <w:bCs w:val="0"/>
          <w:color w:val="auto"/>
        </w:rPr>
        <w:t>, CD8</w:t>
      </w:r>
      <w:r>
        <w:rPr>
          <w:rFonts w:eastAsia="宋体"/>
          <w:b w:val="0"/>
          <w:bCs w:val="0"/>
          <w:color w:val="auto"/>
          <w:vertAlign w:val="superscript"/>
        </w:rPr>
        <w:t>+</w:t>
      </w:r>
      <w:r>
        <w:rPr>
          <w:b w:val="0"/>
          <w:bCs w:val="0"/>
          <w:color w:val="auto"/>
        </w:rPr>
        <w:t xml:space="preserve"> T cells, DC cells, and Tregs in spleen tissue. </w:t>
      </w:r>
      <w:bookmarkStart w:id="3" w:name="_Hlk156172031"/>
      <w:r>
        <w:rPr>
          <w:b w:val="0"/>
          <w:bCs w:val="0"/>
          <w:color w:val="auto"/>
        </w:rPr>
        <w:t>Data were shown as mean ± SD. (*</w:t>
      </w:r>
      <w:r>
        <w:rPr>
          <w:b w:val="0"/>
          <w:bCs w:val="0"/>
          <w:i/>
          <w:iCs/>
          <w:color w:val="auto"/>
        </w:rPr>
        <w:t>p</w:t>
      </w:r>
      <w:r>
        <w:rPr>
          <w:b w:val="0"/>
          <w:bCs w:val="0"/>
          <w:color w:val="auto"/>
        </w:rPr>
        <w:t xml:space="preserve"> &lt; 0.05; **</w:t>
      </w:r>
      <w:r>
        <w:rPr>
          <w:b w:val="0"/>
          <w:bCs w:val="0"/>
          <w:i/>
          <w:iCs/>
          <w:color w:val="auto"/>
        </w:rPr>
        <w:t>p</w:t>
      </w:r>
      <w:r>
        <w:rPr>
          <w:b w:val="0"/>
          <w:bCs w:val="0"/>
          <w:color w:val="auto"/>
        </w:rPr>
        <w:t xml:space="preserve"> &lt;0.01). “NPs” represents “TCe6@Cu/TP5 NPs”.</w:t>
      </w:r>
    </w:p>
    <w:bookmarkEnd w:id="3"/>
    <w:p w14:paraId="2E4148F8">
      <w:pPr>
        <w:rPr>
          <w:b w:val="0"/>
          <w:bCs w:val="0"/>
          <w:color w:val="auto"/>
        </w:rPr>
      </w:pPr>
      <w:r>
        <w:rPr>
          <w:b w:val="0"/>
          <w:bCs w:val="0"/>
          <w:color w:val="auto"/>
        </w:rPr>
        <w:drawing>
          <wp:inline distT="0" distB="0" distL="0" distR="0">
            <wp:extent cx="5274310" cy="4389120"/>
            <wp:effectExtent l="0" t="0" r="2540" b="0"/>
            <wp:docPr id="1028897578"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897578" name="图片 7"/>
                    <pic:cNvPicPr>
                      <a:picLocks noChangeAspect="1"/>
                    </pic:cNvPicPr>
                  </pic:nvPicPr>
                  <pic:blipFill>
                    <a:blip r:embed="rId13"/>
                    <a:stretch>
                      <a:fillRect/>
                    </a:stretch>
                  </pic:blipFill>
                  <pic:spPr>
                    <a:xfrm>
                      <a:off x="0" y="0"/>
                      <a:ext cx="5274310" cy="4389120"/>
                    </a:xfrm>
                    <a:prstGeom prst="rect">
                      <a:avLst/>
                    </a:prstGeom>
                  </pic:spPr>
                </pic:pic>
              </a:graphicData>
            </a:graphic>
          </wp:inline>
        </w:drawing>
      </w:r>
      <w:r>
        <w:rPr>
          <w:rFonts w:ascii="Times New Roman Bold" w:hAnsi="Times New Roman Bold" w:cs="Times New Roman Bold"/>
          <w:color w:val="auto"/>
        </w:rPr>
        <w:t xml:space="preserve">Fig. </w:t>
      </w:r>
      <w:r>
        <w:rPr>
          <w:rFonts w:eastAsia="宋体"/>
          <w:color w:val="auto"/>
        </w:rPr>
        <w:t>S</w:t>
      </w:r>
      <w:r>
        <w:rPr>
          <w:rFonts w:hint="eastAsia" w:eastAsia="宋体"/>
          <w:color w:val="auto"/>
        </w:rPr>
        <w:t>6</w:t>
      </w:r>
      <w:r>
        <w:rPr>
          <w:rFonts w:ascii="Times New Roman Bold" w:hAnsi="Times New Roman Bold" w:cs="Times New Roman Bold"/>
          <w:color w:val="auto"/>
        </w:rPr>
        <w:t xml:space="preserve"> </w:t>
      </w:r>
      <w:r>
        <w:rPr>
          <w:rStyle w:val="7"/>
          <w:b w:val="0"/>
          <w:bCs w:val="0"/>
          <w:color w:val="auto"/>
        </w:rPr>
        <w:t>The photoimmunotherapy with TCe6@Cu/TP5 in bilateral GBM mice</w:t>
      </w:r>
      <w:r>
        <w:rPr>
          <w:rFonts w:hint="eastAsia"/>
          <w:b w:val="0"/>
          <w:bCs w:val="0"/>
          <w:color w:val="auto"/>
        </w:rPr>
        <w:t>.</w:t>
      </w:r>
      <w:r>
        <w:rPr>
          <w:rFonts w:hint="eastAsia" w:ascii="Times New Roman Bold" w:hAnsi="Times New Roman Bold" w:cs="Times New Roman Bold"/>
          <w:color w:val="auto"/>
        </w:rPr>
        <w:t xml:space="preserve"> </w:t>
      </w:r>
      <w:r>
        <w:rPr>
          <w:rFonts w:hint="eastAsia"/>
          <w:color w:val="auto"/>
        </w:rPr>
        <w:t>A</w:t>
      </w:r>
      <w:r>
        <w:rPr>
          <w:b w:val="0"/>
          <w:bCs w:val="0"/>
          <w:color w:val="auto"/>
        </w:rPr>
        <w:t xml:space="preserve"> Treatment timeline depiction of GBM treatment.</w:t>
      </w:r>
      <w:r>
        <w:rPr>
          <w:rFonts w:hint="eastAsia"/>
          <w:b w:val="0"/>
          <w:bCs w:val="0"/>
          <w:color w:val="auto"/>
        </w:rPr>
        <w:t xml:space="preserve"> </w:t>
      </w:r>
      <w:r>
        <w:rPr>
          <w:rFonts w:hint="eastAsia"/>
          <w:color w:val="auto"/>
        </w:rPr>
        <w:t>B</w:t>
      </w:r>
      <w:r>
        <w:rPr>
          <w:b w:val="0"/>
          <w:bCs w:val="0"/>
          <w:color w:val="auto"/>
        </w:rPr>
        <w:t xml:space="preserve"> Primary tumor volume of different groups on the 13th day.</w:t>
      </w:r>
      <w:r>
        <w:rPr>
          <w:rFonts w:hint="eastAsia"/>
          <w:b w:val="0"/>
          <w:bCs w:val="0"/>
          <w:color w:val="auto"/>
        </w:rPr>
        <w:t xml:space="preserve"> </w:t>
      </w:r>
      <w:r>
        <w:rPr>
          <w:rFonts w:hint="eastAsia"/>
          <w:color w:val="auto"/>
        </w:rPr>
        <w:t>D, E</w:t>
      </w:r>
      <w:r>
        <w:rPr>
          <w:b w:val="0"/>
          <w:bCs w:val="0"/>
          <w:color w:val="auto"/>
        </w:rPr>
        <w:t xml:space="preserve"> Liver </w:t>
      </w:r>
      <w:r>
        <w:rPr>
          <w:rFonts w:eastAsia="宋体"/>
          <w:b w:val="0"/>
          <w:bCs w:val="0"/>
          <w:color w:val="auto"/>
        </w:rPr>
        <w:t>ALT and AST</w:t>
      </w:r>
      <w:r>
        <w:rPr>
          <w:b w:val="0"/>
          <w:bCs w:val="0"/>
          <w:color w:val="auto"/>
        </w:rPr>
        <w:t xml:space="preserve"> levels in serum.</w:t>
      </w:r>
      <w:r>
        <w:rPr>
          <w:rFonts w:hint="eastAsia"/>
          <w:b w:val="0"/>
          <w:bCs w:val="0"/>
          <w:color w:val="auto"/>
        </w:rPr>
        <w:t xml:space="preserve"> </w:t>
      </w:r>
      <w:r>
        <w:rPr>
          <w:rFonts w:hint="eastAsia"/>
          <w:color w:val="auto"/>
        </w:rPr>
        <w:t>F, G</w:t>
      </w:r>
      <w:r>
        <w:rPr>
          <w:b w:val="0"/>
          <w:bCs w:val="0"/>
          <w:color w:val="auto"/>
        </w:rPr>
        <w:t xml:space="preserve"> Kidney </w:t>
      </w:r>
      <w:r>
        <w:rPr>
          <w:rFonts w:eastAsia="宋体"/>
          <w:b w:val="0"/>
          <w:bCs w:val="0"/>
          <w:color w:val="auto"/>
        </w:rPr>
        <w:t>UREA and CRE</w:t>
      </w:r>
      <w:r>
        <w:rPr>
          <w:b w:val="0"/>
          <w:bCs w:val="0"/>
          <w:color w:val="auto"/>
        </w:rPr>
        <w:t xml:space="preserve"> levels in serum. </w:t>
      </w:r>
      <w:r>
        <w:rPr>
          <w:rFonts w:hint="eastAsia"/>
          <w:color w:val="auto"/>
        </w:rPr>
        <w:t>H</w:t>
      </w:r>
      <w:r>
        <w:rPr>
          <w:rFonts w:hint="eastAsia"/>
          <w:b w:val="0"/>
          <w:bCs w:val="0"/>
          <w:color w:val="auto"/>
        </w:rPr>
        <w:t xml:space="preserve"> </w:t>
      </w:r>
      <w:r>
        <w:rPr>
          <w:b w:val="0"/>
          <w:bCs w:val="0"/>
          <w:color w:val="auto"/>
        </w:rPr>
        <w:t>H&amp;E staining of main organs including heart, liver, spleen, lung, and kidney.</w:t>
      </w:r>
      <w:r>
        <w:rPr>
          <w:rFonts w:hint="eastAsia" w:ascii="Times New Roman Bold" w:hAnsi="Times New Roman Bold" w:cs="Times New Roman Bold"/>
          <w:color w:val="auto"/>
        </w:rPr>
        <w:t xml:space="preserve"> </w:t>
      </w:r>
      <w:r>
        <w:rPr>
          <w:rFonts w:hint="eastAsia"/>
          <w:color w:val="auto"/>
        </w:rPr>
        <w:t>I</w:t>
      </w:r>
      <w:r>
        <w:rPr>
          <w:b w:val="0"/>
          <w:bCs w:val="0"/>
          <w:color w:val="auto"/>
        </w:rPr>
        <w:t xml:space="preserve"> bilateral GBM mice on the ninth day are depicted, with the white circle marking the primary tumor and the red circle marking the distant tumor. Data were shown as mean ± SD. (*</w:t>
      </w:r>
      <w:r>
        <w:rPr>
          <w:b w:val="0"/>
          <w:bCs w:val="0"/>
          <w:i/>
          <w:iCs/>
          <w:color w:val="auto"/>
        </w:rPr>
        <w:t>p</w:t>
      </w:r>
      <w:r>
        <w:rPr>
          <w:b w:val="0"/>
          <w:bCs w:val="0"/>
          <w:color w:val="auto"/>
        </w:rPr>
        <w:t xml:space="preserve"> &lt; 0.05; **</w:t>
      </w:r>
      <w:r>
        <w:rPr>
          <w:b w:val="0"/>
          <w:bCs w:val="0"/>
          <w:i/>
          <w:iCs/>
          <w:color w:val="auto"/>
        </w:rPr>
        <w:t>p</w:t>
      </w:r>
      <w:r>
        <w:rPr>
          <w:b w:val="0"/>
          <w:bCs w:val="0"/>
          <w:color w:val="auto"/>
        </w:rPr>
        <w:t xml:space="preserve"> &lt;0.01). “NPs” represents “TCe6@Cu/TP5 NPs”.</w:t>
      </w:r>
    </w:p>
    <w:sectPr>
      <w:footerReference r:id="rId6" w:type="default"/>
      <w:pgSz w:w="11906" w:h="16838"/>
      <w:pgMar w:top="1440" w:right="1800" w:bottom="1440" w:left="1800" w:header="851" w:footer="992" w:gutter="0"/>
      <w:lnNumType w:countBy="1"/>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imes New Roman Bold">
    <w:altName w:val="Times New Roman"/>
    <w:panose1 w:val="02020803070505020304"/>
    <w:charset w:val="00"/>
    <w:family w:val="auto"/>
    <w:pitch w:val="default"/>
    <w:sig w:usb0="00000000" w:usb1="00000000" w:usb2="00000001" w:usb3="00000000" w:csb0="400001BF" w:csb1="DFF70000"/>
  </w:font>
  <w:font w:name="等线">
    <w:panose1 w:val="02010600030101010101"/>
    <w:charset w:val="86"/>
    <w:family w:val="auto"/>
    <w:pitch w:val="default"/>
    <w:sig w:usb0="A00002BF" w:usb1="38CF7CFA" w:usb2="00000016" w:usb3="00000000" w:csb0="0004000F" w:csb1="00000000"/>
  </w:font>
  <w:font w:name="Times New Roman Italic">
    <w:altName w:val="Times New Roman"/>
    <w:panose1 w:val="02020503050405090304"/>
    <w:charset w:val="00"/>
    <w:family w:val="auto"/>
    <w:pitch w:val="default"/>
    <w:sig w:usb0="00000000" w:usb1="00000000" w:usb2="00000001" w:usb3="00000000" w:csb0="400001BF" w:csb1="DFF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EA107D">
    <w:pPr>
      <w:pStyle w:val="2"/>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59DCD80">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459DCD80">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sdtPr>
    <w:sdtContent>
      <w:p w14:paraId="27247B59">
        <w:pPr>
          <w:pStyle w:val="2"/>
          <w:jc w:val="center"/>
        </w:pPr>
        <w:r>
          <w:fldChar w:fldCharType="begin"/>
        </w:r>
        <w:r>
          <w:instrText xml:space="preserve">PAGE   \* MERGEFORMAT</w:instrText>
        </w:r>
        <w:r>
          <w:fldChar w:fldCharType="separate"/>
        </w:r>
        <w:r>
          <w:rPr>
            <w:lang w:val="zh-CN"/>
          </w:rPr>
          <w:t>2</w:t>
        </w:r>
        <w:r>
          <w:fldChar w:fldCharType="end"/>
        </w:r>
      </w:p>
    </w:sdtContent>
  </w:sdt>
  <w:p w14:paraId="3D9CBF54">
    <w:pPr>
      <w:pStyle w:val="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FmZWIzNDg2MmIzZjExOTIzMmViNTBmYTMwYTk0ZWYifQ=="/>
    <w:docVar w:name="KY_MEDREF_DOCUID" w:val="{67A8ECDA-473A-411B-9822-838919D72CF4}"/>
    <w:docVar w:name="KY_MEDREF_VERSION" w:val="3"/>
  </w:docVars>
  <w:rsids>
    <w:rsidRoot w:val="00D040CD"/>
    <w:rsid w:val="000377EB"/>
    <w:rsid w:val="00060A28"/>
    <w:rsid w:val="00063784"/>
    <w:rsid w:val="00072794"/>
    <w:rsid w:val="000C1AF2"/>
    <w:rsid w:val="000C446F"/>
    <w:rsid w:val="000D1062"/>
    <w:rsid w:val="000F3602"/>
    <w:rsid w:val="000F7C06"/>
    <w:rsid w:val="00122F1D"/>
    <w:rsid w:val="00137C4F"/>
    <w:rsid w:val="00145025"/>
    <w:rsid w:val="00174E48"/>
    <w:rsid w:val="001B142E"/>
    <w:rsid w:val="001B3F60"/>
    <w:rsid w:val="001D4F01"/>
    <w:rsid w:val="00210709"/>
    <w:rsid w:val="0021742E"/>
    <w:rsid w:val="00217847"/>
    <w:rsid w:val="00235762"/>
    <w:rsid w:val="00237614"/>
    <w:rsid w:val="00253124"/>
    <w:rsid w:val="00267085"/>
    <w:rsid w:val="00282901"/>
    <w:rsid w:val="00292B1D"/>
    <w:rsid w:val="002B07C0"/>
    <w:rsid w:val="002D2D5C"/>
    <w:rsid w:val="00370FF9"/>
    <w:rsid w:val="00375749"/>
    <w:rsid w:val="003B1E29"/>
    <w:rsid w:val="003D1677"/>
    <w:rsid w:val="00442DC7"/>
    <w:rsid w:val="00453FF6"/>
    <w:rsid w:val="00460353"/>
    <w:rsid w:val="00481ADD"/>
    <w:rsid w:val="00497F45"/>
    <w:rsid w:val="004C1967"/>
    <w:rsid w:val="004F159E"/>
    <w:rsid w:val="00501846"/>
    <w:rsid w:val="0056561E"/>
    <w:rsid w:val="005C55AC"/>
    <w:rsid w:val="005F04D6"/>
    <w:rsid w:val="00616729"/>
    <w:rsid w:val="006261EE"/>
    <w:rsid w:val="006647A8"/>
    <w:rsid w:val="006A31E3"/>
    <w:rsid w:val="006A539B"/>
    <w:rsid w:val="006E45C6"/>
    <w:rsid w:val="007016F4"/>
    <w:rsid w:val="00712A3C"/>
    <w:rsid w:val="007268F3"/>
    <w:rsid w:val="007276B5"/>
    <w:rsid w:val="00766A86"/>
    <w:rsid w:val="00772AF8"/>
    <w:rsid w:val="007779F9"/>
    <w:rsid w:val="00785669"/>
    <w:rsid w:val="0078682E"/>
    <w:rsid w:val="00792736"/>
    <w:rsid w:val="007C561C"/>
    <w:rsid w:val="00800A40"/>
    <w:rsid w:val="0080374D"/>
    <w:rsid w:val="00804840"/>
    <w:rsid w:val="008269B4"/>
    <w:rsid w:val="00833324"/>
    <w:rsid w:val="008540BF"/>
    <w:rsid w:val="008606F7"/>
    <w:rsid w:val="008959B0"/>
    <w:rsid w:val="00897D8D"/>
    <w:rsid w:val="008D4C08"/>
    <w:rsid w:val="008E3769"/>
    <w:rsid w:val="008F21B0"/>
    <w:rsid w:val="0091425F"/>
    <w:rsid w:val="00920F9F"/>
    <w:rsid w:val="00964B96"/>
    <w:rsid w:val="00973174"/>
    <w:rsid w:val="00975761"/>
    <w:rsid w:val="009B4608"/>
    <w:rsid w:val="009E6C52"/>
    <w:rsid w:val="00A1658F"/>
    <w:rsid w:val="00A50C1B"/>
    <w:rsid w:val="00AA313E"/>
    <w:rsid w:val="00AD1006"/>
    <w:rsid w:val="00AD6A47"/>
    <w:rsid w:val="00B06DBE"/>
    <w:rsid w:val="00B26D21"/>
    <w:rsid w:val="00B309DA"/>
    <w:rsid w:val="00B603D9"/>
    <w:rsid w:val="00B6283D"/>
    <w:rsid w:val="00BA0AB9"/>
    <w:rsid w:val="00BA1DAD"/>
    <w:rsid w:val="00BA6564"/>
    <w:rsid w:val="00BC3BAF"/>
    <w:rsid w:val="00C26BD7"/>
    <w:rsid w:val="00C5550C"/>
    <w:rsid w:val="00C86846"/>
    <w:rsid w:val="00C9670C"/>
    <w:rsid w:val="00CB1915"/>
    <w:rsid w:val="00D02916"/>
    <w:rsid w:val="00D040CD"/>
    <w:rsid w:val="00D10BA1"/>
    <w:rsid w:val="00D12302"/>
    <w:rsid w:val="00D20156"/>
    <w:rsid w:val="00D2549B"/>
    <w:rsid w:val="00D85B9F"/>
    <w:rsid w:val="00D966DA"/>
    <w:rsid w:val="00DF267A"/>
    <w:rsid w:val="00DF65F2"/>
    <w:rsid w:val="00E17944"/>
    <w:rsid w:val="00E33701"/>
    <w:rsid w:val="00E447E4"/>
    <w:rsid w:val="00E7480F"/>
    <w:rsid w:val="00E9185C"/>
    <w:rsid w:val="00EC036D"/>
    <w:rsid w:val="00F00AFC"/>
    <w:rsid w:val="00F1355B"/>
    <w:rsid w:val="00F27138"/>
    <w:rsid w:val="00F3242F"/>
    <w:rsid w:val="00F40AB1"/>
    <w:rsid w:val="00F5089E"/>
    <w:rsid w:val="00F5654A"/>
    <w:rsid w:val="00F66183"/>
    <w:rsid w:val="00F94E80"/>
    <w:rsid w:val="00FA281C"/>
    <w:rsid w:val="00FB274B"/>
    <w:rsid w:val="00FE1181"/>
    <w:rsid w:val="04D26031"/>
    <w:rsid w:val="08033CE1"/>
    <w:rsid w:val="26421153"/>
    <w:rsid w:val="267E63FD"/>
    <w:rsid w:val="277FA544"/>
    <w:rsid w:val="2FAC0F91"/>
    <w:rsid w:val="33291C10"/>
    <w:rsid w:val="41FB0EEA"/>
    <w:rsid w:val="448B500A"/>
    <w:rsid w:val="5FFF1D46"/>
    <w:rsid w:val="65F98312"/>
    <w:rsid w:val="67D75406"/>
    <w:rsid w:val="69A419C9"/>
    <w:rsid w:val="7B226D87"/>
    <w:rsid w:val="7DBB7264"/>
    <w:rsid w:val="7F771C2C"/>
    <w:rsid w:val="9FB7A99D"/>
    <w:rsid w:val="F6B7D59E"/>
    <w:rsid w:val="FFF35CC9"/>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qFormat="1"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360" w:lineRule="auto"/>
      <w:jc w:val="both"/>
    </w:pPr>
    <w:rPr>
      <w:rFonts w:ascii="Times New Roman" w:hAnsi="Times New Roman" w:cs="Times New Roman" w:eastAsiaTheme="minorEastAsia"/>
      <w:b/>
      <w:bCs/>
      <w:kern w:val="2"/>
      <w:sz w:val="28"/>
      <w:szCs w:val="28"/>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1"/>
    <w:uiPriority w:val="0"/>
    <w:pPr>
      <w:tabs>
        <w:tab w:val="center" w:pos="4153"/>
        <w:tab w:val="right" w:pos="8306"/>
      </w:tabs>
      <w:snapToGrid w:val="0"/>
      <w:jc w:val="left"/>
    </w:pPr>
    <w:rPr>
      <w:sz w:val="18"/>
      <w:szCs w:val="18"/>
    </w:rPr>
  </w:style>
  <w:style w:type="paragraph" w:styleId="3">
    <w:name w:val="header"/>
    <w:basedOn w:val="1"/>
    <w:link w:val="10"/>
    <w:qFormat/>
    <w:uiPriority w:val="0"/>
    <w:pPr>
      <w:tabs>
        <w:tab w:val="center" w:pos="4153"/>
        <w:tab w:val="right" w:pos="8306"/>
      </w:tabs>
      <w:snapToGrid w:val="0"/>
      <w:jc w:val="center"/>
    </w:pPr>
    <w:rPr>
      <w:sz w:val="18"/>
      <w:szCs w:val="18"/>
    </w:rPr>
  </w:style>
  <w:style w:type="paragraph" w:styleId="4">
    <w:name w:val="Subtitle"/>
    <w:basedOn w:val="1"/>
    <w:next w:val="1"/>
    <w:link w:val="13"/>
    <w:qFormat/>
    <w:uiPriority w:val="0"/>
    <w:pPr>
      <w:spacing w:before="240" w:after="60" w:line="312" w:lineRule="auto"/>
      <w:jc w:val="center"/>
      <w:outlineLvl w:val="1"/>
    </w:pPr>
    <w:rPr>
      <w:rFonts w:asciiTheme="minorHAnsi" w:hAnsiTheme="minorHAnsi" w:cstheme="minorBidi"/>
      <w:kern w:val="28"/>
      <w:sz w:val="32"/>
      <w:szCs w:val="32"/>
    </w:rPr>
  </w:style>
  <w:style w:type="character" w:styleId="7">
    <w:name w:val="Strong"/>
    <w:basedOn w:val="6"/>
    <w:qFormat/>
    <w:uiPriority w:val="0"/>
    <w:rPr>
      <w:b/>
      <w:bCs/>
    </w:rPr>
  </w:style>
  <w:style w:type="character" w:styleId="8">
    <w:name w:val="line number"/>
    <w:basedOn w:val="6"/>
    <w:qFormat/>
    <w:uiPriority w:val="0"/>
  </w:style>
  <w:style w:type="paragraph" w:customStyle="1" w:styleId="9">
    <w:name w:val="first"/>
    <w:basedOn w:val="1"/>
    <w:qFormat/>
    <w:uiPriority w:val="0"/>
    <w:pPr>
      <w:spacing w:before="100" w:beforeAutospacing="1" w:after="100" w:afterAutospacing="1"/>
    </w:pPr>
    <w:rPr>
      <w:rFonts w:eastAsia="宋体"/>
      <w:b w:val="0"/>
      <w:bCs w:val="0"/>
      <w:kern w:val="0"/>
      <w:sz w:val="24"/>
      <w:szCs w:val="24"/>
    </w:rPr>
  </w:style>
  <w:style w:type="character" w:customStyle="1" w:styleId="10">
    <w:name w:val="页眉 字符"/>
    <w:basedOn w:val="6"/>
    <w:link w:val="3"/>
    <w:qFormat/>
    <w:uiPriority w:val="0"/>
    <w:rPr>
      <w:kern w:val="2"/>
      <w:sz w:val="18"/>
      <w:szCs w:val="18"/>
    </w:rPr>
  </w:style>
  <w:style w:type="character" w:customStyle="1" w:styleId="11">
    <w:name w:val="页脚 字符"/>
    <w:basedOn w:val="6"/>
    <w:link w:val="2"/>
    <w:qFormat/>
    <w:uiPriority w:val="0"/>
    <w:rPr>
      <w:kern w:val="2"/>
      <w:sz w:val="18"/>
      <w:szCs w:val="18"/>
    </w:rPr>
  </w:style>
  <w:style w:type="paragraph" w:styleId="12">
    <w:name w:val="List Paragraph"/>
    <w:basedOn w:val="1"/>
    <w:qFormat/>
    <w:uiPriority w:val="99"/>
    <w:pPr>
      <w:ind w:firstLine="420" w:firstLineChars="200"/>
    </w:pPr>
  </w:style>
  <w:style w:type="character" w:customStyle="1" w:styleId="13">
    <w:name w:val="副标题 字符"/>
    <w:basedOn w:val="6"/>
    <w:link w:val="4"/>
    <w:qFormat/>
    <w:uiPriority w:val="0"/>
    <w:rPr>
      <w:b/>
      <w:bCs/>
      <w:kern w:val="28"/>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1.xml"/><Relationship Id="rId13" Type="http://schemas.openxmlformats.org/officeDocument/2006/relationships/image" Target="media/image6.png"/><Relationship Id="rId12" Type="http://schemas.openxmlformats.org/officeDocument/2006/relationships/image" Target="media/image5.png"/><Relationship Id="rId11" Type="http://schemas.openxmlformats.org/officeDocument/2006/relationships/image" Target="media/image4.png"/><Relationship Id="rId10" Type="http://schemas.openxmlformats.org/officeDocument/2006/relationships/image" Target="media/image3.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7</Pages>
  <Words>639</Words>
  <Characters>3408</Characters>
  <Lines>60</Lines>
  <Paragraphs>14</Paragraphs>
  <TotalTime>32</TotalTime>
  <ScaleCrop>false</ScaleCrop>
  <LinksUpToDate>false</LinksUpToDate>
  <CharactersWithSpaces>4032</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2024-07-13T03:32:00Z</dcterms:created>
  <dc:creator>q2906</dc:creator>
  <cp:lastModifiedBy>陈阳 Abellona</cp:lastModifiedBy>
  <dcterms:modified xsi:type="dcterms:W3CDTF">2024-12-18T15:36:44Z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0EC0C0DB53254B6188B938DAA9BF1398_13</vt:lpwstr>
  </property>
  <property fmtid="{D5CDD505-2E9C-101B-9397-08002B2CF9AE}" pid="4" name="GrammarlyDocumentId">
    <vt:lpwstr>778237f354724cd670cbcefc8e4b69b8dcb2141eff54c736b63a83d1418d96fe</vt:lpwstr>
  </property>
</Properties>
</file>