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2D611" w14:textId="254DFA94" w:rsidR="002B0105" w:rsidRPr="003A473F" w:rsidRDefault="002B0105" w:rsidP="0040187E">
      <w:pPr>
        <w:spacing w:line="480" w:lineRule="auto"/>
        <w:jc w:val="center"/>
        <w:rPr>
          <w:rFonts w:ascii="Times New Roman" w:eastAsia="宋体" w:hAnsi="Times New Roman" w:cs="Times New Roman"/>
          <w:b/>
          <w:bCs/>
          <w:color w:val="000000" w:themeColor="text1"/>
          <w:sz w:val="24"/>
          <w:szCs w:val="24"/>
        </w:rPr>
      </w:pPr>
    </w:p>
    <w:p w14:paraId="7ED641F0" w14:textId="77777777" w:rsidR="00677A46" w:rsidRPr="003A473F" w:rsidRDefault="00677A46" w:rsidP="00677A46">
      <w:pPr>
        <w:spacing w:line="480" w:lineRule="auto"/>
        <w:jc w:val="center"/>
        <w:rPr>
          <w:rFonts w:ascii="Times New Roman" w:hAnsi="Times New Roman" w:cs="Times New Roman"/>
          <w:b/>
          <w:bCs/>
          <w:color w:val="000000" w:themeColor="text1"/>
          <w:sz w:val="30"/>
          <w:szCs w:val="30"/>
        </w:rPr>
      </w:pPr>
      <w:r w:rsidRPr="003A473F">
        <w:rPr>
          <w:rFonts w:ascii="Times New Roman" w:hAnsi="Times New Roman" w:cs="Times New Roman"/>
          <w:b/>
          <w:bCs/>
          <w:color w:val="000000" w:themeColor="text1"/>
          <w:sz w:val="30"/>
          <w:szCs w:val="30"/>
        </w:rPr>
        <w:t xml:space="preserve">Exosome-Loading miR-205: A Two-Pronged Approach to </w:t>
      </w:r>
    </w:p>
    <w:p w14:paraId="7CAC9702" w14:textId="77777777" w:rsidR="00677A46" w:rsidRPr="003A473F" w:rsidRDefault="00677A46" w:rsidP="00677A46">
      <w:pPr>
        <w:spacing w:line="480" w:lineRule="auto"/>
        <w:jc w:val="center"/>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30"/>
          <w:szCs w:val="30"/>
        </w:rPr>
        <w:t>Ocular Neovascularization Therapy</w:t>
      </w:r>
    </w:p>
    <w:p w14:paraId="042A2DA1" w14:textId="77777777" w:rsidR="00677A46" w:rsidRPr="003A473F" w:rsidRDefault="00677A46" w:rsidP="00677A46">
      <w:pPr>
        <w:spacing w:line="480" w:lineRule="auto"/>
        <w:rPr>
          <w:rFonts w:ascii="Times New Roman" w:hAnsi="Times New Roman" w:cs="Times New Roman"/>
          <w:color w:val="000000" w:themeColor="text1"/>
          <w:sz w:val="24"/>
          <w:szCs w:val="24"/>
        </w:rPr>
      </w:pPr>
    </w:p>
    <w:p w14:paraId="61251D61"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 xml:space="preserve">Hui-ying Zhang </w:t>
      </w:r>
      <w:r w:rsidRPr="003A473F">
        <w:rPr>
          <w:rFonts w:ascii="Times New Roman" w:hAnsi="Times New Roman" w:cs="Times New Roman"/>
          <w:color w:val="000000" w:themeColor="text1"/>
          <w:sz w:val="24"/>
          <w:szCs w:val="24"/>
          <w:vertAlign w:val="superscript"/>
        </w:rPr>
        <w:t>1, 2 †</w:t>
      </w:r>
      <w:r w:rsidRPr="003A473F">
        <w:rPr>
          <w:rFonts w:ascii="Times New Roman" w:hAnsi="Times New Roman" w:cs="Times New Roman"/>
          <w:color w:val="000000" w:themeColor="text1"/>
          <w:sz w:val="24"/>
          <w:szCs w:val="24"/>
        </w:rPr>
        <w:t xml:space="preserve">, Qiu-yang Zhang </w:t>
      </w:r>
      <w:r w:rsidRPr="003A473F">
        <w:rPr>
          <w:rFonts w:ascii="Times New Roman" w:hAnsi="Times New Roman" w:cs="Times New Roman"/>
          <w:color w:val="000000" w:themeColor="text1"/>
          <w:sz w:val="24"/>
          <w:szCs w:val="24"/>
          <w:vertAlign w:val="superscript"/>
        </w:rPr>
        <w:t>1, 2 †</w:t>
      </w:r>
      <w:r w:rsidRPr="003A473F">
        <w:rPr>
          <w:rFonts w:ascii="Times New Roman" w:hAnsi="Times New Roman" w:cs="Times New Roman"/>
          <w:color w:val="000000" w:themeColor="text1"/>
          <w:sz w:val="24"/>
          <w:szCs w:val="24"/>
        </w:rPr>
        <w:t xml:space="preserve">, Qing Liu </w:t>
      </w:r>
      <w:r w:rsidRPr="003A473F">
        <w:rPr>
          <w:rFonts w:ascii="Times New Roman" w:hAnsi="Times New Roman" w:cs="Times New Roman"/>
          <w:color w:val="000000" w:themeColor="text1"/>
          <w:sz w:val="24"/>
          <w:szCs w:val="24"/>
          <w:vertAlign w:val="superscript"/>
        </w:rPr>
        <w:t>1, 2 †</w:t>
      </w:r>
      <w:r w:rsidRPr="003A473F">
        <w:rPr>
          <w:rFonts w:ascii="Times New Roman" w:hAnsi="Times New Roman" w:cs="Times New Roman"/>
          <w:color w:val="000000" w:themeColor="text1"/>
          <w:sz w:val="24"/>
          <w:szCs w:val="24"/>
        </w:rPr>
        <w:t xml:space="preserve">, Si-guo Feng </w:t>
      </w:r>
      <w:r w:rsidRPr="003A473F">
        <w:rPr>
          <w:rFonts w:ascii="Times New Roman" w:hAnsi="Times New Roman" w:cs="Times New Roman"/>
          <w:color w:val="000000" w:themeColor="text1"/>
          <w:sz w:val="24"/>
          <w:szCs w:val="24"/>
          <w:vertAlign w:val="superscript"/>
        </w:rPr>
        <w:t>1, 2</w:t>
      </w:r>
      <w:r w:rsidRPr="003A473F">
        <w:rPr>
          <w:rFonts w:ascii="Times New Roman" w:hAnsi="Times New Roman" w:cs="Times New Roman"/>
          <w:color w:val="000000" w:themeColor="text1"/>
          <w:sz w:val="24"/>
          <w:szCs w:val="24"/>
        </w:rPr>
        <w:t xml:space="preserve">, Yan Ma </w:t>
      </w:r>
      <w:r w:rsidRPr="003A473F">
        <w:rPr>
          <w:rFonts w:ascii="Times New Roman" w:hAnsi="Times New Roman" w:cs="Times New Roman"/>
          <w:color w:val="000000" w:themeColor="text1"/>
          <w:sz w:val="24"/>
          <w:szCs w:val="24"/>
          <w:vertAlign w:val="superscript"/>
        </w:rPr>
        <w:t>1, 2</w:t>
      </w:r>
      <w:r w:rsidRPr="003A473F">
        <w:rPr>
          <w:rFonts w:ascii="Times New Roman" w:hAnsi="Times New Roman" w:cs="Times New Roman"/>
          <w:color w:val="000000" w:themeColor="text1"/>
          <w:sz w:val="24"/>
          <w:szCs w:val="24"/>
        </w:rPr>
        <w:t xml:space="preserve">, Feng-sheng Wang </w:t>
      </w:r>
      <w:r w:rsidRPr="003A473F">
        <w:rPr>
          <w:rFonts w:ascii="Times New Roman" w:hAnsi="Times New Roman" w:cs="Times New Roman"/>
          <w:color w:val="000000" w:themeColor="text1"/>
          <w:sz w:val="24"/>
          <w:szCs w:val="24"/>
          <w:vertAlign w:val="superscript"/>
        </w:rPr>
        <w:t>1, 2</w:t>
      </w:r>
      <w:r w:rsidRPr="003A473F">
        <w:rPr>
          <w:rFonts w:ascii="Times New Roman" w:hAnsi="Times New Roman" w:cs="Times New Roman"/>
          <w:color w:val="000000" w:themeColor="text1"/>
          <w:sz w:val="24"/>
          <w:szCs w:val="24"/>
        </w:rPr>
        <w:t xml:space="preserve">, Yue Zhu </w:t>
      </w:r>
      <w:r w:rsidRPr="003A473F">
        <w:rPr>
          <w:rFonts w:ascii="Times New Roman" w:hAnsi="Times New Roman" w:cs="Times New Roman"/>
          <w:color w:val="000000" w:themeColor="text1"/>
          <w:sz w:val="24"/>
          <w:szCs w:val="24"/>
          <w:vertAlign w:val="superscript"/>
        </w:rPr>
        <w:t>1, 2</w:t>
      </w:r>
      <w:r w:rsidRPr="003A473F">
        <w:rPr>
          <w:rFonts w:ascii="Times New Roman" w:hAnsi="Times New Roman" w:cs="Times New Roman"/>
          <w:color w:val="000000" w:themeColor="text1"/>
          <w:sz w:val="24"/>
          <w:szCs w:val="24"/>
        </w:rPr>
        <w:t xml:space="preserve">, Jin Yao </w:t>
      </w:r>
      <w:r w:rsidRPr="003A473F">
        <w:rPr>
          <w:rFonts w:ascii="Times New Roman" w:hAnsi="Times New Roman" w:cs="Times New Roman"/>
          <w:color w:val="000000" w:themeColor="text1"/>
          <w:sz w:val="24"/>
          <w:szCs w:val="24"/>
          <w:vertAlign w:val="superscript"/>
        </w:rPr>
        <w:t>1, 2 *</w:t>
      </w:r>
      <w:r w:rsidRPr="003A473F">
        <w:rPr>
          <w:rFonts w:ascii="Times New Roman" w:hAnsi="Times New Roman" w:cs="Times New Roman"/>
          <w:color w:val="000000" w:themeColor="text1"/>
          <w:sz w:val="24"/>
          <w:szCs w:val="24"/>
        </w:rPr>
        <w:t xml:space="preserve">, Biao Yan </w:t>
      </w:r>
      <w:r w:rsidRPr="003A473F">
        <w:rPr>
          <w:rFonts w:ascii="Times New Roman" w:hAnsi="Times New Roman" w:cs="Times New Roman"/>
          <w:color w:val="000000" w:themeColor="text1"/>
          <w:sz w:val="24"/>
          <w:szCs w:val="24"/>
          <w:vertAlign w:val="superscript"/>
        </w:rPr>
        <w:t>3 *</w:t>
      </w:r>
    </w:p>
    <w:p w14:paraId="67E4EC4D"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vertAlign w:val="superscript"/>
        </w:rPr>
        <w:t>1</w:t>
      </w:r>
      <w:r w:rsidRPr="003A473F">
        <w:rPr>
          <w:rFonts w:ascii="Times New Roman" w:hAnsi="Times New Roman" w:cs="Times New Roman"/>
          <w:color w:val="000000" w:themeColor="text1"/>
          <w:sz w:val="24"/>
          <w:szCs w:val="24"/>
        </w:rPr>
        <w:t>The Affiliated Eye Hospital, Nanjing Medical University, Nanjing 210000, China</w:t>
      </w:r>
    </w:p>
    <w:p w14:paraId="544A2C8C"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vertAlign w:val="superscript"/>
        </w:rPr>
        <w:t>2</w:t>
      </w:r>
      <w:r w:rsidRPr="003A473F">
        <w:rPr>
          <w:rFonts w:ascii="Times New Roman" w:hAnsi="Times New Roman" w:cs="Times New Roman"/>
          <w:color w:val="000000" w:themeColor="text1"/>
          <w:sz w:val="24"/>
          <w:szCs w:val="24"/>
        </w:rPr>
        <w:t>The Fourth School of Clinical Medicine, Nanjing Medical University, Nanjing 210000, China</w:t>
      </w:r>
    </w:p>
    <w:p w14:paraId="3C9BEA40"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vertAlign w:val="superscript"/>
        </w:rPr>
        <w:t>3</w:t>
      </w:r>
      <w:r w:rsidRPr="003A473F">
        <w:rPr>
          <w:rFonts w:ascii="Times New Roman" w:hAnsi="Times New Roman" w:cs="Times New Roman"/>
          <w:color w:val="000000" w:themeColor="text1"/>
          <w:sz w:val="24"/>
          <w:szCs w:val="24"/>
        </w:rPr>
        <w:t>Department of Ophthalmology, Shanghai General Hospital, Shanghai Jiao Tong University School of Medicine, Shanghai 200080, China</w:t>
      </w:r>
    </w:p>
    <w:p w14:paraId="44766899"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 These authors contributed equally to this work.</w:t>
      </w:r>
    </w:p>
    <w:p w14:paraId="0D979D23"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*Correspondence to</w:t>
      </w:r>
    </w:p>
    <w:p w14:paraId="0C73FC3E"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 xml:space="preserve">Biao Yan   Email: biao.yan@shgh.cn </w:t>
      </w:r>
    </w:p>
    <w:p w14:paraId="58A096A9" w14:textId="77777777" w:rsidR="00677A46" w:rsidRPr="003A473F" w:rsidRDefault="00677A46" w:rsidP="00677A46">
      <w:pPr>
        <w:spacing w:line="480" w:lineRule="auto"/>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Jin Yao   Email: dryaojin@126.com</w:t>
      </w:r>
    </w:p>
    <w:p w14:paraId="0DE447DE" w14:textId="11067C8E"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40E50D95" w14:textId="394A208E"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6BCFB3EF" w14:textId="1A36DB8D"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45917049" w14:textId="778D85F8"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0B59790D" w14:textId="0285A83D"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5C93EEB2" w14:textId="323907E5"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50F0B5E1" w14:textId="3D7E62D6"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p>
    <w:p w14:paraId="35A90667" w14:textId="4D522EDC" w:rsidR="00677A46" w:rsidRPr="003A473F" w:rsidRDefault="00677A46" w:rsidP="008F4F00">
      <w:pPr>
        <w:widowControl/>
        <w:spacing w:line="480" w:lineRule="auto"/>
        <w:rPr>
          <w:rFonts w:ascii="Times New Roman" w:eastAsia="宋体" w:hAnsi="Times New Roman" w:cs="Times New Roman"/>
          <w:b/>
          <w:bCs/>
          <w:color w:val="000000" w:themeColor="text1"/>
          <w:kern w:val="0"/>
          <w:sz w:val="24"/>
          <w:szCs w:val="24"/>
        </w:rPr>
      </w:pPr>
      <w:r w:rsidRPr="003A473F">
        <w:rPr>
          <w:noProof/>
          <w:color w:val="000000" w:themeColor="text1"/>
        </w:rPr>
        <w:lastRenderedPageBreak/>
        <w:drawing>
          <wp:inline distT="0" distB="0" distL="0" distR="0" wp14:anchorId="64DC8942" wp14:editId="59724D25">
            <wp:extent cx="5274310" cy="161353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613535"/>
                    </a:xfrm>
                    <a:prstGeom prst="rect">
                      <a:avLst/>
                    </a:prstGeom>
                    <a:noFill/>
                    <a:ln>
                      <a:noFill/>
                    </a:ln>
                  </pic:spPr>
                </pic:pic>
              </a:graphicData>
            </a:graphic>
          </wp:inline>
        </w:drawing>
      </w:r>
    </w:p>
    <w:p w14:paraId="319DF1F9" w14:textId="04FE1797" w:rsidR="003F1D2D" w:rsidRPr="003A473F" w:rsidRDefault="00FC7612" w:rsidP="00677A46">
      <w:pPr>
        <w:widowControl/>
        <w:rPr>
          <w:rFonts w:ascii="Times New Roman" w:eastAsia="宋体" w:hAnsi="Times New Roman" w:cs="Times New Roman"/>
          <w:color w:val="000000" w:themeColor="text1"/>
          <w:kern w:val="0"/>
          <w:sz w:val="24"/>
          <w:szCs w:val="24"/>
        </w:rPr>
      </w:pPr>
      <w:r w:rsidRPr="003A473F">
        <w:rPr>
          <w:rFonts w:ascii="Times New Roman" w:eastAsia="宋体" w:hAnsi="Times New Roman" w:cs="Times New Roman"/>
          <w:b/>
          <w:bCs/>
          <w:color w:val="000000" w:themeColor="text1"/>
          <w:kern w:val="0"/>
          <w:sz w:val="24"/>
          <w:szCs w:val="24"/>
        </w:rPr>
        <w:t>Fig</w:t>
      </w:r>
      <w:r w:rsidR="008F4F00" w:rsidRPr="003A473F">
        <w:rPr>
          <w:rFonts w:ascii="Times New Roman" w:eastAsia="宋体" w:hAnsi="Times New Roman" w:cs="Times New Roman"/>
          <w:b/>
          <w:bCs/>
          <w:color w:val="000000" w:themeColor="text1"/>
          <w:kern w:val="0"/>
          <w:sz w:val="24"/>
          <w:szCs w:val="24"/>
        </w:rPr>
        <w:t xml:space="preserve">ure </w:t>
      </w:r>
      <w:r w:rsidRPr="003A473F">
        <w:rPr>
          <w:rFonts w:ascii="Times New Roman" w:eastAsia="宋体" w:hAnsi="Times New Roman" w:cs="Times New Roman"/>
          <w:b/>
          <w:bCs/>
          <w:color w:val="000000" w:themeColor="text1"/>
          <w:kern w:val="0"/>
          <w:sz w:val="24"/>
          <w:szCs w:val="24"/>
        </w:rPr>
        <w:t>S1</w:t>
      </w:r>
      <w:r w:rsidR="008F4F00" w:rsidRPr="003A473F">
        <w:rPr>
          <w:rFonts w:ascii="Times New Roman" w:eastAsia="宋体" w:hAnsi="Times New Roman" w:cs="Times New Roman"/>
          <w:b/>
          <w:bCs/>
          <w:color w:val="000000" w:themeColor="text1"/>
          <w:kern w:val="0"/>
          <w:sz w:val="24"/>
          <w:szCs w:val="24"/>
        </w:rPr>
        <w:t>:</w:t>
      </w:r>
      <w:r w:rsidRPr="003A473F">
        <w:rPr>
          <w:rFonts w:ascii="Times New Roman" w:eastAsia="宋体" w:hAnsi="Times New Roman" w:cs="Times New Roman"/>
          <w:b/>
          <w:bCs/>
          <w:color w:val="000000" w:themeColor="text1"/>
          <w:kern w:val="0"/>
          <w:sz w:val="24"/>
          <w:szCs w:val="24"/>
        </w:rPr>
        <w:t xml:space="preserve"> </w:t>
      </w:r>
      <w:r w:rsidR="003F1D2D" w:rsidRPr="003A473F">
        <w:rPr>
          <w:rFonts w:ascii="Times New Roman" w:eastAsia="宋体" w:hAnsi="Times New Roman" w:cs="Times New Roman"/>
          <w:color w:val="000000" w:themeColor="text1"/>
          <w:kern w:val="0"/>
          <w:sz w:val="24"/>
          <w:szCs w:val="24"/>
        </w:rPr>
        <w:t>Verification of transfection efficiency of miR-205 in HRVECs</w:t>
      </w:r>
    </w:p>
    <w:p w14:paraId="3B486462" w14:textId="5884C19A" w:rsidR="008F4F00" w:rsidRPr="003A473F" w:rsidRDefault="008F4F00" w:rsidP="00677A46">
      <w:pPr>
        <w:rPr>
          <w:rFonts w:ascii="Times New Roman" w:eastAsia="宋体" w:hAnsi="Times New Roman" w:cs="Times New Roman"/>
          <w:color w:val="000000" w:themeColor="text1"/>
          <w:kern w:val="0"/>
          <w:sz w:val="24"/>
          <w:szCs w:val="24"/>
        </w:rPr>
      </w:pPr>
      <w:r w:rsidRPr="003A473F">
        <w:rPr>
          <w:rFonts w:ascii="Times New Roman" w:eastAsia="宋体" w:hAnsi="Times New Roman" w:cs="Times New Roman"/>
          <w:b/>
          <w:color w:val="000000" w:themeColor="text1"/>
          <w:kern w:val="0"/>
          <w:sz w:val="24"/>
          <w:szCs w:val="24"/>
        </w:rPr>
        <w:t>A</w:t>
      </w:r>
      <w:r w:rsidRPr="003A473F">
        <w:rPr>
          <w:rFonts w:ascii="Times New Roman" w:eastAsia="宋体" w:hAnsi="Times New Roman" w:cs="Times New Roman"/>
          <w:color w:val="000000" w:themeColor="text1"/>
          <w:kern w:val="0"/>
          <w:sz w:val="24"/>
          <w:szCs w:val="24"/>
        </w:rPr>
        <w:t xml:space="preserve"> The expression levels of miR-205 were detected</w:t>
      </w:r>
      <w:r w:rsidR="00677A46" w:rsidRPr="003A473F">
        <w:rPr>
          <w:rFonts w:ascii="Times New Roman" w:eastAsia="宋体" w:hAnsi="Times New Roman" w:cs="Times New Roman"/>
          <w:color w:val="000000" w:themeColor="text1"/>
          <w:kern w:val="0"/>
          <w:sz w:val="24"/>
          <w:szCs w:val="24"/>
        </w:rPr>
        <w:t xml:space="preserve"> by</w:t>
      </w:r>
      <w:r w:rsidRPr="003A473F">
        <w:rPr>
          <w:rFonts w:ascii="Times New Roman" w:eastAsia="宋体" w:hAnsi="Times New Roman" w:cs="Times New Roman"/>
          <w:color w:val="000000" w:themeColor="text1"/>
          <w:kern w:val="0"/>
          <w:sz w:val="24"/>
          <w:szCs w:val="24"/>
        </w:rPr>
        <w:t xml:space="preserve"> qRT-PCRs following transfection with miR-205 mimics or inhibitors.</w:t>
      </w:r>
      <w:r w:rsidR="00796709" w:rsidRPr="003A473F">
        <w:rPr>
          <w:rFonts w:ascii="Times New Roman" w:eastAsia="宋体" w:hAnsi="Times New Roman" w:cs="Times New Roman"/>
          <w:color w:val="000000" w:themeColor="text1"/>
          <w:kern w:val="0"/>
          <w:sz w:val="24"/>
          <w:szCs w:val="24"/>
        </w:rPr>
        <w:t xml:space="preserve"> *</w:t>
      </w:r>
      <w:r w:rsidR="00796709" w:rsidRPr="003A473F">
        <w:rPr>
          <w:rFonts w:ascii="Times New Roman" w:eastAsia="宋体" w:hAnsi="Times New Roman" w:cs="Times New Roman"/>
          <w:i/>
          <w:iCs/>
          <w:color w:val="000000" w:themeColor="text1"/>
          <w:kern w:val="0"/>
          <w:sz w:val="24"/>
          <w:szCs w:val="24"/>
        </w:rPr>
        <w:t>P</w:t>
      </w:r>
      <w:r w:rsidR="00796709" w:rsidRPr="003A473F">
        <w:rPr>
          <w:rFonts w:ascii="Times New Roman" w:eastAsia="宋体" w:hAnsi="Times New Roman" w:cs="Times New Roman"/>
          <w:color w:val="000000" w:themeColor="text1"/>
          <w:kern w:val="0"/>
          <w:sz w:val="24"/>
          <w:szCs w:val="24"/>
        </w:rPr>
        <w:t xml:space="preserve"> &lt; 0.05; n = 4; One-way ANOVA test).</w:t>
      </w:r>
      <w:r w:rsidRPr="003A473F">
        <w:rPr>
          <w:rFonts w:ascii="Times New Roman" w:eastAsia="宋体" w:hAnsi="Times New Roman" w:cs="Times New Roman"/>
          <w:color w:val="000000" w:themeColor="text1"/>
          <w:kern w:val="0"/>
          <w:sz w:val="24"/>
          <w:szCs w:val="24"/>
        </w:rPr>
        <w:t xml:space="preserve"> </w:t>
      </w:r>
      <w:r w:rsidRPr="003A473F">
        <w:rPr>
          <w:rFonts w:ascii="Times New Roman" w:eastAsia="宋体" w:hAnsi="Times New Roman" w:cs="Times New Roman"/>
          <w:b/>
          <w:color w:val="000000" w:themeColor="text1"/>
          <w:kern w:val="0"/>
          <w:sz w:val="24"/>
          <w:szCs w:val="24"/>
        </w:rPr>
        <w:t>B</w:t>
      </w:r>
      <w:r w:rsidRPr="003A473F">
        <w:rPr>
          <w:rFonts w:ascii="Times New Roman" w:eastAsia="宋体" w:hAnsi="Times New Roman" w:cs="Times New Roman"/>
          <w:color w:val="000000" w:themeColor="text1"/>
          <w:kern w:val="0"/>
          <w:sz w:val="24"/>
          <w:szCs w:val="24"/>
        </w:rPr>
        <w:t xml:space="preserve"> HRVECs were transfected with FAM-labeled miR-205 inhibitors (green). The cytoskeleton was stained with phalloidin (red). The nuclei were stained with DAPI (blue). Fluorescence staining confirmed the successful transfection of miR-205 inhibitor</w:t>
      </w:r>
      <w:r w:rsidR="00796709" w:rsidRPr="003A473F">
        <w:rPr>
          <w:rFonts w:ascii="Times New Roman" w:eastAsia="宋体" w:hAnsi="Times New Roman" w:cs="Times New Roman"/>
          <w:color w:val="000000" w:themeColor="text1"/>
          <w:kern w:val="0"/>
          <w:sz w:val="24"/>
          <w:szCs w:val="24"/>
        </w:rPr>
        <w:t>s</w:t>
      </w:r>
      <w:r w:rsidRPr="003A473F">
        <w:rPr>
          <w:rFonts w:ascii="Times New Roman" w:eastAsia="宋体" w:hAnsi="Times New Roman" w:cs="Times New Roman"/>
          <w:color w:val="000000" w:themeColor="text1"/>
          <w:kern w:val="0"/>
          <w:sz w:val="24"/>
          <w:szCs w:val="24"/>
        </w:rPr>
        <w:t xml:space="preserve"> into HRVECs.</w:t>
      </w:r>
    </w:p>
    <w:p w14:paraId="182E1C0E" w14:textId="77777777" w:rsidR="008F4F00" w:rsidRPr="003A473F" w:rsidRDefault="008F4F00">
      <w:pPr>
        <w:widowControl/>
        <w:spacing w:line="480" w:lineRule="auto"/>
        <w:rPr>
          <w:rFonts w:ascii="Times New Roman" w:eastAsia="宋体" w:hAnsi="Times New Roman" w:cs="Times New Roman"/>
          <w:color w:val="000000" w:themeColor="text1"/>
          <w:kern w:val="0"/>
          <w:sz w:val="24"/>
          <w:szCs w:val="24"/>
        </w:rPr>
      </w:pPr>
    </w:p>
    <w:p w14:paraId="405993B4" w14:textId="0A83BA0E" w:rsidR="002B0105" w:rsidRPr="003A473F" w:rsidRDefault="00796709">
      <w:pPr>
        <w:widowControl/>
        <w:spacing w:line="480" w:lineRule="auto"/>
        <w:rPr>
          <w:rFonts w:ascii="Times New Roman" w:eastAsia="宋体" w:hAnsi="Times New Roman" w:cs="Times New Roman"/>
          <w:color w:val="000000" w:themeColor="text1"/>
          <w:kern w:val="0"/>
          <w:sz w:val="24"/>
          <w:szCs w:val="24"/>
        </w:rPr>
      </w:pPr>
      <w:r w:rsidRPr="003A473F">
        <w:rPr>
          <w:rFonts w:ascii="Times New Roman" w:eastAsia="宋体" w:hAnsi="Times New Roman" w:cs="Times New Roman"/>
          <w:color w:val="000000" w:themeColor="text1"/>
          <w:kern w:val="0"/>
          <w:sz w:val="24"/>
          <w:szCs w:val="24"/>
        </w:rPr>
        <w:t xml:space="preserve"> </w:t>
      </w:r>
    </w:p>
    <w:p w14:paraId="7A8561B5" w14:textId="6A02468D"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74597B57" w14:textId="27DDBCEE"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00A5C7EA" w14:textId="72F2FA20"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6E729E93" w14:textId="3E3A6A02"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6201AB43" w14:textId="75140FB0"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1DAAD7CA" w14:textId="1E10993C"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7DD36657" w14:textId="320A05C0"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458B7130" w14:textId="1182217F"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484BBD8F" w14:textId="1CB3E82D"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3CDEB5ED" w14:textId="77777777" w:rsidR="00677A46" w:rsidRPr="003A473F" w:rsidRDefault="00677A46">
      <w:pPr>
        <w:widowControl/>
        <w:spacing w:line="480" w:lineRule="auto"/>
        <w:rPr>
          <w:rFonts w:ascii="Times New Roman" w:eastAsia="宋体" w:hAnsi="Times New Roman" w:cs="Times New Roman" w:hint="eastAsia"/>
          <w:color w:val="000000" w:themeColor="text1"/>
          <w:kern w:val="0"/>
          <w:sz w:val="24"/>
          <w:szCs w:val="24"/>
        </w:rPr>
      </w:pPr>
    </w:p>
    <w:p w14:paraId="2FC26D3C" w14:textId="77777777" w:rsidR="00677A46" w:rsidRPr="003A473F" w:rsidRDefault="00677A46">
      <w:pPr>
        <w:widowControl/>
        <w:spacing w:line="480" w:lineRule="auto"/>
        <w:rPr>
          <w:rFonts w:ascii="Times New Roman" w:eastAsia="宋体" w:hAnsi="Times New Roman" w:cs="Times New Roman"/>
          <w:color w:val="000000" w:themeColor="text1"/>
          <w:kern w:val="0"/>
          <w:sz w:val="24"/>
          <w:szCs w:val="24"/>
        </w:rPr>
      </w:pPr>
    </w:p>
    <w:p w14:paraId="47844385" w14:textId="35EC898D" w:rsidR="002B0105" w:rsidRPr="003A473F" w:rsidRDefault="0040187E" w:rsidP="0040187E">
      <w:pPr>
        <w:spacing w:line="480" w:lineRule="auto"/>
        <w:jc w:val="center"/>
        <w:rPr>
          <w:rFonts w:ascii="Times New Roman" w:eastAsia="宋体" w:hAnsi="Times New Roman" w:cs="Times New Roman"/>
          <w:color w:val="000000" w:themeColor="text1"/>
          <w:sz w:val="24"/>
          <w:szCs w:val="24"/>
        </w:rPr>
      </w:pPr>
      <w:r w:rsidRPr="003A473F">
        <w:rPr>
          <w:noProof/>
          <w:color w:val="000000" w:themeColor="text1"/>
        </w:rPr>
        <w:lastRenderedPageBreak/>
        <w:drawing>
          <wp:inline distT="0" distB="0" distL="0" distR="0" wp14:anchorId="7F2D8039" wp14:editId="2191EFF0">
            <wp:extent cx="3462867" cy="2015241"/>
            <wp:effectExtent l="0" t="0" r="4445"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4324" cy="2033548"/>
                    </a:xfrm>
                    <a:prstGeom prst="rect">
                      <a:avLst/>
                    </a:prstGeom>
                    <a:noFill/>
                    <a:ln>
                      <a:noFill/>
                    </a:ln>
                  </pic:spPr>
                </pic:pic>
              </a:graphicData>
            </a:graphic>
          </wp:inline>
        </w:drawing>
      </w:r>
    </w:p>
    <w:p w14:paraId="73AE0EA7" w14:textId="2CA3E257" w:rsidR="00677A46" w:rsidRPr="003A473F" w:rsidRDefault="00FC7612" w:rsidP="00677A46">
      <w:pPr>
        <w:rPr>
          <w:rFonts w:ascii="Times New Roman" w:eastAsia="宋体" w:hAnsi="Times New Roman" w:cs="Times New Roman"/>
          <w:color w:val="000000" w:themeColor="text1"/>
          <w:sz w:val="24"/>
          <w:szCs w:val="24"/>
        </w:rPr>
      </w:pPr>
      <w:r w:rsidRPr="003A473F">
        <w:rPr>
          <w:rFonts w:ascii="Times New Roman" w:eastAsia="宋体" w:hAnsi="Times New Roman" w:cs="Times New Roman" w:hint="eastAsia"/>
          <w:b/>
          <w:bCs/>
          <w:color w:val="000000" w:themeColor="text1"/>
          <w:sz w:val="24"/>
          <w:szCs w:val="24"/>
        </w:rPr>
        <w:t>Fig</w:t>
      </w:r>
      <w:r w:rsidRPr="003A473F">
        <w:rPr>
          <w:rFonts w:ascii="Times New Roman" w:eastAsia="宋体" w:hAnsi="Times New Roman" w:cs="Times New Roman"/>
          <w:b/>
          <w:bCs/>
          <w:color w:val="000000" w:themeColor="text1"/>
          <w:sz w:val="24"/>
          <w:szCs w:val="24"/>
        </w:rPr>
        <w:t>.</w:t>
      </w:r>
      <w:r w:rsidR="00677A46" w:rsidRPr="003A473F">
        <w:rPr>
          <w:rFonts w:ascii="Times New Roman" w:eastAsia="宋体" w:hAnsi="Times New Roman" w:cs="Times New Roman"/>
          <w:b/>
          <w:bCs/>
          <w:color w:val="000000" w:themeColor="text1"/>
          <w:sz w:val="24"/>
          <w:szCs w:val="24"/>
        </w:rPr>
        <w:t xml:space="preserve"> </w:t>
      </w:r>
      <w:r w:rsidRPr="003A473F">
        <w:rPr>
          <w:rFonts w:ascii="Times New Roman" w:eastAsia="宋体" w:hAnsi="Times New Roman" w:cs="Times New Roman"/>
          <w:b/>
          <w:bCs/>
          <w:color w:val="000000" w:themeColor="text1"/>
          <w:sz w:val="24"/>
          <w:szCs w:val="24"/>
        </w:rPr>
        <w:t>S</w:t>
      </w:r>
      <w:r w:rsidRPr="003A473F">
        <w:rPr>
          <w:rFonts w:ascii="Times New Roman" w:eastAsia="宋体" w:hAnsi="Times New Roman" w:cs="Times New Roman" w:hint="eastAsia"/>
          <w:b/>
          <w:bCs/>
          <w:color w:val="000000" w:themeColor="text1"/>
          <w:sz w:val="24"/>
          <w:szCs w:val="24"/>
        </w:rPr>
        <w:t>2</w:t>
      </w:r>
      <w:r w:rsidRPr="003A473F">
        <w:rPr>
          <w:rFonts w:ascii="Times New Roman" w:eastAsia="宋体" w:hAnsi="Times New Roman" w:cs="Times New Roman"/>
          <w:b/>
          <w:bCs/>
          <w:color w:val="000000" w:themeColor="text1"/>
          <w:sz w:val="24"/>
          <w:szCs w:val="24"/>
        </w:rPr>
        <w:t xml:space="preserve"> </w:t>
      </w:r>
      <w:r w:rsidR="00677A46" w:rsidRPr="003A473F">
        <w:rPr>
          <w:rFonts w:ascii="Times New Roman" w:eastAsia="宋体" w:hAnsi="Times New Roman" w:cs="Times New Roman"/>
          <w:bCs/>
          <w:color w:val="000000" w:themeColor="text1"/>
          <w:sz w:val="24"/>
          <w:szCs w:val="24"/>
        </w:rPr>
        <w:t xml:space="preserve">Detection the levels of </w:t>
      </w:r>
      <w:r w:rsidRPr="003A473F">
        <w:rPr>
          <w:rFonts w:ascii="Times New Roman" w:eastAsia="宋体" w:hAnsi="Times New Roman" w:cs="Times New Roman" w:hint="eastAsia"/>
          <w:color w:val="000000" w:themeColor="text1"/>
          <w:sz w:val="24"/>
          <w:szCs w:val="24"/>
        </w:rPr>
        <w:t>miR-205</w:t>
      </w:r>
      <w:r w:rsidR="00677A46" w:rsidRPr="003A473F">
        <w:rPr>
          <w:rFonts w:ascii="Times New Roman" w:eastAsia="宋体" w:hAnsi="Times New Roman" w:cs="Times New Roman"/>
          <w:color w:val="000000" w:themeColor="text1"/>
          <w:sz w:val="24"/>
          <w:szCs w:val="24"/>
        </w:rPr>
        <w:t xml:space="preserve"> by </w:t>
      </w:r>
      <w:r w:rsidR="00677A46" w:rsidRPr="003A473F">
        <w:rPr>
          <w:rFonts w:ascii="Times New Roman" w:eastAsia="宋体" w:hAnsi="Times New Roman" w:cs="Times New Roman"/>
          <w:color w:val="000000" w:themeColor="text1"/>
          <w:sz w:val="24"/>
          <w:szCs w:val="24"/>
        </w:rPr>
        <w:t>qRT-PCR assay</w:t>
      </w:r>
      <w:r w:rsidR="00677A46" w:rsidRPr="003A473F">
        <w:rPr>
          <w:rFonts w:ascii="Times New Roman" w:eastAsia="宋体" w:hAnsi="Times New Roman" w:cs="Times New Roman"/>
          <w:color w:val="000000" w:themeColor="text1"/>
          <w:sz w:val="24"/>
          <w:szCs w:val="24"/>
        </w:rPr>
        <w:t>s</w:t>
      </w:r>
      <w:r w:rsidRPr="003A473F">
        <w:rPr>
          <w:rFonts w:ascii="Times New Roman" w:eastAsia="宋体" w:hAnsi="Times New Roman" w:cs="Times New Roman"/>
          <w:color w:val="000000" w:themeColor="text1"/>
          <w:sz w:val="24"/>
          <w:szCs w:val="24"/>
        </w:rPr>
        <w:t xml:space="preserve"> </w:t>
      </w:r>
      <w:r w:rsidRPr="003A473F">
        <w:rPr>
          <w:rFonts w:ascii="Times New Roman" w:eastAsia="宋体" w:hAnsi="Times New Roman" w:cs="Times New Roman"/>
          <w:i/>
          <w:iCs/>
          <w:color w:val="000000" w:themeColor="text1"/>
          <w:sz w:val="24"/>
          <w:szCs w:val="24"/>
        </w:rPr>
        <w:t>in vi</w:t>
      </w:r>
      <w:r w:rsidRPr="003A473F">
        <w:rPr>
          <w:rFonts w:ascii="Times New Roman" w:eastAsia="宋体" w:hAnsi="Times New Roman" w:cs="Times New Roman" w:hint="eastAsia"/>
          <w:i/>
          <w:iCs/>
          <w:color w:val="000000" w:themeColor="text1"/>
          <w:sz w:val="24"/>
          <w:szCs w:val="24"/>
        </w:rPr>
        <w:t>v</w:t>
      </w:r>
      <w:r w:rsidRPr="003A473F">
        <w:rPr>
          <w:rFonts w:ascii="Times New Roman" w:eastAsia="宋体" w:hAnsi="Times New Roman" w:cs="Times New Roman"/>
          <w:i/>
          <w:iCs/>
          <w:color w:val="000000" w:themeColor="text1"/>
          <w:sz w:val="24"/>
          <w:szCs w:val="24"/>
        </w:rPr>
        <w:t>o</w:t>
      </w:r>
    </w:p>
    <w:p w14:paraId="1EC41EA5" w14:textId="4760D402" w:rsidR="002B0105" w:rsidRPr="003A473F" w:rsidRDefault="00225320" w:rsidP="00677A46">
      <w:pPr>
        <w:rPr>
          <w:rFonts w:ascii="Times New Roman" w:eastAsia="宋体" w:hAnsi="Times New Roman" w:cs="Times New Roman"/>
          <w:color w:val="000000" w:themeColor="text1"/>
          <w:sz w:val="24"/>
          <w:szCs w:val="24"/>
        </w:rPr>
      </w:pPr>
      <w:r w:rsidRPr="003A473F">
        <w:rPr>
          <w:rFonts w:ascii="Times New Roman" w:eastAsia="宋体" w:hAnsi="Times New Roman" w:cs="Times New Roman"/>
          <w:b/>
          <w:color w:val="000000" w:themeColor="text1"/>
          <w:sz w:val="24"/>
          <w:szCs w:val="24"/>
        </w:rPr>
        <w:t>A, B</w:t>
      </w:r>
      <w:r w:rsidRPr="003A473F">
        <w:rPr>
          <w:rFonts w:ascii="Times New Roman" w:eastAsia="宋体" w:hAnsi="Times New Roman" w:cs="Times New Roman"/>
          <w:color w:val="000000" w:themeColor="text1"/>
          <w:sz w:val="24"/>
          <w:szCs w:val="24"/>
        </w:rPr>
        <w:t xml:space="preserve"> </w:t>
      </w:r>
      <w:r w:rsidR="00677A46" w:rsidRPr="003A473F">
        <w:rPr>
          <w:rFonts w:ascii="Times New Roman" w:eastAsia="宋体" w:hAnsi="Times New Roman" w:cs="Times New Roman" w:hint="eastAsia"/>
          <w:color w:val="000000" w:themeColor="text1"/>
          <w:sz w:val="24"/>
          <w:szCs w:val="24"/>
        </w:rPr>
        <w:t>miR-205</w:t>
      </w:r>
      <w:r w:rsidR="00677A46" w:rsidRPr="003A473F">
        <w:rPr>
          <w:rFonts w:ascii="Times New Roman" w:eastAsia="宋体" w:hAnsi="Times New Roman" w:cs="Times New Roman"/>
          <w:bCs/>
          <w:color w:val="000000" w:themeColor="text1"/>
          <w:sz w:val="24"/>
          <w:szCs w:val="24"/>
        </w:rPr>
        <w:t xml:space="preserve"> </w:t>
      </w:r>
      <w:r w:rsidR="00677A46" w:rsidRPr="003A473F">
        <w:rPr>
          <w:rFonts w:ascii="Times New Roman" w:eastAsia="宋体" w:hAnsi="Times New Roman" w:cs="Times New Roman"/>
          <w:bCs/>
          <w:color w:val="000000" w:themeColor="text1"/>
          <w:sz w:val="24"/>
          <w:szCs w:val="24"/>
        </w:rPr>
        <w:t>levels</w:t>
      </w:r>
      <w:r w:rsidR="00677A46" w:rsidRPr="003A473F">
        <w:rPr>
          <w:rFonts w:ascii="Times New Roman" w:eastAsia="宋体" w:hAnsi="Times New Roman" w:cs="Times New Roman"/>
          <w:bCs/>
          <w:color w:val="000000" w:themeColor="text1"/>
          <w:sz w:val="24"/>
          <w:szCs w:val="24"/>
        </w:rPr>
        <w:t xml:space="preserve"> were </w:t>
      </w:r>
      <w:r w:rsidR="00FC7612" w:rsidRPr="003A473F">
        <w:rPr>
          <w:rFonts w:ascii="Times New Roman" w:eastAsia="宋体" w:hAnsi="Times New Roman" w:cs="Times New Roman" w:hint="eastAsia"/>
          <w:color w:val="000000" w:themeColor="text1"/>
          <w:sz w:val="24"/>
          <w:szCs w:val="24"/>
        </w:rPr>
        <w:t>detected</w:t>
      </w:r>
      <w:r w:rsidR="00FC7612" w:rsidRPr="003A473F">
        <w:rPr>
          <w:rFonts w:ascii="Times New Roman" w:eastAsia="宋体" w:hAnsi="Times New Roman" w:cs="Times New Roman"/>
          <w:color w:val="000000" w:themeColor="text1"/>
          <w:sz w:val="24"/>
          <w:szCs w:val="24"/>
        </w:rPr>
        <w:t xml:space="preserve"> </w:t>
      </w:r>
      <w:r w:rsidR="00FC7612" w:rsidRPr="003A473F">
        <w:rPr>
          <w:rFonts w:ascii="Times New Roman" w:eastAsia="宋体" w:hAnsi="Times New Roman" w:cs="Times New Roman" w:hint="eastAsia"/>
          <w:color w:val="000000" w:themeColor="text1"/>
          <w:sz w:val="24"/>
          <w:szCs w:val="24"/>
        </w:rPr>
        <w:t>by</w:t>
      </w:r>
      <w:r w:rsidR="00FC7612" w:rsidRPr="003A473F">
        <w:rPr>
          <w:rFonts w:ascii="Times New Roman" w:eastAsia="宋体" w:hAnsi="Times New Roman" w:cs="Times New Roman"/>
          <w:color w:val="000000" w:themeColor="text1"/>
          <w:sz w:val="24"/>
          <w:szCs w:val="24"/>
        </w:rPr>
        <w:t xml:space="preserve"> qRT-PCR assay</w:t>
      </w:r>
      <w:r w:rsidR="00677A46" w:rsidRPr="003A473F">
        <w:rPr>
          <w:rFonts w:ascii="Times New Roman" w:eastAsia="宋体" w:hAnsi="Times New Roman" w:cs="Times New Roman"/>
          <w:color w:val="000000" w:themeColor="text1"/>
          <w:sz w:val="24"/>
          <w:szCs w:val="24"/>
        </w:rPr>
        <w:t>s</w:t>
      </w:r>
      <w:r w:rsidR="00FC7612" w:rsidRPr="003A473F">
        <w:rPr>
          <w:rFonts w:ascii="Times New Roman" w:eastAsia="宋体" w:hAnsi="Times New Roman" w:cs="Times New Roman"/>
          <w:color w:val="000000" w:themeColor="text1"/>
          <w:sz w:val="24"/>
          <w:szCs w:val="24"/>
        </w:rPr>
        <w:t xml:space="preserve"> in the retina and </w:t>
      </w:r>
      <w:r w:rsidR="00677A46" w:rsidRPr="003A473F">
        <w:rPr>
          <w:rFonts w:ascii="Times New Roman" w:eastAsia="宋体" w:hAnsi="Times New Roman" w:cs="Times New Roman"/>
          <w:color w:val="000000" w:themeColor="text1"/>
          <w:sz w:val="24"/>
          <w:szCs w:val="24"/>
        </w:rPr>
        <w:t xml:space="preserve">the </w:t>
      </w:r>
      <w:r w:rsidR="00FC7612" w:rsidRPr="003A473F">
        <w:rPr>
          <w:rFonts w:ascii="Times New Roman" w:eastAsia="宋体" w:hAnsi="Times New Roman" w:cs="Times New Roman"/>
          <w:color w:val="000000" w:themeColor="text1"/>
          <w:sz w:val="24"/>
          <w:szCs w:val="24"/>
        </w:rPr>
        <w:t xml:space="preserve">choroid following intravitreal injection of </w:t>
      </w:r>
      <w:r w:rsidR="00677A46" w:rsidRPr="003A473F">
        <w:rPr>
          <w:rFonts w:ascii="Times New Roman" w:eastAsia="宋体" w:hAnsi="Times New Roman" w:cs="Times New Roman"/>
          <w:color w:val="000000" w:themeColor="text1"/>
          <w:sz w:val="24"/>
          <w:szCs w:val="24"/>
        </w:rPr>
        <w:t xml:space="preserve">negative control (NC) agomir, </w:t>
      </w:r>
      <w:r w:rsidR="00FC7612" w:rsidRPr="003A473F">
        <w:rPr>
          <w:rFonts w:ascii="Times New Roman" w:eastAsia="宋体" w:hAnsi="Times New Roman" w:cs="Times New Roman"/>
          <w:color w:val="000000" w:themeColor="text1"/>
          <w:sz w:val="24"/>
          <w:szCs w:val="24"/>
        </w:rPr>
        <w:t>miR-205</w:t>
      </w:r>
      <w:r w:rsidR="00677A46" w:rsidRPr="003A473F">
        <w:rPr>
          <w:rFonts w:ascii="Times New Roman" w:eastAsia="宋体" w:hAnsi="Times New Roman" w:cs="Times New Roman"/>
          <w:color w:val="000000" w:themeColor="text1"/>
          <w:sz w:val="24"/>
          <w:szCs w:val="24"/>
        </w:rPr>
        <w:t xml:space="preserve"> </w:t>
      </w:r>
      <w:r w:rsidR="00677A46" w:rsidRPr="003A473F">
        <w:rPr>
          <w:rFonts w:ascii="Times New Roman" w:eastAsia="宋体" w:hAnsi="Times New Roman" w:cs="Times New Roman"/>
          <w:color w:val="000000" w:themeColor="text1"/>
          <w:sz w:val="24"/>
          <w:szCs w:val="24"/>
        </w:rPr>
        <w:t>agomir</w:t>
      </w:r>
      <w:r w:rsidR="00677A46" w:rsidRPr="003A473F">
        <w:rPr>
          <w:rFonts w:ascii="Times New Roman" w:eastAsia="宋体" w:hAnsi="Times New Roman" w:cs="Times New Roman"/>
          <w:color w:val="000000" w:themeColor="text1"/>
          <w:sz w:val="24"/>
          <w:szCs w:val="24"/>
        </w:rPr>
        <w:t>, NC antagomir, miR-205 antagomir, or left untreated (Ctrl).</w:t>
      </w:r>
      <w:r w:rsidR="00677A46" w:rsidRPr="003A473F">
        <w:rPr>
          <w:rFonts w:ascii="Times New Roman" w:hAnsi="Times New Roman" w:cs="Times New Roman"/>
          <w:color w:val="000000" w:themeColor="text1"/>
          <w:sz w:val="24"/>
          <w:szCs w:val="24"/>
        </w:rPr>
        <w:t xml:space="preserve"> </w:t>
      </w:r>
      <w:r w:rsidR="00677A46" w:rsidRPr="003A473F">
        <w:rPr>
          <w:rFonts w:ascii="Times New Roman" w:hAnsi="Times New Roman" w:cs="Times New Roman"/>
          <w:color w:val="000000" w:themeColor="text1"/>
          <w:sz w:val="24"/>
          <w:szCs w:val="24"/>
        </w:rPr>
        <w:t>The data are presented as the means ± SD</w:t>
      </w:r>
      <w:r w:rsidR="00677A46" w:rsidRPr="003A473F">
        <w:rPr>
          <w:rFonts w:ascii="Times New Roman" w:hAnsi="Times New Roman" w:cs="Times New Roman"/>
          <w:color w:val="000000" w:themeColor="text1"/>
          <w:sz w:val="24"/>
          <w:szCs w:val="24"/>
        </w:rPr>
        <w:t>.</w:t>
      </w:r>
      <w:r w:rsidR="00677A46" w:rsidRPr="003A473F">
        <w:rPr>
          <w:rFonts w:ascii="Times New Roman" w:eastAsia="宋体" w:hAnsi="Times New Roman" w:cs="Times New Roman"/>
          <w:color w:val="000000" w:themeColor="text1"/>
          <w:sz w:val="24"/>
          <w:szCs w:val="24"/>
        </w:rPr>
        <w:t xml:space="preserve"> </w:t>
      </w:r>
      <w:r w:rsidR="00FC7612" w:rsidRPr="003A473F">
        <w:rPr>
          <w:rFonts w:ascii="Times New Roman" w:hAnsi="Times New Roman" w:cs="Times New Roman"/>
          <w:color w:val="000000" w:themeColor="text1"/>
          <w:sz w:val="24"/>
          <w:szCs w:val="24"/>
        </w:rPr>
        <w:t>*</w:t>
      </w:r>
      <w:r w:rsidR="00FC7612" w:rsidRPr="003A473F">
        <w:rPr>
          <w:rFonts w:ascii="Times New Roman" w:hAnsi="Times New Roman" w:cs="Times New Roman"/>
          <w:i/>
          <w:iCs/>
          <w:color w:val="000000" w:themeColor="text1"/>
          <w:sz w:val="24"/>
          <w:szCs w:val="24"/>
        </w:rPr>
        <w:t xml:space="preserve">P </w:t>
      </w:r>
      <w:r w:rsidR="00FC7612" w:rsidRPr="003A473F">
        <w:rPr>
          <w:rFonts w:ascii="Times New Roman" w:hAnsi="Times New Roman" w:cs="Times New Roman"/>
          <w:color w:val="000000" w:themeColor="text1"/>
          <w:sz w:val="24"/>
          <w:szCs w:val="24"/>
        </w:rPr>
        <w:t xml:space="preserve">&lt; 0.05, </w:t>
      </w:r>
      <w:r w:rsidR="00FC7612" w:rsidRPr="003A473F">
        <w:rPr>
          <w:rFonts w:ascii="Times New Roman" w:eastAsia="宋体" w:hAnsi="Times New Roman" w:cs="Times New Roman"/>
          <w:color w:val="000000" w:themeColor="text1"/>
          <w:sz w:val="24"/>
          <w:szCs w:val="24"/>
        </w:rPr>
        <w:t xml:space="preserve">n = 5, </w:t>
      </w:r>
      <w:r w:rsidR="00FC7612" w:rsidRPr="003A473F">
        <w:rPr>
          <w:rFonts w:ascii="Times New Roman" w:hAnsi="Times New Roman" w:cs="Times New Roman"/>
          <w:color w:val="000000" w:themeColor="text1"/>
          <w:sz w:val="24"/>
          <w:szCs w:val="24"/>
        </w:rPr>
        <w:t>One-way ANOVA test</w:t>
      </w:r>
      <w:r w:rsidR="00677A46" w:rsidRPr="003A473F">
        <w:rPr>
          <w:rFonts w:ascii="Times New Roman" w:hAnsi="Times New Roman" w:cs="Times New Roman"/>
          <w:color w:val="000000" w:themeColor="text1"/>
          <w:sz w:val="24"/>
          <w:szCs w:val="24"/>
        </w:rPr>
        <w:t>.</w:t>
      </w:r>
    </w:p>
    <w:p w14:paraId="64D84FE5" w14:textId="3BD7D5CB" w:rsidR="002B0105" w:rsidRPr="003A473F" w:rsidRDefault="00D50A8F" w:rsidP="00677A46">
      <w:pPr>
        <w:spacing w:line="480" w:lineRule="auto"/>
        <w:jc w:val="center"/>
        <w:rPr>
          <w:rFonts w:ascii="Times New Roman" w:eastAsia="宋体" w:hAnsi="Times New Roman" w:cs="Times New Roman"/>
          <w:color w:val="000000" w:themeColor="text1"/>
          <w:sz w:val="24"/>
          <w:szCs w:val="24"/>
        </w:rPr>
      </w:pPr>
      <w:r w:rsidRPr="003A473F">
        <w:rPr>
          <w:noProof/>
          <w:color w:val="000000" w:themeColor="text1"/>
        </w:rPr>
        <w:lastRenderedPageBreak/>
        <w:drawing>
          <wp:inline distT="0" distB="0" distL="0" distR="0" wp14:anchorId="4387B4DA" wp14:editId="5413C348">
            <wp:extent cx="4800293" cy="6291354"/>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2968" cy="6294860"/>
                    </a:xfrm>
                    <a:prstGeom prst="rect">
                      <a:avLst/>
                    </a:prstGeom>
                    <a:noFill/>
                    <a:ln>
                      <a:noFill/>
                    </a:ln>
                  </pic:spPr>
                </pic:pic>
              </a:graphicData>
            </a:graphic>
          </wp:inline>
        </w:drawing>
      </w:r>
    </w:p>
    <w:p w14:paraId="2189A47F" w14:textId="5700E938" w:rsidR="00677A46" w:rsidRPr="003A473F" w:rsidRDefault="00FC7612" w:rsidP="00225320">
      <w:pPr>
        <w:rPr>
          <w:rFonts w:ascii="Times New Roman" w:eastAsia="宋体" w:hAnsi="Times New Roman" w:cs="Times New Roman"/>
          <w:bCs/>
          <w:color w:val="000000" w:themeColor="text1"/>
          <w:sz w:val="24"/>
          <w:szCs w:val="24"/>
        </w:rPr>
      </w:pPr>
      <w:r w:rsidRPr="003A473F">
        <w:rPr>
          <w:rFonts w:ascii="Times New Roman" w:eastAsia="宋体" w:hAnsi="Times New Roman" w:cs="Times New Roman"/>
          <w:b/>
          <w:bCs/>
          <w:color w:val="000000" w:themeColor="text1"/>
          <w:sz w:val="24"/>
          <w:szCs w:val="24"/>
        </w:rPr>
        <w:t>Fig.</w:t>
      </w:r>
      <w:r w:rsidR="00677A46" w:rsidRPr="003A473F">
        <w:rPr>
          <w:rFonts w:ascii="Times New Roman" w:eastAsia="宋体" w:hAnsi="Times New Roman" w:cs="Times New Roman"/>
          <w:b/>
          <w:bCs/>
          <w:color w:val="000000" w:themeColor="text1"/>
          <w:sz w:val="24"/>
          <w:szCs w:val="24"/>
        </w:rPr>
        <w:t xml:space="preserve"> </w:t>
      </w:r>
      <w:r w:rsidRPr="003A473F">
        <w:rPr>
          <w:rFonts w:ascii="Times New Roman" w:eastAsia="宋体" w:hAnsi="Times New Roman" w:cs="Times New Roman"/>
          <w:b/>
          <w:bCs/>
          <w:color w:val="000000" w:themeColor="text1"/>
          <w:sz w:val="24"/>
          <w:szCs w:val="24"/>
        </w:rPr>
        <w:t xml:space="preserve">S3 </w:t>
      </w:r>
      <w:r w:rsidRPr="003A473F">
        <w:rPr>
          <w:rFonts w:ascii="Times New Roman" w:eastAsia="宋体" w:hAnsi="Times New Roman" w:cs="Times New Roman"/>
          <w:bCs/>
          <w:color w:val="000000" w:themeColor="text1"/>
          <w:sz w:val="24"/>
          <w:szCs w:val="24"/>
        </w:rPr>
        <w:t>miR-205 targets VEGFA and A</w:t>
      </w:r>
      <w:r w:rsidR="00D50A8F" w:rsidRPr="003A473F">
        <w:rPr>
          <w:rFonts w:ascii="Times New Roman" w:eastAsia="宋体" w:hAnsi="Times New Roman" w:cs="Times New Roman"/>
          <w:bCs/>
          <w:color w:val="000000" w:themeColor="text1"/>
          <w:sz w:val="24"/>
          <w:szCs w:val="24"/>
        </w:rPr>
        <w:t>NGPT2</w:t>
      </w:r>
      <w:r w:rsidRPr="003A473F">
        <w:rPr>
          <w:rFonts w:ascii="Times New Roman" w:eastAsia="宋体" w:hAnsi="Times New Roman" w:cs="Times New Roman"/>
          <w:bCs/>
          <w:color w:val="000000" w:themeColor="text1"/>
          <w:sz w:val="24"/>
          <w:szCs w:val="24"/>
        </w:rPr>
        <w:t xml:space="preserve"> to regulate </w:t>
      </w:r>
      <w:r w:rsidR="00677A46" w:rsidRPr="003A473F">
        <w:rPr>
          <w:rFonts w:ascii="Times New Roman" w:eastAsia="宋体" w:hAnsi="Times New Roman" w:cs="Times New Roman"/>
          <w:bCs/>
          <w:color w:val="000000" w:themeColor="text1"/>
          <w:sz w:val="24"/>
          <w:szCs w:val="24"/>
        </w:rPr>
        <w:t>pathological neovascularization</w:t>
      </w:r>
    </w:p>
    <w:p w14:paraId="4E2B9A06" w14:textId="6B0B76C3" w:rsidR="002B0105" w:rsidRPr="003A473F" w:rsidRDefault="00225320" w:rsidP="00225320">
      <w:pPr>
        <w:rPr>
          <w:rFonts w:ascii="Times New Roman" w:eastAsia="宋体" w:hAnsi="Times New Roman" w:cs="Times New Roman"/>
          <w:color w:val="000000" w:themeColor="text1"/>
          <w:sz w:val="24"/>
          <w:szCs w:val="24"/>
        </w:rPr>
      </w:pPr>
      <w:r w:rsidRPr="003A473F">
        <w:rPr>
          <w:rFonts w:ascii="Times New Roman" w:eastAsia="宋体" w:hAnsi="Times New Roman" w:cs="Times New Roman"/>
          <w:b/>
          <w:color w:val="000000" w:themeColor="text1"/>
          <w:sz w:val="24"/>
          <w:szCs w:val="24"/>
        </w:rPr>
        <w:t>A</w:t>
      </w:r>
      <w:r w:rsidRPr="003A473F">
        <w:rPr>
          <w:rFonts w:ascii="Times New Roman" w:eastAsia="宋体" w:hAnsi="Times New Roman" w:cs="Times New Roman"/>
          <w:color w:val="000000" w:themeColor="text1"/>
          <w:sz w:val="24"/>
          <w:szCs w:val="24"/>
        </w:rPr>
        <w:t xml:space="preserve"> </w:t>
      </w:r>
      <w:r w:rsidR="00FC7612" w:rsidRPr="003A473F">
        <w:rPr>
          <w:rFonts w:ascii="Times New Roman" w:eastAsia="宋体" w:hAnsi="Times New Roman" w:cs="Times New Roman"/>
          <w:color w:val="000000" w:themeColor="text1"/>
          <w:sz w:val="24"/>
          <w:szCs w:val="24"/>
        </w:rPr>
        <w:t xml:space="preserve">The gene ontology (GO) enrichment analysis for targeted genes of miR-205 with molecular functions, biological processes, and cellular components. </w:t>
      </w:r>
      <w:r w:rsidR="00FC7612" w:rsidRPr="003A473F">
        <w:rPr>
          <w:rFonts w:ascii="Times New Roman" w:eastAsia="宋体" w:hAnsi="Times New Roman" w:cs="Times New Roman"/>
          <w:b/>
          <w:bCs/>
          <w:color w:val="000000" w:themeColor="text1"/>
          <w:sz w:val="24"/>
          <w:szCs w:val="24"/>
        </w:rPr>
        <w:t>B</w:t>
      </w:r>
      <w:r w:rsidRPr="003A473F">
        <w:rPr>
          <w:rFonts w:ascii="Times New Roman" w:eastAsia="宋体" w:hAnsi="Times New Roman" w:cs="Times New Roman"/>
          <w:b/>
          <w:bCs/>
          <w:color w:val="000000" w:themeColor="text1"/>
          <w:sz w:val="24"/>
          <w:szCs w:val="24"/>
        </w:rPr>
        <w:t>, C</w:t>
      </w:r>
      <w:r w:rsidR="00FC7612" w:rsidRPr="003A473F">
        <w:rPr>
          <w:rFonts w:ascii="Times New Roman" w:eastAsia="宋体" w:hAnsi="Times New Roman" w:cs="Times New Roman"/>
          <w:color w:val="000000" w:themeColor="text1"/>
          <w:sz w:val="24"/>
          <w:szCs w:val="24"/>
        </w:rPr>
        <w:t xml:space="preserve"> qRT-PCR assay</w:t>
      </w:r>
      <w:r w:rsidRPr="003A473F">
        <w:rPr>
          <w:rFonts w:ascii="Times New Roman" w:eastAsia="宋体" w:hAnsi="Times New Roman" w:cs="Times New Roman"/>
          <w:color w:val="000000" w:themeColor="text1"/>
          <w:sz w:val="24"/>
          <w:szCs w:val="24"/>
        </w:rPr>
        <w:t>s were performed</w:t>
      </w:r>
      <w:r w:rsidR="00FC7612" w:rsidRPr="003A473F">
        <w:rPr>
          <w:rFonts w:ascii="Times New Roman" w:eastAsia="宋体" w:hAnsi="Times New Roman" w:cs="Times New Roman"/>
          <w:color w:val="000000" w:themeColor="text1"/>
          <w:sz w:val="24"/>
          <w:szCs w:val="24"/>
        </w:rPr>
        <w:t xml:space="preserve"> to detect the expression </w:t>
      </w:r>
      <w:r w:rsidRPr="003A473F">
        <w:rPr>
          <w:rFonts w:ascii="Times New Roman" w:eastAsia="宋体" w:hAnsi="Times New Roman" w:cs="Times New Roman"/>
          <w:color w:val="000000" w:themeColor="text1"/>
          <w:sz w:val="24"/>
          <w:szCs w:val="24"/>
        </w:rPr>
        <w:t xml:space="preserve">levels </w:t>
      </w:r>
      <w:r w:rsidR="00FC7612" w:rsidRPr="003A473F">
        <w:rPr>
          <w:rFonts w:ascii="Times New Roman" w:eastAsia="宋体" w:hAnsi="Times New Roman" w:cs="Times New Roman"/>
          <w:color w:val="000000" w:themeColor="text1"/>
          <w:sz w:val="24"/>
          <w:szCs w:val="24"/>
        </w:rPr>
        <w:t xml:space="preserve">of VEGFA and </w:t>
      </w:r>
      <w:r w:rsidR="00D50A8F" w:rsidRPr="003A473F">
        <w:rPr>
          <w:rFonts w:ascii="Times New Roman" w:eastAsia="宋体" w:hAnsi="Times New Roman" w:cs="Times New Roman"/>
          <w:color w:val="000000" w:themeColor="text1"/>
          <w:sz w:val="24"/>
          <w:szCs w:val="24"/>
        </w:rPr>
        <w:t>ANGPT2</w:t>
      </w:r>
      <w:r w:rsidR="00FC7612" w:rsidRPr="003A473F">
        <w:rPr>
          <w:rFonts w:ascii="Times New Roman" w:eastAsia="宋体" w:hAnsi="Times New Roman" w:cs="Times New Roman"/>
          <w:color w:val="000000" w:themeColor="text1"/>
          <w:sz w:val="24"/>
          <w:szCs w:val="24"/>
        </w:rPr>
        <w:t>.</w:t>
      </w:r>
      <w:r w:rsidRPr="003A473F">
        <w:rPr>
          <w:rFonts w:ascii="Times New Roman" w:hAnsi="Times New Roman" w:cs="Times New Roman"/>
          <w:color w:val="000000" w:themeColor="text1"/>
          <w:sz w:val="24"/>
          <w:szCs w:val="24"/>
        </w:rPr>
        <w:t xml:space="preserve"> </w:t>
      </w:r>
      <w:r w:rsidRPr="003A473F">
        <w:rPr>
          <w:rFonts w:ascii="Times New Roman" w:hAnsi="Times New Roman" w:cs="Times New Roman"/>
          <w:color w:val="000000" w:themeColor="text1"/>
          <w:sz w:val="24"/>
          <w:szCs w:val="24"/>
        </w:rPr>
        <w:t>Data are presented as the means ± SD</w:t>
      </w:r>
      <w:r w:rsidRPr="003A473F">
        <w:rPr>
          <w:rFonts w:ascii="Times New Roman" w:hAnsi="Times New Roman" w:cs="Times New Roman"/>
          <w:color w:val="000000" w:themeColor="text1"/>
          <w:sz w:val="24"/>
          <w:szCs w:val="24"/>
        </w:rPr>
        <w:t>.</w:t>
      </w:r>
      <w:r w:rsidR="00FC7612" w:rsidRPr="003A473F">
        <w:rPr>
          <w:rFonts w:ascii="Times New Roman" w:hAnsi="Times New Roman" w:cs="Times New Roman"/>
          <w:color w:val="000000" w:themeColor="text1"/>
          <w:sz w:val="24"/>
          <w:szCs w:val="24"/>
        </w:rPr>
        <w:t xml:space="preserve"> *</w:t>
      </w:r>
      <w:r w:rsidR="00FC7612" w:rsidRPr="003A473F">
        <w:rPr>
          <w:rFonts w:ascii="Times New Roman" w:hAnsi="Times New Roman" w:cs="Times New Roman"/>
          <w:i/>
          <w:iCs/>
          <w:color w:val="000000" w:themeColor="text1"/>
          <w:sz w:val="24"/>
          <w:szCs w:val="24"/>
        </w:rPr>
        <w:t xml:space="preserve">P </w:t>
      </w:r>
      <w:r w:rsidR="00FC7612" w:rsidRPr="003A473F">
        <w:rPr>
          <w:rFonts w:ascii="Times New Roman" w:hAnsi="Times New Roman" w:cs="Times New Roman"/>
          <w:color w:val="000000" w:themeColor="text1"/>
          <w:sz w:val="24"/>
          <w:szCs w:val="24"/>
        </w:rPr>
        <w:t xml:space="preserve">&lt; 0.05, </w:t>
      </w:r>
      <w:r w:rsidR="00FC7612" w:rsidRPr="003A473F">
        <w:rPr>
          <w:rFonts w:ascii="Times New Roman" w:eastAsia="宋体" w:hAnsi="Times New Roman" w:cs="Times New Roman"/>
          <w:color w:val="000000" w:themeColor="text1"/>
          <w:sz w:val="24"/>
          <w:szCs w:val="24"/>
        </w:rPr>
        <w:t xml:space="preserve">n = 4, </w:t>
      </w:r>
      <w:r w:rsidR="00FC7612" w:rsidRPr="003A473F">
        <w:rPr>
          <w:rFonts w:ascii="Times New Roman" w:hAnsi="Times New Roman" w:cs="Times New Roman"/>
          <w:color w:val="000000" w:themeColor="text1"/>
          <w:sz w:val="24"/>
          <w:szCs w:val="24"/>
        </w:rPr>
        <w:t>One-way ANOVA test</w:t>
      </w:r>
      <w:r w:rsidRPr="003A473F">
        <w:rPr>
          <w:rFonts w:ascii="Times New Roman" w:hAnsi="Times New Roman" w:cs="Times New Roman"/>
          <w:color w:val="000000" w:themeColor="text1"/>
          <w:sz w:val="24"/>
          <w:szCs w:val="24"/>
        </w:rPr>
        <w:t>.</w:t>
      </w:r>
    </w:p>
    <w:p w14:paraId="79C0BB28" w14:textId="270CCEAA" w:rsidR="002B0105" w:rsidRPr="003A473F" w:rsidRDefault="00FE34F5" w:rsidP="0040187E">
      <w:pPr>
        <w:spacing w:line="480" w:lineRule="auto"/>
        <w:jc w:val="center"/>
        <w:rPr>
          <w:rFonts w:ascii="Times New Roman" w:eastAsia="宋体" w:hAnsi="Times New Roman" w:cs="Times New Roman"/>
          <w:b/>
          <w:bCs/>
          <w:color w:val="000000" w:themeColor="text1"/>
          <w:sz w:val="24"/>
          <w:szCs w:val="24"/>
        </w:rPr>
      </w:pPr>
      <w:r w:rsidRPr="003A473F">
        <w:rPr>
          <w:noProof/>
          <w:color w:val="000000" w:themeColor="text1"/>
        </w:rPr>
        <w:lastRenderedPageBreak/>
        <w:drawing>
          <wp:inline distT="0" distB="0" distL="0" distR="0" wp14:anchorId="56D1F1B1" wp14:editId="4FB4C8C9">
            <wp:extent cx="5121729" cy="5595917"/>
            <wp:effectExtent l="0" t="0" r="317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3889" cy="5598277"/>
                    </a:xfrm>
                    <a:prstGeom prst="rect">
                      <a:avLst/>
                    </a:prstGeom>
                    <a:noFill/>
                    <a:ln>
                      <a:noFill/>
                    </a:ln>
                  </pic:spPr>
                </pic:pic>
              </a:graphicData>
            </a:graphic>
          </wp:inline>
        </w:drawing>
      </w:r>
    </w:p>
    <w:p w14:paraId="1DE65CEA" w14:textId="29C66E16" w:rsidR="002D1C17" w:rsidRPr="003A473F" w:rsidRDefault="00FC7612" w:rsidP="002D1C17">
      <w:pPr>
        <w:rPr>
          <w:rFonts w:ascii="Times New Roman" w:eastAsia="宋体" w:hAnsi="Times New Roman" w:cs="Times New Roman"/>
          <w:bCs/>
          <w:color w:val="000000" w:themeColor="text1"/>
          <w:sz w:val="24"/>
          <w:szCs w:val="24"/>
        </w:rPr>
      </w:pPr>
      <w:r w:rsidRPr="003A473F">
        <w:rPr>
          <w:rFonts w:ascii="Times New Roman" w:eastAsia="宋体" w:hAnsi="Times New Roman" w:cs="Times New Roman"/>
          <w:b/>
          <w:bCs/>
          <w:color w:val="000000" w:themeColor="text1"/>
          <w:sz w:val="24"/>
          <w:szCs w:val="24"/>
        </w:rPr>
        <w:t>Fig.</w:t>
      </w:r>
      <w:r w:rsidR="002D1C17" w:rsidRPr="003A473F">
        <w:rPr>
          <w:rFonts w:ascii="Times New Roman" w:eastAsia="宋体" w:hAnsi="Times New Roman" w:cs="Times New Roman"/>
          <w:b/>
          <w:bCs/>
          <w:color w:val="000000" w:themeColor="text1"/>
          <w:sz w:val="24"/>
          <w:szCs w:val="24"/>
        </w:rPr>
        <w:t xml:space="preserve"> </w:t>
      </w:r>
      <w:r w:rsidRPr="003A473F">
        <w:rPr>
          <w:rFonts w:ascii="Times New Roman" w:eastAsia="宋体" w:hAnsi="Times New Roman" w:cs="Times New Roman"/>
          <w:b/>
          <w:bCs/>
          <w:color w:val="000000" w:themeColor="text1"/>
          <w:sz w:val="24"/>
          <w:szCs w:val="24"/>
        </w:rPr>
        <w:t>S4</w:t>
      </w:r>
      <w:r w:rsidR="002D1C17" w:rsidRPr="003A473F">
        <w:rPr>
          <w:color w:val="000000" w:themeColor="text1"/>
        </w:rPr>
        <w:t xml:space="preserve"> </w:t>
      </w:r>
      <w:r w:rsidR="002D1C17" w:rsidRPr="003A473F">
        <w:rPr>
          <w:rFonts w:ascii="Times New Roman" w:eastAsia="宋体" w:hAnsi="Times New Roman" w:cs="Times New Roman"/>
          <w:bCs/>
          <w:color w:val="000000" w:themeColor="text1"/>
          <w:sz w:val="24"/>
          <w:szCs w:val="24"/>
        </w:rPr>
        <w:t>Characterization and cellular uptake of MSC-derived exosomes in HRVECs</w:t>
      </w:r>
    </w:p>
    <w:p w14:paraId="29D77A76" w14:textId="68AF0882" w:rsidR="002B0105" w:rsidRPr="003A473F" w:rsidRDefault="00FC7612" w:rsidP="002D1C17">
      <w:pPr>
        <w:rPr>
          <w:rFonts w:ascii="Times New Roman" w:eastAsia="宋体" w:hAnsi="Times New Roman" w:cs="Times New Roman"/>
          <w:color w:val="000000" w:themeColor="text1"/>
          <w:sz w:val="24"/>
          <w:szCs w:val="24"/>
        </w:rPr>
      </w:pPr>
      <w:r w:rsidRPr="003A473F">
        <w:rPr>
          <w:rFonts w:ascii="Times New Roman" w:eastAsia="宋体" w:hAnsi="Times New Roman" w:cs="Times New Roman"/>
          <w:b/>
          <w:bCs/>
          <w:color w:val="000000" w:themeColor="text1"/>
          <w:sz w:val="24"/>
          <w:szCs w:val="24"/>
        </w:rPr>
        <w:t>A</w:t>
      </w:r>
      <w:r w:rsidRPr="003A473F">
        <w:rPr>
          <w:rFonts w:ascii="Times New Roman" w:eastAsia="宋体" w:hAnsi="Times New Roman" w:cs="Times New Roman"/>
          <w:color w:val="000000" w:themeColor="text1"/>
          <w:sz w:val="24"/>
          <w:szCs w:val="24"/>
        </w:rPr>
        <w:t xml:space="preserve"> TEM identified the morphology of MSC-exo. Scale bar, 200 nm. </w:t>
      </w:r>
      <w:r w:rsidR="002D1C17" w:rsidRPr="003A473F">
        <w:rPr>
          <w:rFonts w:ascii="Times New Roman" w:eastAsia="宋体" w:hAnsi="Times New Roman" w:cs="Times New Roman"/>
          <w:b/>
          <w:color w:val="000000" w:themeColor="text1"/>
          <w:sz w:val="24"/>
          <w:szCs w:val="24"/>
        </w:rPr>
        <w:t>B</w:t>
      </w:r>
      <w:r w:rsidRPr="003A473F">
        <w:rPr>
          <w:rFonts w:ascii="Times New Roman" w:eastAsia="宋体" w:hAnsi="Times New Roman" w:cs="Times New Roman"/>
          <w:color w:val="000000" w:themeColor="text1"/>
          <w:sz w:val="24"/>
          <w:szCs w:val="24"/>
        </w:rPr>
        <w:t xml:space="preserve"> NTA identified the size and particle concentration of MSC-exo. </w:t>
      </w:r>
      <w:r w:rsidR="002D1C17" w:rsidRPr="003A473F">
        <w:rPr>
          <w:rFonts w:ascii="Times New Roman" w:eastAsia="宋体" w:hAnsi="Times New Roman" w:cs="Times New Roman"/>
          <w:b/>
          <w:color w:val="000000" w:themeColor="text1"/>
          <w:sz w:val="24"/>
          <w:szCs w:val="24"/>
        </w:rPr>
        <w:t>C</w:t>
      </w:r>
      <w:r w:rsidRPr="003A473F">
        <w:rPr>
          <w:rFonts w:ascii="Times New Roman" w:eastAsia="宋体" w:hAnsi="Times New Roman" w:cs="Times New Roman"/>
          <w:color w:val="000000" w:themeColor="text1"/>
          <w:sz w:val="24"/>
          <w:szCs w:val="24"/>
        </w:rPr>
        <w:t xml:space="preserve"> Western blot </w:t>
      </w:r>
      <w:r w:rsidR="002D1C17" w:rsidRPr="003A473F">
        <w:rPr>
          <w:rFonts w:ascii="Times New Roman" w:eastAsia="宋体" w:hAnsi="Times New Roman" w:cs="Times New Roman"/>
          <w:color w:val="000000" w:themeColor="text1"/>
          <w:sz w:val="24"/>
          <w:szCs w:val="24"/>
        </w:rPr>
        <w:t>was performed</w:t>
      </w:r>
      <w:r w:rsidRPr="003A473F">
        <w:rPr>
          <w:rFonts w:ascii="Times New Roman" w:eastAsia="宋体" w:hAnsi="Times New Roman" w:cs="Times New Roman"/>
          <w:color w:val="000000" w:themeColor="text1"/>
          <w:sz w:val="24"/>
          <w:szCs w:val="24"/>
        </w:rPr>
        <w:t xml:space="preserve"> to detect the exosome specific markers including HSP70, TSG101, and CD63 of MSC-exo. </w:t>
      </w:r>
      <w:r w:rsidRPr="003A473F">
        <w:rPr>
          <w:rFonts w:ascii="Times New Roman" w:eastAsia="宋体" w:hAnsi="Times New Roman" w:cs="Times New Roman"/>
          <w:b/>
          <w:bCs/>
          <w:color w:val="000000" w:themeColor="text1"/>
          <w:sz w:val="24"/>
          <w:szCs w:val="24"/>
        </w:rPr>
        <w:t>D</w:t>
      </w:r>
      <w:r w:rsidRPr="003A473F">
        <w:rPr>
          <w:rFonts w:ascii="Times New Roman" w:eastAsia="宋体" w:hAnsi="Times New Roman" w:cs="Times New Roman"/>
          <w:color w:val="000000" w:themeColor="text1"/>
          <w:sz w:val="24"/>
          <w:szCs w:val="24"/>
        </w:rPr>
        <w:t xml:space="preserve"> CD63 (green) labels exosome, phalloidin (red) labels the actin cytoskeleton and demarcates cell boundaries, and DAPI staining (blue) </w:t>
      </w:r>
      <w:r w:rsidR="00EB609C" w:rsidRPr="003A473F">
        <w:rPr>
          <w:rFonts w:ascii="Times New Roman" w:eastAsia="宋体" w:hAnsi="Times New Roman" w:cs="Times New Roman"/>
          <w:color w:val="000000" w:themeColor="text1"/>
          <w:sz w:val="24"/>
          <w:szCs w:val="24"/>
        </w:rPr>
        <w:t>labels</w:t>
      </w:r>
      <w:r w:rsidRPr="003A473F">
        <w:rPr>
          <w:rFonts w:ascii="Times New Roman" w:eastAsia="宋体" w:hAnsi="Times New Roman" w:cs="Times New Roman"/>
          <w:color w:val="000000" w:themeColor="text1"/>
          <w:sz w:val="24"/>
          <w:szCs w:val="24"/>
        </w:rPr>
        <w:t xml:space="preserve"> nuclei. MSC-exo were added and incubated to HRVECs for 24 h. Representative images show the cellular uptake of MSC-exo in HRVECs after 24 h. Scale bar, 20 μm.</w:t>
      </w:r>
    </w:p>
    <w:p w14:paraId="4A81D683" w14:textId="553A05BD" w:rsidR="002B0105" w:rsidRPr="003A473F" w:rsidRDefault="0040187E" w:rsidP="00C52F6F">
      <w:pPr>
        <w:spacing w:line="480" w:lineRule="auto"/>
        <w:jc w:val="center"/>
        <w:rPr>
          <w:rFonts w:ascii="Times New Roman" w:eastAsia="宋体" w:hAnsi="Times New Roman" w:cs="Times New Roman"/>
          <w:color w:val="000000" w:themeColor="text1"/>
          <w:sz w:val="24"/>
          <w:szCs w:val="24"/>
        </w:rPr>
      </w:pPr>
      <w:r w:rsidRPr="003A473F">
        <w:rPr>
          <w:noProof/>
          <w:color w:val="000000" w:themeColor="text1"/>
        </w:rPr>
        <w:lastRenderedPageBreak/>
        <w:drawing>
          <wp:inline distT="0" distB="0" distL="0" distR="0" wp14:anchorId="25BC933A" wp14:editId="1858DFD5">
            <wp:extent cx="3975407" cy="5814737"/>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97701" cy="5847346"/>
                    </a:xfrm>
                    <a:prstGeom prst="rect">
                      <a:avLst/>
                    </a:prstGeom>
                    <a:noFill/>
                    <a:ln>
                      <a:noFill/>
                    </a:ln>
                  </pic:spPr>
                </pic:pic>
              </a:graphicData>
            </a:graphic>
          </wp:inline>
        </w:drawing>
      </w:r>
    </w:p>
    <w:p w14:paraId="4697B6FD" w14:textId="326EA749" w:rsidR="003A473F" w:rsidRPr="003A473F" w:rsidRDefault="00FC7612" w:rsidP="002D1C17">
      <w:pPr>
        <w:rPr>
          <w:rFonts w:ascii="Times New Roman" w:eastAsia="宋体" w:hAnsi="Times New Roman" w:cs="Times New Roman"/>
          <w:color w:val="000000" w:themeColor="text1"/>
          <w:sz w:val="24"/>
          <w:szCs w:val="24"/>
        </w:rPr>
      </w:pPr>
      <w:bookmarkStart w:id="0" w:name="_Hlk177691015"/>
      <w:r w:rsidRPr="003A473F">
        <w:rPr>
          <w:rFonts w:ascii="Times New Roman" w:eastAsia="宋体" w:hAnsi="Times New Roman" w:cs="Times New Roman"/>
          <w:b/>
          <w:bCs/>
          <w:color w:val="000000" w:themeColor="text1"/>
          <w:sz w:val="24"/>
          <w:szCs w:val="24"/>
        </w:rPr>
        <w:t>Fig.</w:t>
      </w:r>
      <w:r w:rsidR="002D1C17" w:rsidRPr="003A473F">
        <w:rPr>
          <w:rFonts w:ascii="Times New Roman" w:eastAsia="宋体" w:hAnsi="Times New Roman" w:cs="Times New Roman"/>
          <w:b/>
          <w:bCs/>
          <w:color w:val="000000" w:themeColor="text1"/>
          <w:sz w:val="24"/>
          <w:szCs w:val="24"/>
        </w:rPr>
        <w:t xml:space="preserve"> </w:t>
      </w:r>
      <w:r w:rsidRPr="003A473F">
        <w:rPr>
          <w:rFonts w:ascii="Times New Roman" w:eastAsia="宋体" w:hAnsi="Times New Roman" w:cs="Times New Roman"/>
          <w:b/>
          <w:bCs/>
          <w:color w:val="000000" w:themeColor="text1"/>
          <w:sz w:val="24"/>
          <w:szCs w:val="24"/>
        </w:rPr>
        <w:t>S5</w:t>
      </w:r>
      <w:r w:rsidRPr="003A473F">
        <w:rPr>
          <w:rFonts w:ascii="Times New Roman" w:eastAsia="宋体" w:hAnsi="Times New Roman" w:cs="Times New Roman"/>
          <w:bCs/>
          <w:color w:val="000000" w:themeColor="text1"/>
          <w:sz w:val="24"/>
          <w:szCs w:val="24"/>
        </w:rPr>
        <w:t xml:space="preserve"> </w:t>
      </w:r>
      <w:r w:rsidR="003A473F" w:rsidRPr="003A473F">
        <w:rPr>
          <w:rFonts w:ascii="Times New Roman" w:eastAsia="宋体" w:hAnsi="Times New Roman" w:cs="Times New Roman"/>
          <w:bCs/>
          <w:color w:val="000000" w:themeColor="text1"/>
          <w:sz w:val="24"/>
          <w:szCs w:val="24"/>
        </w:rPr>
        <w:t>E</w:t>
      </w:r>
      <w:r w:rsidR="003A473F" w:rsidRPr="003A473F">
        <w:rPr>
          <w:rFonts w:ascii="Times New Roman" w:eastAsia="宋体" w:hAnsi="Times New Roman" w:cs="Times New Roman"/>
          <w:color w:val="000000" w:themeColor="text1"/>
          <w:sz w:val="24"/>
          <w:szCs w:val="24"/>
        </w:rPr>
        <w:t>valuation of toxicity of exosome and miR-205 administration in C57BL/6J mice</w:t>
      </w:r>
    </w:p>
    <w:p w14:paraId="4AE4BC1C" w14:textId="1881CCBA" w:rsidR="002B0105" w:rsidRPr="003A473F" w:rsidRDefault="002D1C17" w:rsidP="002D1C17">
      <w:pPr>
        <w:rPr>
          <w:rFonts w:ascii="Times New Roman" w:hAnsi="Times New Roman" w:cs="Times New Roman"/>
          <w:color w:val="000000" w:themeColor="text1"/>
          <w:sz w:val="24"/>
          <w:szCs w:val="24"/>
        </w:rPr>
      </w:pPr>
      <w:r w:rsidRPr="003A473F">
        <w:rPr>
          <w:rFonts w:ascii="Times New Roman" w:hAnsi="Times New Roman" w:cs="Times New Roman"/>
          <w:b/>
          <w:color w:val="000000" w:themeColor="text1"/>
          <w:sz w:val="24"/>
          <w:szCs w:val="24"/>
        </w:rPr>
        <w:t>A-C</w:t>
      </w:r>
      <w:r w:rsidR="003A473F" w:rsidRPr="003A473F">
        <w:rPr>
          <w:rFonts w:ascii="Times New Roman" w:hAnsi="Times New Roman" w:cs="Times New Roman"/>
          <w:color w:val="000000" w:themeColor="text1"/>
          <w:sz w:val="24"/>
          <w:szCs w:val="24"/>
        </w:rPr>
        <w:t xml:space="preserve"> </w:t>
      </w:r>
      <w:r w:rsidR="003A473F" w:rsidRPr="003A473F">
        <w:rPr>
          <w:rFonts w:ascii="Times New Roman" w:hAnsi="Times New Roman" w:cs="Times New Roman"/>
          <w:color w:val="000000" w:themeColor="text1"/>
          <w:sz w:val="24"/>
          <w:szCs w:val="24"/>
        </w:rPr>
        <w:t xml:space="preserve">Administration of PBS (Ctrl), exosomes, miR-205, or Exo-miR-205 in C57BL/6J mice was performed to investigate potential ocular toxicity. </w:t>
      </w:r>
      <w:r w:rsidRPr="003A473F">
        <w:rPr>
          <w:rFonts w:ascii="Times New Roman" w:hAnsi="Times New Roman" w:cs="Times New Roman"/>
          <w:color w:val="000000" w:themeColor="text1"/>
          <w:sz w:val="24"/>
          <w:szCs w:val="24"/>
        </w:rPr>
        <w:t>Blood and serum samples were collected from each group for routine blood tests (n = 3). Statistical significance was determined with *</w:t>
      </w:r>
      <w:r w:rsidRPr="003A473F">
        <w:rPr>
          <w:rFonts w:ascii="Times New Roman" w:hAnsi="Times New Roman" w:cs="Times New Roman"/>
          <w:i/>
          <w:color w:val="000000" w:themeColor="text1"/>
          <w:sz w:val="24"/>
          <w:szCs w:val="24"/>
        </w:rPr>
        <w:t>P</w:t>
      </w:r>
      <w:r w:rsidRPr="003A473F">
        <w:rPr>
          <w:rFonts w:ascii="Times New Roman" w:hAnsi="Times New Roman" w:cs="Times New Roman"/>
          <w:color w:val="000000" w:themeColor="text1"/>
          <w:sz w:val="24"/>
          <w:szCs w:val="24"/>
        </w:rPr>
        <w:t xml:space="preserve"> &lt; 0.05, and data are presented as means ± SD using a one-way ANOVA test. </w:t>
      </w:r>
      <w:r w:rsidRPr="003A473F">
        <w:rPr>
          <w:rFonts w:ascii="Times New Roman" w:hAnsi="Times New Roman" w:cs="Times New Roman"/>
          <w:b/>
          <w:color w:val="000000" w:themeColor="text1"/>
          <w:sz w:val="24"/>
          <w:szCs w:val="24"/>
        </w:rPr>
        <w:t>D</w:t>
      </w:r>
      <w:r w:rsidRPr="003A473F">
        <w:rPr>
          <w:rFonts w:ascii="Times New Roman" w:hAnsi="Times New Roman" w:cs="Times New Roman"/>
          <w:color w:val="000000" w:themeColor="text1"/>
          <w:sz w:val="24"/>
          <w:szCs w:val="24"/>
        </w:rPr>
        <w:t xml:space="preserve"> Blood and serum samples were also collected for serum biochemical parameter analysis (n = 5). </w:t>
      </w:r>
      <w:r w:rsidRPr="003A473F">
        <w:rPr>
          <w:rFonts w:ascii="Times New Roman" w:hAnsi="Times New Roman" w:cs="Times New Roman"/>
          <w:b/>
          <w:color w:val="000000" w:themeColor="text1"/>
          <w:sz w:val="24"/>
          <w:szCs w:val="24"/>
        </w:rPr>
        <w:t>E</w:t>
      </w:r>
      <w:r w:rsidRPr="003A473F">
        <w:rPr>
          <w:rFonts w:ascii="Times New Roman" w:hAnsi="Times New Roman" w:cs="Times New Roman"/>
          <w:color w:val="000000" w:themeColor="text1"/>
          <w:sz w:val="24"/>
          <w:szCs w:val="24"/>
        </w:rPr>
        <w:t xml:space="preserve"> Hematoxylin and eosin (HE) staining of five tissues (heart, liver, spleen, lung, and kidney) was performed, with a scale bar of 50 μm (n = 5). </w:t>
      </w:r>
      <w:r w:rsidRPr="003A473F">
        <w:rPr>
          <w:rFonts w:ascii="Times New Roman" w:hAnsi="Times New Roman" w:cs="Times New Roman"/>
          <w:b/>
          <w:color w:val="000000" w:themeColor="text1"/>
          <w:sz w:val="24"/>
          <w:szCs w:val="24"/>
        </w:rPr>
        <w:t>F</w:t>
      </w:r>
      <w:r w:rsidRPr="003A473F">
        <w:rPr>
          <w:rFonts w:ascii="Times New Roman" w:hAnsi="Times New Roman" w:cs="Times New Roman"/>
          <w:color w:val="000000" w:themeColor="text1"/>
          <w:sz w:val="24"/>
          <w:szCs w:val="24"/>
        </w:rPr>
        <w:t xml:space="preserve"> Cells were incubated with exosomes, miR-205, or Exo-miR-205 for 24 hours, or left untreated (Ctrl).</w:t>
      </w:r>
      <w:r w:rsidR="00FC7612" w:rsidRPr="003A473F">
        <w:rPr>
          <w:rFonts w:ascii="Times New Roman" w:hAnsi="Times New Roman" w:cs="Times New Roman"/>
          <w:color w:val="000000" w:themeColor="text1"/>
          <w:sz w:val="24"/>
          <w:szCs w:val="24"/>
        </w:rPr>
        <w:t>Calcein-AM/propidium iodide (PI) staining of the RGCs, RPE cells, Müller cells. Scale bar</w:t>
      </w:r>
      <w:r w:rsidR="0040187E" w:rsidRPr="003A473F">
        <w:rPr>
          <w:rFonts w:ascii="Times New Roman" w:hAnsi="Times New Roman" w:cs="Times New Roman"/>
          <w:color w:val="000000" w:themeColor="text1"/>
          <w:sz w:val="24"/>
          <w:szCs w:val="24"/>
        </w:rPr>
        <w:t>,</w:t>
      </w:r>
      <w:r w:rsidR="00FC7612" w:rsidRPr="003A473F">
        <w:rPr>
          <w:rFonts w:ascii="Times New Roman" w:hAnsi="Times New Roman" w:cs="Times New Roman"/>
          <w:color w:val="000000" w:themeColor="text1"/>
          <w:sz w:val="24"/>
          <w:szCs w:val="24"/>
        </w:rPr>
        <w:t xml:space="preserve"> 20 μm. </w:t>
      </w:r>
    </w:p>
    <w:p w14:paraId="2C3117E2" w14:textId="0A99C499" w:rsidR="002D1C17" w:rsidRPr="003A473F" w:rsidRDefault="002D1C17" w:rsidP="002D1C17">
      <w:pPr>
        <w:rPr>
          <w:rFonts w:ascii="Times New Roman" w:hAnsi="Times New Roman" w:cs="Times New Roman"/>
          <w:color w:val="000000" w:themeColor="text1"/>
          <w:sz w:val="24"/>
          <w:szCs w:val="24"/>
        </w:rPr>
      </w:pPr>
    </w:p>
    <w:p w14:paraId="4817CFE3" w14:textId="48E37EE7" w:rsidR="002D1C17" w:rsidRPr="003A473F" w:rsidRDefault="002D1C17" w:rsidP="002D1C17">
      <w:pPr>
        <w:rPr>
          <w:rFonts w:ascii="Times New Roman" w:hAnsi="Times New Roman" w:cs="Times New Roman"/>
          <w:color w:val="000000" w:themeColor="text1"/>
          <w:sz w:val="24"/>
          <w:szCs w:val="24"/>
        </w:rPr>
      </w:pPr>
    </w:p>
    <w:bookmarkEnd w:id="0"/>
    <w:p w14:paraId="4DF2D419" w14:textId="30BB58A3" w:rsidR="003A473F" w:rsidRPr="003A473F" w:rsidRDefault="003A473F" w:rsidP="00EB609C">
      <w:pPr>
        <w:widowControl/>
        <w:spacing w:line="480" w:lineRule="auto"/>
        <w:rPr>
          <w:rFonts w:ascii="Times New Roman" w:hAnsi="Times New Roman" w:cs="Times New Roman"/>
          <w:b/>
          <w:bCs/>
          <w:color w:val="000000" w:themeColor="text1"/>
          <w:sz w:val="24"/>
        </w:rPr>
      </w:pPr>
      <w:r w:rsidRPr="003A473F">
        <w:rPr>
          <w:rFonts w:ascii="Times New Roman" w:hAnsi="Times New Roman" w:cs="Times New Roman"/>
          <w:b/>
          <w:bCs/>
          <w:color w:val="000000" w:themeColor="text1"/>
          <w:sz w:val="24"/>
        </w:rPr>
        <w:lastRenderedPageBreak/>
        <w:t>Supplemental materials and methods</w:t>
      </w:r>
    </w:p>
    <w:p w14:paraId="02A70FF4"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 xml:space="preserve">Intravitreal </w:t>
      </w:r>
      <w:r w:rsidRPr="003A473F">
        <w:rPr>
          <w:rFonts w:ascii="Times New Roman" w:hAnsi="Times New Roman" w:cs="Times New Roman" w:hint="eastAsia"/>
          <w:b/>
          <w:bCs/>
          <w:color w:val="000000" w:themeColor="text1"/>
          <w:sz w:val="24"/>
          <w:szCs w:val="24"/>
        </w:rPr>
        <w:t>i</w:t>
      </w:r>
      <w:r w:rsidRPr="003A473F">
        <w:rPr>
          <w:rFonts w:ascii="Times New Roman" w:hAnsi="Times New Roman" w:cs="Times New Roman"/>
          <w:b/>
          <w:bCs/>
          <w:color w:val="000000" w:themeColor="text1"/>
          <w:sz w:val="24"/>
          <w:szCs w:val="24"/>
        </w:rPr>
        <w:t>njection</w:t>
      </w:r>
    </w:p>
    <w:p w14:paraId="5E1BBD1C" w14:textId="77777777" w:rsidR="003A473F" w:rsidRPr="003A473F" w:rsidRDefault="003A473F" w:rsidP="003A473F">
      <w:pPr>
        <w:spacing w:line="480" w:lineRule="auto"/>
        <w:ind w:firstLineChars="200" w:firstLine="480"/>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 xml:space="preserve">The mice were anesthetized by intraperitoneal administration of 1.25% tribromoethanol. Oxybuprocaine was applied (0.4%, Santen, Japan) for surface anesthesia and tropicamide was used to dilate the pupils. Briefly, a small hole was generated with a 30-gauge needle at 1 mm behind the corneoscleral limbus. Subsequently, a 33-gauge needle (Hamilton, USA) was inserted to inject 2 μL of solution into vitreous chamber. The needle was left in place for 10 sec before being retracted to avoid reflux. Antibiotics were used to the conjunctival sac of mice. </w:t>
      </w:r>
    </w:p>
    <w:p w14:paraId="6932C139"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Fluorescence staining</w:t>
      </w:r>
    </w:p>
    <w:p w14:paraId="5B2BA7AF" w14:textId="77777777" w:rsidR="003A473F" w:rsidRPr="003A473F" w:rsidRDefault="003A473F" w:rsidP="003A473F">
      <w:pPr>
        <w:spacing w:line="480" w:lineRule="auto"/>
        <w:ind w:firstLineChars="200" w:firstLine="480"/>
        <w:rPr>
          <w:rFonts w:ascii="Times New Roman" w:hAnsi="Times New Roman" w:cs="Times New Roman"/>
          <w:color w:val="000000" w:themeColor="text1"/>
          <w:sz w:val="24"/>
          <w:szCs w:val="24"/>
        </w:rPr>
      </w:pPr>
      <w:bookmarkStart w:id="1" w:name="_Hlk179855603"/>
      <w:r w:rsidRPr="003A473F">
        <w:rPr>
          <w:rFonts w:ascii="Times New Roman" w:hAnsi="Times New Roman" w:cs="Times New Roman"/>
          <w:color w:val="000000" w:themeColor="text1"/>
          <w:sz w:val="24"/>
          <w:szCs w:val="24"/>
        </w:rPr>
        <w:t xml:space="preserve">The eyeballs were carefully removed and immersed in 4% paraformaldehyde for 1 h at 4°C to ensure proper fixation. The retinas were then carefully dissected out and sectioned into four equal parts. Afterward, they were incubated with the blocking buffer containing 3% BSA and 1% Triton-X 100 for 30 min to reduce non-specific binding. Subsequently, the retinas were incubated overnight at 4°C with </w:t>
      </w:r>
      <w:bookmarkStart w:id="2" w:name="OLE_LINK16"/>
      <w:r w:rsidRPr="003A473F">
        <w:rPr>
          <w:rFonts w:ascii="Times New Roman" w:hAnsi="Times New Roman" w:cs="Times New Roman"/>
          <w:color w:val="000000" w:themeColor="text1"/>
          <w:sz w:val="24"/>
          <w:szCs w:val="24"/>
        </w:rPr>
        <w:t xml:space="preserve">Griffonia simplicifolia isolectin B4 (GS-IB4), a fluorescent marker for vascular endothelial cells, at a dilution of 1:50 </w:t>
      </w:r>
      <w:bookmarkEnd w:id="2"/>
      <w:r w:rsidRPr="003A473F">
        <w:rPr>
          <w:rFonts w:ascii="Times New Roman" w:hAnsi="Times New Roman" w:cs="Times New Roman"/>
          <w:color w:val="000000" w:themeColor="text1"/>
          <w:sz w:val="24"/>
          <w:szCs w:val="24"/>
        </w:rPr>
        <w:t>(10 μg/mL, I21413, Invitrogen, USA). Whole retinal mounts were observed by a fluorescence microscope. Image J software was used to analyze the fluorescent signals and quantify the results.</w:t>
      </w:r>
    </w:p>
    <w:p w14:paraId="34CCC7B5" w14:textId="77777777" w:rsidR="003A473F" w:rsidRPr="003A473F" w:rsidRDefault="003A473F" w:rsidP="003A473F">
      <w:pPr>
        <w:spacing w:line="480" w:lineRule="auto"/>
        <w:rPr>
          <w:rFonts w:ascii="Times New Roman" w:hAnsi="Times New Roman" w:cs="Times New Roman"/>
          <w:b/>
          <w:bCs/>
          <w:color w:val="000000" w:themeColor="text1"/>
          <w:sz w:val="24"/>
          <w:szCs w:val="24"/>
        </w:rPr>
      </w:pPr>
      <w:bookmarkStart w:id="3" w:name="_Hlk179855657"/>
      <w:bookmarkEnd w:id="1"/>
      <w:r w:rsidRPr="003A473F">
        <w:rPr>
          <w:rFonts w:ascii="Times New Roman" w:hAnsi="Times New Roman" w:cs="Times New Roman"/>
          <w:b/>
          <w:bCs/>
          <w:color w:val="000000" w:themeColor="text1"/>
          <w:sz w:val="24"/>
          <w:szCs w:val="24"/>
        </w:rPr>
        <w:t xml:space="preserve">Choroidal sprouting assay </w:t>
      </w:r>
    </w:p>
    <w:p w14:paraId="2F162A25" w14:textId="77777777" w:rsidR="003A473F" w:rsidRPr="003A473F" w:rsidRDefault="003A473F" w:rsidP="003A473F">
      <w:pPr>
        <w:spacing w:line="480" w:lineRule="auto"/>
        <w:ind w:firstLineChars="200" w:firstLine="480"/>
        <w:rPr>
          <w:rFonts w:ascii="Times New Roman" w:hAnsi="Times New Roman" w:cs="Times New Roman"/>
          <w:color w:val="000000" w:themeColor="text1"/>
          <w:sz w:val="24"/>
          <w:szCs w:val="24"/>
        </w:rPr>
      </w:pPr>
      <w:bookmarkStart w:id="4" w:name="_Hlk179931057"/>
      <w:r w:rsidRPr="003A473F">
        <w:rPr>
          <w:rFonts w:ascii="Times New Roman" w:hAnsi="Times New Roman" w:cs="Times New Roman"/>
          <w:color w:val="000000" w:themeColor="text1"/>
          <w:sz w:val="24"/>
          <w:szCs w:val="24"/>
        </w:rPr>
        <w:t xml:space="preserve">The choroid sprouting assay was performed to investigate the role of miR-205 in sprouting angiogenesis of choroidal tissue. Mice were humanely euthanized, and their </w:t>
      </w:r>
      <w:r w:rsidRPr="003A473F">
        <w:rPr>
          <w:rFonts w:ascii="Times New Roman" w:hAnsi="Times New Roman" w:cs="Times New Roman"/>
          <w:color w:val="000000" w:themeColor="text1"/>
          <w:sz w:val="24"/>
          <w:szCs w:val="24"/>
        </w:rPr>
        <w:lastRenderedPageBreak/>
        <w:t>eyes were rapidly enucleated and preserved in ice-cold DMEM. The choroid-sclera complex from each eye were then carefully dissected and cut into small pieces measuring approximately 1 mm by 1 mm. These tissue explants were embedded in a 24-well plate pre-coated with growth factor-reduced Matrigel</w:t>
      </w:r>
      <w:r w:rsidRPr="003A473F">
        <w:rPr>
          <w:color w:val="000000" w:themeColor="text1"/>
        </w:rPr>
        <w:t xml:space="preserve"> </w:t>
      </w:r>
      <w:r w:rsidRPr="003A473F">
        <w:rPr>
          <w:rFonts w:ascii="Times New Roman" w:hAnsi="Times New Roman" w:cs="Times New Roman"/>
          <w:color w:val="000000" w:themeColor="text1"/>
          <w:sz w:val="24"/>
          <w:szCs w:val="24"/>
        </w:rPr>
        <w:t>(50 µL, 354234, Corning, USA). The explants were cultured in 500 μL of DMEM supplemented with 10% FBS and 1% penicillin-streptomycin. On the sixth day of cultivation, images of the explants were taken, and the extent of sprouting from the tissue was quantified using ImageJ software.</w:t>
      </w:r>
    </w:p>
    <w:bookmarkEnd w:id="3"/>
    <w:bookmarkEnd w:id="4"/>
    <w:p w14:paraId="263A5155"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Quantitative real-time polymerase chain reaction (qRT-PCR)</w:t>
      </w:r>
    </w:p>
    <w:p w14:paraId="264EF509" w14:textId="77777777" w:rsidR="003A473F" w:rsidRPr="003A473F" w:rsidRDefault="003A473F" w:rsidP="003A473F">
      <w:pPr>
        <w:spacing w:line="480" w:lineRule="auto"/>
        <w:ind w:firstLine="420"/>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Total RNAs were extracted from cells or tissues using the TRIzol reagent. For miRNA quantification, total RNAs were reversely transcribed into complementary DNAs (cDNAs) by the MicroRNA Reverse Transcription Kit (EZB-miRT4). EZ-probe qPCR Master Mix for miRNA was used for quantification (EZB-miProbe-R2) on the PikoReal Real-Time PCR System (Thermo Fisher Scientific). U6 was used as the internal control. For mRNA quantification, total RNAs were transcribed into cDNAs using the PrimeScript RT Reagent Kit (Takara). Subsequently, cDNAs were amplified on PikoReal 96 Real-Time PCR System (Thermo Fisher Scientific) with a reaction mixture comprising 1 µL of cDNA, 4 µL of PowerUp™ SYBR™ Green Master Mix, 1 µL of forward and reverse primer mixture, and 4 µL of RNase-free ddH</w:t>
      </w:r>
      <w:r w:rsidRPr="003A473F">
        <w:rPr>
          <w:rFonts w:ascii="Times New Roman" w:hAnsi="Times New Roman" w:cs="Times New Roman"/>
          <w:color w:val="000000" w:themeColor="text1"/>
          <w:sz w:val="24"/>
          <w:szCs w:val="24"/>
          <w:vertAlign w:val="subscript"/>
        </w:rPr>
        <w:t>2</w:t>
      </w:r>
      <w:r w:rsidRPr="003A473F">
        <w:rPr>
          <w:rFonts w:ascii="Times New Roman" w:hAnsi="Times New Roman" w:cs="Times New Roman"/>
          <w:color w:val="000000" w:themeColor="text1"/>
          <w:sz w:val="24"/>
          <w:szCs w:val="24"/>
        </w:rPr>
        <w:t>O. Relative RNA expression was determined by the 2</w:t>
      </w:r>
      <w:r w:rsidRPr="003A473F">
        <w:rPr>
          <w:rFonts w:ascii="Times New Roman" w:hAnsi="Times New Roman" w:cs="Times New Roman"/>
          <w:color w:val="000000" w:themeColor="text1"/>
          <w:sz w:val="24"/>
          <w:szCs w:val="24"/>
          <w:vertAlign w:val="superscript"/>
        </w:rPr>
        <w:t>–ΔΔCT</w:t>
      </w:r>
      <w:r w:rsidRPr="003A473F">
        <w:rPr>
          <w:rFonts w:ascii="Times New Roman" w:hAnsi="Times New Roman" w:cs="Times New Roman"/>
          <w:color w:val="000000" w:themeColor="text1"/>
          <w:sz w:val="24"/>
          <w:szCs w:val="24"/>
        </w:rPr>
        <w:t xml:space="preserve"> method. </w:t>
      </w:r>
    </w:p>
    <w:p w14:paraId="3E1B14DD"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Western blot</w:t>
      </w:r>
    </w:p>
    <w:p w14:paraId="2FFC3DC6" w14:textId="77777777" w:rsidR="003A473F" w:rsidRPr="003A473F" w:rsidRDefault="003A473F" w:rsidP="003A473F">
      <w:pPr>
        <w:spacing w:line="480" w:lineRule="auto"/>
        <w:ind w:firstLine="420"/>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 xml:space="preserve">Total proteins wereextracted from HRVECs and tissues using the RIPA lysis buffer. </w:t>
      </w:r>
      <w:r w:rsidRPr="003A473F">
        <w:rPr>
          <w:rFonts w:ascii="Times New Roman" w:hAnsi="Times New Roman" w:cs="Times New Roman"/>
          <w:color w:val="000000" w:themeColor="text1"/>
          <w:sz w:val="24"/>
          <w:szCs w:val="24"/>
        </w:rPr>
        <w:lastRenderedPageBreak/>
        <w:t>The concentrations were measured by a BCA protein assay kit (23227, Bio-Rad, USA). The proteins were transferred onto polyvinylidene fluoride (PVDF) membranes (</w:t>
      </w:r>
      <w:bookmarkStart w:id="5" w:name="_Hlk116261497"/>
      <w:r w:rsidRPr="003A473F">
        <w:rPr>
          <w:rFonts w:ascii="Times New Roman" w:hAnsi="Times New Roman" w:cs="Times New Roman"/>
          <w:color w:val="000000" w:themeColor="text1"/>
          <w:sz w:val="24"/>
          <w:szCs w:val="24"/>
        </w:rPr>
        <w:t>IPVH00010</w:t>
      </w:r>
      <w:bookmarkEnd w:id="5"/>
      <w:r w:rsidRPr="003A473F">
        <w:rPr>
          <w:rFonts w:ascii="Times New Roman" w:hAnsi="Times New Roman" w:cs="Times New Roman"/>
          <w:color w:val="000000" w:themeColor="text1"/>
          <w:sz w:val="24"/>
          <w:szCs w:val="24"/>
        </w:rPr>
        <w:t>, Millipore, USA) and blocked in 5% non-fat milk for 2 h. Then, the primary antibody was incubated overnight at 4℃. Subsequently, the membranes were incubated with the secondary antibody for 2 h at room temperature. Chemiluminescent signals were detected using the Western ECL Substrate (P0018S, Beyotime,</w:t>
      </w:r>
      <w:r w:rsidRPr="003A473F">
        <w:rPr>
          <w:rFonts w:ascii="Times New Roman" w:hAnsi="Times New Roman" w:cs="Times New Roman"/>
          <w:color w:val="000000" w:themeColor="text1"/>
        </w:rPr>
        <w:t xml:space="preserve"> </w:t>
      </w:r>
      <w:r w:rsidRPr="003A473F">
        <w:rPr>
          <w:rFonts w:ascii="Times New Roman" w:hAnsi="Times New Roman" w:cs="Times New Roman"/>
          <w:color w:val="000000" w:themeColor="text1"/>
          <w:sz w:val="24"/>
          <w:szCs w:val="24"/>
        </w:rPr>
        <w:t xml:space="preserve">China). The images were captured with a ChemiDoc Imaging System (Bio-Rad, Hercules, CA, USA). </w:t>
      </w:r>
      <w:bookmarkStart w:id="6" w:name="OLE_LINK9"/>
      <w:r w:rsidRPr="003A473F">
        <w:rPr>
          <w:rFonts w:ascii="Times New Roman" w:hAnsi="Times New Roman" w:cs="Times New Roman"/>
          <w:color w:val="000000" w:themeColor="text1"/>
          <w:sz w:val="24"/>
          <w:szCs w:val="24"/>
        </w:rPr>
        <w:t xml:space="preserve">The following primary antibodies were used: VEGFA (catalog number 19003-1-AP, Proteintech, USA, diluted 1:1000), </w:t>
      </w:r>
      <w:r w:rsidRPr="003A473F">
        <w:rPr>
          <w:rFonts w:ascii="Times New Roman" w:hAnsi="Times New Roman" w:cs="Times New Roman" w:hint="eastAsia"/>
          <w:color w:val="000000" w:themeColor="text1"/>
          <w:sz w:val="24"/>
          <w:szCs w:val="24"/>
        </w:rPr>
        <w:t>ANGPT2</w:t>
      </w:r>
      <w:r w:rsidRPr="003A473F">
        <w:rPr>
          <w:rFonts w:ascii="Times New Roman" w:hAnsi="Times New Roman" w:cs="Times New Roman"/>
          <w:color w:val="000000" w:themeColor="text1"/>
          <w:sz w:val="24"/>
          <w:szCs w:val="24"/>
        </w:rPr>
        <w:t xml:space="preserve"> (catalog number ab125692, abcam, USA, diluted 1:1000), ICAM-1 (catalog number 10831-1-AP, Proteintech, USA, diluted 1:1000), HSP70 (catalog number ab181606, abcam, USA, diluted 1:1000), TSG101 (catalog number ab125011, abcam, USA, diluted 1:1000), and CD63 (catalog number sc-365604, Santa Cruz Biotechnology, USA, diluted 1:1000). The secondary antibodies were purchased from Beytime (catalog numbers A0208 &amp; A0216, China, diluted 1:1000).</w:t>
      </w:r>
    </w:p>
    <w:p w14:paraId="7ADAA673"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Luciferase reporter assay</w:t>
      </w:r>
    </w:p>
    <w:p w14:paraId="31307B98" w14:textId="77777777" w:rsidR="003A473F" w:rsidRPr="003A473F" w:rsidRDefault="003A473F" w:rsidP="003A473F">
      <w:pPr>
        <w:widowControl/>
        <w:spacing w:line="480" w:lineRule="auto"/>
        <w:ind w:firstLine="420"/>
        <w:rPr>
          <w:rFonts w:ascii="Times New Roman" w:hAnsi="Times New Roman" w:cs="Times New Roman"/>
          <w:color w:val="000000" w:themeColor="text1"/>
          <w:sz w:val="24"/>
        </w:rPr>
      </w:pPr>
      <w:bookmarkStart w:id="7" w:name="_Hlk179855895"/>
      <w:bookmarkEnd w:id="6"/>
      <w:r w:rsidRPr="003A473F">
        <w:rPr>
          <w:rFonts w:ascii="Times New Roman" w:hAnsi="Times New Roman" w:cs="Times New Roman"/>
          <w:color w:val="000000" w:themeColor="text1"/>
          <w:sz w:val="24"/>
        </w:rPr>
        <w:t xml:space="preserve">Luciferase reporter assay was employed to verify the direct interaction between miRNA and the 3' untranslated region (UTR) of its target gene. Both the mutant (MUT) and wild-type (WT) plasmids for VEGFA and ANGPT2 were procured from GenePharma. These plasmids were co-transfected with miR-205-mimic or </w:t>
      </w:r>
      <w:r w:rsidRPr="003A473F">
        <w:rPr>
          <w:rFonts w:ascii="Times New Roman" w:hAnsi="Times New Roman" w:cs="Times New Roman"/>
          <w:color w:val="000000" w:themeColor="text1"/>
          <w:sz w:val="24"/>
          <w:szCs w:val="24"/>
        </w:rPr>
        <w:t>NC mimic</w:t>
      </w:r>
      <w:r w:rsidRPr="003A473F">
        <w:rPr>
          <w:rFonts w:ascii="Times New Roman" w:hAnsi="Times New Roman" w:cs="Times New Roman"/>
          <w:color w:val="000000" w:themeColor="text1"/>
          <w:sz w:val="24"/>
        </w:rPr>
        <w:t xml:space="preserve"> into HRVECs using Lipofectamine 3000 (L3000001, Invitrogen, USA). The final concentration of plasmids as 2 μg/mL and the final concentration of mimics was 50 nM. </w:t>
      </w:r>
      <w:r w:rsidRPr="003A473F">
        <w:rPr>
          <w:rFonts w:ascii="Times New Roman" w:hAnsi="Times New Roman" w:cs="Times New Roman"/>
          <w:color w:val="000000" w:themeColor="text1"/>
          <w:sz w:val="24"/>
        </w:rPr>
        <w:lastRenderedPageBreak/>
        <w:t>After 48 h incubation, the luciferase activities were assessed using a kit from Yeasen Biotech (11402ES60, Shanghai, China).</w:t>
      </w:r>
    </w:p>
    <w:bookmarkEnd w:id="7"/>
    <w:p w14:paraId="6D1B1A53"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Annexin V/PI apoptosis assay</w:t>
      </w:r>
    </w:p>
    <w:p w14:paraId="43CDC2CF" w14:textId="77777777" w:rsidR="003A473F" w:rsidRPr="003A473F" w:rsidRDefault="003A473F" w:rsidP="003A473F">
      <w:pPr>
        <w:spacing w:line="480" w:lineRule="auto"/>
        <w:ind w:firstLine="420"/>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The apoptosis of HRVECs was assessed by FITC Annexin V Apoptosis Detection Kit I (A211-01, Vazyme, China). Cells were digested with Trypsin Solution without EDTA and washed twice with PBS. After being re-suspended in 500 μL binding buffer, the cells were incubated with 5 μL of FITC Annexin V and 5 μL of PI for 15 min in the dark at room temperature. The fluorescence was quantitated by the flow cytometer (</w:t>
      </w:r>
      <w:bookmarkStart w:id="8" w:name="OLE_LINK5"/>
      <w:r w:rsidRPr="003A473F">
        <w:rPr>
          <w:rFonts w:ascii="Times New Roman" w:hAnsi="Times New Roman" w:cs="Times New Roman"/>
          <w:color w:val="000000" w:themeColor="text1"/>
          <w:sz w:val="24"/>
          <w:szCs w:val="24"/>
        </w:rPr>
        <w:t>Beckman Coulter, CytoFLEX, USA</w:t>
      </w:r>
      <w:bookmarkEnd w:id="8"/>
      <w:r w:rsidRPr="003A473F">
        <w:rPr>
          <w:rFonts w:ascii="Times New Roman" w:hAnsi="Times New Roman" w:cs="Times New Roman"/>
          <w:color w:val="000000" w:themeColor="text1"/>
          <w:sz w:val="24"/>
          <w:szCs w:val="24"/>
        </w:rPr>
        <w:t>).</w:t>
      </w:r>
    </w:p>
    <w:p w14:paraId="47B76554" w14:textId="77777777" w:rsidR="003A473F" w:rsidRPr="003A473F" w:rsidRDefault="003A473F" w:rsidP="003A473F">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Calcein-AM/PI staining</w:t>
      </w:r>
    </w:p>
    <w:p w14:paraId="61B71118" w14:textId="77777777" w:rsidR="003A473F" w:rsidRPr="003A473F" w:rsidRDefault="003A473F" w:rsidP="003A473F">
      <w:pPr>
        <w:spacing w:line="480" w:lineRule="auto"/>
        <w:ind w:firstLineChars="200" w:firstLine="480"/>
        <w:rPr>
          <w:rFonts w:ascii="Times New Roman" w:hAnsi="Times New Roman" w:cs="Times New Roman"/>
          <w:color w:val="000000" w:themeColor="text1"/>
          <w:sz w:val="24"/>
          <w:szCs w:val="24"/>
        </w:rPr>
      </w:pPr>
      <w:r w:rsidRPr="003A473F">
        <w:rPr>
          <w:rFonts w:ascii="Times New Roman" w:hAnsi="Times New Roman" w:cs="Times New Roman"/>
          <w:color w:val="000000" w:themeColor="text1"/>
          <w:sz w:val="24"/>
          <w:szCs w:val="24"/>
        </w:rPr>
        <w:t xml:space="preserve">To assess the </w:t>
      </w:r>
      <w:bookmarkStart w:id="9" w:name="OLE_LINK7"/>
      <w:r w:rsidRPr="003A473F">
        <w:rPr>
          <w:rFonts w:ascii="Times New Roman" w:hAnsi="Times New Roman" w:cs="Times New Roman"/>
          <w:color w:val="000000" w:themeColor="text1"/>
          <w:sz w:val="24"/>
          <w:szCs w:val="24"/>
        </w:rPr>
        <w:t>toxicity of Exo-miR-205</w:t>
      </w:r>
      <w:bookmarkEnd w:id="9"/>
      <w:r w:rsidRPr="003A473F">
        <w:rPr>
          <w:rFonts w:ascii="Times New Roman" w:hAnsi="Times New Roman" w:cs="Times New Roman"/>
          <w:color w:val="000000" w:themeColor="text1"/>
          <w:sz w:val="24"/>
          <w:szCs w:val="24"/>
        </w:rPr>
        <w:t>, Calcein-AM/PI staining assay was performed</w:t>
      </w:r>
      <w:r w:rsidRPr="003A473F">
        <w:rPr>
          <w:rFonts w:ascii="Times New Roman" w:hAnsi="Times New Roman" w:cs="Times New Roman" w:hint="eastAsia"/>
          <w:color w:val="000000" w:themeColor="text1"/>
          <w:sz w:val="24"/>
          <w:szCs w:val="24"/>
        </w:rPr>
        <w:t xml:space="preserve"> to detect cell</w:t>
      </w:r>
      <w:r w:rsidRPr="003A473F">
        <w:rPr>
          <w:rFonts w:ascii="Times New Roman" w:hAnsi="Times New Roman" w:cs="Times New Roman"/>
          <w:color w:val="000000" w:themeColor="text1"/>
          <w:sz w:val="24"/>
          <w:szCs w:val="24"/>
        </w:rPr>
        <w:t xml:space="preserve"> survival condition. Cells were seeded into a 6-well plate and cultured with Exo-miR-205. After 24 h of co-culture, the medium was aspirated and the cells were rinsed three times with PBS buffer. Then, the cells were incubated with the mixture of Calcein-AM and PI at room temperature in the dark for 10 min. Fluorescence microscopy was used to capture the resulting images. </w:t>
      </w:r>
    </w:p>
    <w:p w14:paraId="0BE25DF8" w14:textId="4BC48A1A" w:rsidR="00EB609C" w:rsidRPr="003A473F" w:rsidRDefault="00EB609C" w:rsidP="00EB609C">
      <w:pPr>
        <w:widowControl/>
        <w:spacing w:line="480" w:lineRule="auto"/>
        <w:rPr>
          <w:rFonts w:ascii="Times New Roman" w:hAnsi="Times New Roman" w:cs="Times New Roman"/>
          <w:b/>
          <w:bCs/>
          <w:color w:val="000000" w:themeColor="text1"/>
          <w:sz w:val="24"/>
        </w:rPr>
      </w:pPr>
      <w:r w:rsidRPr="003A473F">
        <w:rPr>
          <w:rFonts w:ascii="Times New Roman" w:hAnsi="Times New Roman" w:cs="Times New Roman"/>
          <w:b/>
          <w:bCs/>
          <w:color w:val="000000" w:themeColor="text1"/>
          <w:sz w:val="24"/>
        </w:rPr>
        <w:t xml:space="preserve">Quantification of Evans </w:t>
      </w:r>
      <w:r w:rsidR="003A473F" w:rsidRPr="003A473F">
        <w:rPr>
          <w:rFonts w:ascii="Times New Roman" w:hAnsi="Times New Roman" w:cs="Times New Roman"/>
          <w:b/>
          <w:bCs/>
          <w:color w:val="000000" w:themeColor="text1"/>
          <w:sz w:val="24"/>
        </w:rPr>
        <w:t>b</w:t>
      </w:r>
      <w:r w:rsidRPr="003A473F">
        <w:rPr>
          <w:rFonts w:ascii="Times New Roman" w:hAnsi="Times New Roman" w:cs="Times New Roman"/>
          <w:b/>
          <w:bCs/>
          <w:color w:val="000000" w:themeColor="text1"/>
          <w:sz w:val="24"/>
        </w:rPr>
        <w:t xml:space="preserve">lue </w:t>
      </w:r>
      <w:r w:rsidR="003A473F" w:rsidRPr="003A473F">
        <w:rPr>
          <w:rFonts w:ascii="Times New Roman" w:hAnsi="Times New Roman" w:cs="Times New Roman"/>
          <w:b/>
          <w:bCs/>
          <w:color w:val="000000" w:themeColor="text1"/>
          <w:sz w:val="24"/>
        </w:rPr>
        <w:t>l</w:t>
      </w:r>
      <w:r w:rsidRPr="003A473F">
        <w:rPr>
          <w:rFonts w:ascii="Times New Roman" w:hAnsi="Times New Roman" w:cs="Times New Roman"/>
          <w:b/>
          <w:bCs/>
          <w:color w:val="000000" w:themeColor="text1"/>
          <w:sz w:val="24"/>
        </w:rPr>
        <w:t xml:space="preserve">eakage </w:t>
      </w:r>
      <w:r w:rsidR="003A473F" w:rsidRPr="003A473F">
        <w:rPr>
          <w:rFonts w:ascii="Times New Roman" w:hAnsi="Times New Roman" w:cs="Times New Roman"/>
          <w:b/>
          <w:bCs/>
          <w:color w:val="000000" w:themeColor="text1"/>
          <w:sz w:val="24"/>
        </w:rPr>
        <w:t>u</w:t>
      </w:r>
      <w:r w:rsidRPr="003A473F">
        <w:rPr>
          <w:rFonts w:ascii="Times New Roman" w:hAnsi="Times New Roman" w:cs="Times New Roman"/>
          <w:b/>
          <w:bCs/>
          <w:color w:val="000000" w:themeColor="text1"/>
          <w:sz w:val="24"/>
        </w:rPr>
        <w:t>sing ImageJ</w:t>
      </w:r>
    </w:p>
    <w:p w14:paraId="34F30AC6" w14:textId="77777777" w:rsidR="003A473F" w:rsidRPr="003A473F" w:rsidRDefault="003A473F" w:rsidP="003A473F">
      <w:pPr>
        <w:widowControl/>
        <w:spacing w:line="480" w:lineRule="auto"/>
        <w:ind w:firstLineChars="200" w:firstLine="480"/>
        <w:rPr>
          <w:rFonts w:ascii="Times New Roman" w:hAnsi="Times New Roman" w:cs="Times New Roman"/>
          <w:color w:val="000000" w:themeColor="text1"/>
          <w:sz w:val="24"/>
        </w:rPr>
      </w:pPr>
      <w:r w:rsidRPr="003A473F">
        <w:rPr>
          <w:rFonts w:ascii="Times New Roman" w:hAnsi="Times New Roman" w:cs="Times New Roman"/>
          <w:color w:val="000000" w:themeColor="text1"/>
          <w:sz w:val="24"/>
        </w:rPr>
        <w:t>To quantify the fluorescence intensity of Evans Blue (EB) leakage using ImageJ, follow these steps:</w:t>
      </w:r>
      <w:r w:rsidRPr="003A473F">
        <w:rPr>
          <w:rFonts w:ascii="Times New Roman" w:hAnsi="Times New Roman" w:cs="Times New Roman"/>
          <w:color w:val="000000" w:themeColor="text1"/>
          <w:sz w:val="24"/>
        </w:rPr>
        <w:t xml:space="preserve"> </w:t>
      </w:r>
    </w:p>
    <w:p w14:paraId="0125D5F0" w14:textId="0BBBA062" w:rsidR="003A473F" w:rsidRPr="003A473F" w:rsidRDefault="003A473F" w:rsidP="003A473F">
      <w:pPr>
        <w:pStyle w:val="aa"/>
        <w:widowControl/>
        <w:numPr>
          <w:ilvl w:val="0"/>
          <w:numId w:val="1"/>
        </w:numPr>
        <w:spacing w:line="480" w:lineRule="auto"/>
        <w:ind w:firstLineChars="0"/>
        <w:rPr>
          <w:rFonts w:ascii="Times New Roman" w:hAnsi="Times New Roman" w:cs="Times New Roman"/>
          <w:color w:val="000000" w:themeColor="text1"/>
          <w:sz w:val="24"/>
        </w:rPr>
      </w:pPr>
      <w:r w:rsidRPr="003A473F">
        <w:rPr>
          <w:rFonts w:ascii="Times New Roman" w:hAnsi="Times New Roman" w:cs="Times New Roman"/>
          <w:b/>
          <w:color w:val="000000" w:themeColor="text1"/>
          <w:sz w:val="24"/>
        </w:rPr>
        <w:t xml:space="preserve">Image </w:t>
      </w:r>
      <w:r w:rsidRPr="003A473F">
        <w:rPr>
          <w:rFonts w:ascii="Times New Roman" w:hAnsi="Times New Roman" w:cs="Times New Roman"/>
          <w:b/>
          <w:color w:val="000000" w:themeColor="text1"/>
          <w:sz w:val="24"/>
        </w:rPr>
        <w:t>o</w:t>
      </w:r>
      <w:r w:rsidRPr="003A473F">
        <w:rPr>
          <w:rFonts w:ascii="Times New Roman" w:hAnsi="Times New Roman" w:cs="Times New Roman"/>
          <w:b/>
          <w:color w:val="000000" w:themeColor="text1"/>
          <w:sz w:val="24"/>
        </w:rPr>
        <w:t>pening</w:t>
      </w:r>
      <w:r w:rsidRPr="003A473F">
        <w:rPr>
          <w:rFonts w:ascii="Times New Roman" w:hAnsi="Times New Roman" w:cs="Times New Roman"/>
          <w:color w:val="000000" w:themeColor="text1"/>
          <w:sz w:val="24"/>
        </w:rPr>
        <w:t>: Load the fluorescence image into ImageJ by selecting “File &gt; Open” from the main menu.</w:t>
      </w:r>
    </w:p>
    <w:p w14:paraId="75F0FFD3" w14:textId="012FF8AC" w:rsidR="003A473F" w:rsidRPr="003A473F" w:rsidRDefault="003A473F" w:rsidP="003A473F">
      <w:pPr>
        <w:pStyle w:val="aa"/>
        <w:widowControl/>
        <w:numPr>
          <w:ilvl w:val="0"/>
          <w:numId w:val="1"/>
        </w:numPr>
        <w:spacing w:line="480" w:lineRule="auto"/>
        <w:ind w:firstLineChars="0"/>
        <w:rPr>
          <w:rFonts w:ascii="Times New Roman" w:hAnsi="Times New Roman" w:cs="Times New Roman"/>
          <w:color w:val="000000" w:themeColor="text1"/>
          <w:sz w:val="24"/>
        </w:rPr>
      </w:pPr>
      <w:r w:rsidRPr="003A473F">
        <w:rPr>
          <w:rFonts w:ascii="Times New Roman" w:hAnsi="Times New Roman" w:cs="Times New Roman"/>
          <w:b/>
          <w:color w:val="000000" w:themeColor="text1"/>
          <w:sz w:val="24"/>
        </w:rPr>
        <w:lastRenderedPageBreak/>
        <w:t xml:space="preserve">Grayscale </w:t>
      </w:r>
      <w:r w:rsidRPr="003A473F">
        <w:rPr>
          <w:rFonts w:ascii="Times New Roman" w:hAnsi="Times New Roman" w:cs="Times New Roman"/>
          <w:b/>
          <w:color w:val="000000" w:themeColor="text1"/>
          <w:sz w:val="24"/>
        </w:rPr>
        <w:t>c</w:t>
      </w:r>
      <w:r w:rsidRPr="003A473F">
        <w:rPr>
          <w:rFonts w:ascii="Times New Roman" w:hAnsi="Times New Roman" w:cs="Times New Roman"/>
          <w:b/>
          <w:color w:val="000000" w:themeColor="text1"/>
          <w:sz w:val="24"/>
        </w:rPr>
        <w:t>onversion</w:t>
      </w:r>
      <w:r w:rsidRPr="003A473F">
        <w:rPr>
          <w:rFonts w:ascii="Times New Roman" w:hAnsi="Times New Roman" w:cs="Times New Roman"/>
          <w:color w:val="000000" w:themeColor="text1"/>
          <w:sz w:val="24"/>
        </w:rPr>
        <w:t>: If the image is in color, convert it to grayscale by navigating to “Image &gt; Type &gt; 8-bit” to enhance intensity analysis.</w:t>
      </w:r>
    </w:p>
    <w:p w14:paraId="5E5432CF" w14:textId="043376C2" w:rsidR="003A473F" w:rsidRPr="003A473F" w:rsidRDefault="003A473F" w:rsidP="003A473F">
      <w:pPr>
        <w:pStyle w:val="aa"/>
        <w:widowControl/>
        <w:numPr>
          <w:ilvl w:val="0"/>
          <w:numId w:val="1"/>
        </w:numPr>
        <w:spacing w:line="480" w:lineRule="auto"/>
        <w:ind w:firstLineChars="0"/>
        <w:rPr>
          <w:rFonts w:ascii="Times New Roman" w:hAnsi="Times New Roman" w:cs="Times New Roman"/>
          <w:color w:val="000000" w:themeColor="text1"/>
          <w:sz w:val="24"/>
        </w:rPr>
      </w:pPr>
      <w:r w:rsidRPr="003A473F">
        <w:rPr>
          <w:rFonts w:ascii="Times New Roman" w:hAnsi="Times New Roman" w:cs="Times New Roman"/>
          <w:b/>
          <w:color w:val="000000" w:themeColor="text1"/>
          <w:sz w:val="24"/>
        </w:rPr>
        <w:t xml:space="preserve">Region of Interest (ROI) </w:t>
      </w:r>
      <w:r w:rsidRPr="003A473F">
        <w:rPr>
          <w:rFonts w:ascii="Times New Roman" w:hAnsi="Times New Roman" w:cs="Times New Roman"/>
          <w:b/>
          <w:color w:val="000000" w:themeColor="text1"/>
          <w:sz w:val="24"/>
        </w:rPr>
        <w:t>d</w:t>
      </w:r>
      <w:r w:rsidRPr="003A473F">
        <w:rPr>
          <w:rFonts w:ascii="Times New Roman" w:hAnsi="Times New Roman" w:cs="Times New Roman"/>
          <w:b/>
          <w:color w:val="000000" w:themeColor="text1"/>
          <w:sz w:val="24"/>
        </w:rPr>
        <w:t>efinition</w:t>
      </w:r>
      <w:r w:rsidRPr="003A473F">
        <w:rPr>
          <w:rFonts w:ascii="Times New Roman" w:hAnsi="Times New Roman" w:cs="Times New Roman"/>
          <w:color w:val="000000" w:themeColor="text1"/>
          <w:sz w:val="24"/>
        </w:rPr>
        <w:t>: Use the “Rectangular Tool” or “Freehand Tool” to outline the area where EB leakage is observed, defining the ROI.</w:t>
      </w:r>
    </w:p>
    <w:p w14:paraId="0379BDAE" w14:textId="508A613E" w:rsidR="003A473F" w:rsidRPr="003A473F" w:rsidRDefault="003A473F" w:rsidP="003A473F">
      <w:pPr>
        <w:pStyle w:val="aa"/>
        <w:widowControl/>
        <w:numPr>
          <w:ilvl w:val="0"/>
          <w:numId w:val="1"/>
        </w:numPr>
        <w:spacing w:line="480" w:lineRule="auto"/>
        <w:ind w:firstLineChars="0"/>
        <w:rPr>
          <w:rFonts w:ascii="Times New Roman" w:hAnsi="Times New Roman" w:cs="Times New Roman"/>
          <w:color w:val="000000" w:themeColor="text1"/>
          <w:sz w:val="24"/>
        </w:rPr>
      </w:pPr>
      <w:r w:rsidRPr="003A473F">
        <w:rPr>
          <w:rFonts w:ascii="Times New Roman" w:hAnsi="Times New Roman" w:cs="Times New Roman"/>
          <w:b/>
          <w:color w:val="000000" w:themeColor="text1"/>
          <w:sz w:val="24"/>
        </w:rPr>
        <w:t xml:space="preserve">Background </w:t>
      </w:r>
      <w:r w:rsidRPr="003A473F">
        <w:rPr>
          <w:rFonts w:ascii="Times New Roman" w:hAnsi="Times New Roman" w:cs="Times New Roman"/>
          <w:b/>
          <w:color w:val="000000" w:themeColor="text1"/>
          <w:sz w:val="24"/>
        </w:rPr>
        <w:t>c</w:t>
      </w:r>
      <w:r w:rsidRPr="003A473F">
        <w:rPr>
          <w:rFonts w:ascii="Times New Roman" w:hAnsi="Times New Roman" w:cs="Times New Roman"/>
          <w:b/>
          <w:color w:val="000000" w:themeColor="text1"/>
          <w:sz w:val="24"/>
        </w:rPr>
        <w:t>orrection</w:t>
      </w:r>
      <w:r w:rsidRPr="003A473F">
        <w:rPr>
          <w:rFonts w:ascii="Times New Roman" w:hAnsi="Times New Roman" w:cs="Times New Roman"/>
          <w:color w:val="000000" w:themeColor="text1"/>
          <w:sz w:val="24"/>
        </w:rPr>
        <w:t>: Select a background area without EB leakage for accuracy. Measure its fluorescence intensity by clicking “Analyze &gt; Measure,” and subtract this value from the ROI measurements to correct for background noise.</w:t>
      </w:r>
    </w:p>
    <w:p w14:paraId="58635D3D" w14:textId="46ED53CF" w:rsidR="003A473F" w:rsidRPr="003A473F" w:rsidRDefault="003A473F" w:rsidP="003A473F">
      <w:pPr>
        <w:pStyle w:val="aa"/>
        <w:widowControl/>
        <w:numPr>
          <w:ilvl w:val="0"/>
          <w:numId w:val="1"/>
        </w:numPr>
        <w:spacing w:line="480" w:lineRule="auto"/>
        <w:ind w:firstLineChars="0"/>
        <w:rPr>
          <w:rFonts w:ascii="Times New Roman" w:hAnsi="Times New Roman" w:cs="Times New Roman"/>
          <w:color w:val="000000" w:themeColor="text1"/>
          <w:sz w:val="24"/>
        </w:rPr>
      </w:pPr>
      <w:r w:rsidRPr="003A473F">
        <w:rPr>
          <w:rFonts w:ascii="Times New Roman" w:hAnsi="Times New Roman" w:cs="Times New Roman"/>
          <w:b/>
          <w:color w:val="000000" w:themeColor="text1"/>
          <w:sz w:val="24"/>
        </w:rPr>
        <w:t xml:space="preserve">Fluorescence </w:t>
      </w:r>
      <w:r w:rsidRPr="003A473F">
        <w:rPr>
          <w:rFonts w:ascii="Times New Roman" w:hAnsi="Times New Roman" w:cs="Times New Roman"/>
          <w:b/>
          <w:color w:val="000000" w:themeColor="text1"/>
          <w:sz w:val="24"/>
        </w:rPr>
        <w:t>i</w:t>
      </w:r>
      <w:r w:rsidRPr="003A473F">
        <w:rPr>
          <w:rFonts w:ascii="Times New Roman" w:hAnsi="Times New Roman" w:cs="Times New Roman"/>
          <w:b/>
          <w:color w:val="000000" w:themeColor="text1"/>
          <w:sz w:val="24"/>
        </w:rPr>
        <w:t xml:space="preserve">ntensity </w:t>
      </w:r>
      <w:r w:rsidRPr="003A473F">
        <w:rPr>
          <w:rFonts w:ascii="Times New Roman" w:hAnsi="Times New Roman" w:cs="Times New Roman"/>
          <w:b/>
          <w:color w:val="000000" w:themeColor="text1"/>
          <w:sz w:val="24"/>
        </w:rPr>
        <w:t>m</w:t>
      </w:r>
      <w:r w:rsidRPr="003A473F">
        <w:rPr>
          <w:rFonts w:ascii="Times New Roman" w:hAnsi="Times New Roman" w:cs="Times New Roman"/>
          <w:b/>
          <w:color w:val="000000" w:themeColor="text1"/>
          <w:sz w:val="24"/>
        </w:rPr>
        <w:t>easurement</w:t>
      </w:r>
      <w:r w:rsidRPr="003A473F">
        <w:rPr>
          <w:rFonts w:ascii="Times New Roman" w:hAnsi="Times New Roman" w:cs="Times New Roman"/>
          <w:color w:val="000000" w:themeColor="text1"/>
          <w:sz w:val="24"/>
        </w:rPr>
        <w:t>: With the ROI selected, measure the fluorescence intensity by selecting “Analyze &gt; Measure” or using the Ctrl + M shortcut. ImageJ will display values such as mean and total fluorescence intensity for the ROI.</w:t>
      </w:r>
    </w:p>
    <w:p w14:paraId="73565774" w14:textId="0691F052" w:rsidR="00EB609C" w:rsidRPr="003A473F" w:rsidRDefault="003A473F" w:rsidP="003A473F">
      <w:pPr>
        <w:pStyle w:val="aa"/>
        <w:widowControl/>
        <w:numPr>
          <w:ilvl w:val="0"/>
          <w:numId w:val="1"/>
        </w:numPr>
        <w:spacing w:line="480" w:lineRule="auto"/>
        <w:ind w:firstLineChars="0"/>
        <w:rPr>
          <w:rFonts w:ascii="Times New Roman" w:hAnsi="Times New Roman" w:cs="Times New Roman"/>
          <w:color w:val="000000" w:themeColor="text1"/>
          <w:sz w:val="24"/>
        </w:rPr>
      </w:pPr>
      <w:r w:rsidRPr="003A473F">
        <w:rPr>
          <w:rFonts w:ascii="Times New Roman" w:hAnsi="Times New Roman" w:cs="Times New Roman"/>
          <w:b/>
          <w:color w:val="000000" w:themeColor="text1"/>
          <w:sz w:val="24"/>
        </w:rPr>
        <w:t xml:space="preserve">Data </w:t>
      </w:r>
      <w:r w:rsidRPr="003A473F">
        <w:rPr>
          <w:rFonts w:ascii="Times New Roman" w:hAnsi="Times New Roman" w:cs="Times New Roman"/>
          <w:b/>
          <w:color w:val="000000" w:themeColor="text1"/>
          <w:sz w:val="24"/>
        </w:rPr>
        <w:t>a</w:t>
      </w:r>
      <w:r w:rsidRPr="003A473F">
        <w:rPr>
          <w:rFonts w:ascii="Times New Roman" w:hAnsi="Times New Roman" w:cs="Times New Roman"/>
          <w:b/>
          <w:color w:val="000000" w:themeColor="text1"/>
          <w:sz w:val="24"/>
        </w:rPr>
        <w:t xml:space="preserve">nalysis and </w:t>
      </w:r>
      <w:r w:rsidRPr="003A473F">
        <w:rPr>
          <w:rFonts w:ascii="Times New Roman" w:hAnsi="Times New Roman" w:cs="Times New Roman"/>
          <w:b/>
          <w:color w:val="000000" w:themeColor="text1"/>
          <w:sz w:val="24"/>
        </w:rPr>
        <w:t>e</w:t>
      </w:r>
      <w:r w:rsidRPr="003A473F">
        <w:rPr>
          <w:rFonts w:ascii="Times New Roman" w:hAnsi="Times New Roman" w:cs="Times New Roman"/>
          <w:b/>
          <w:color w:val="000000" w:themeColor="text1"/>
          <w:sz w:val="24"/>
        </w:rPr>
        <w:t xml:space="preserve">xport: </w:t>
      </w:r>
      <w:r w:rsidRPr="003A473F">
        <w:rPr>
          <w:rFonts w:ascii="Times New Roman" w:hAnsi="Times New Roman" w:cs="Times New Roman"/>
          <w:color w:val="000000" w:themeColor="text1"/>
          <w:sz w:val="24"/>
        </w:rPr>
        <w:t>The measured results will appear in the “Results” window. Export the data as a file by selecting “File &gt; Save As” for further analysis.</w:t>
      </w:r>
    </w:p>
    <w:p w14:paraId="2855D653" w14:textId="0A332B9E" w:rsidR="00EB609C" w:rsidRDefault="00EB609C" w:rsidP="00EB609C">
      <w:pPr>
        <w:widowControl/>
        <w:spacing w:line="480" w:lineRule="auto"/>
        <w:rPr>
          <w:rFonts w:ascii="Times New Roman" w:hAnsi="Times New Roman" w:cs="Times New Roman"/>
          <w:color w:val="000000" w:themeColor="text1"/>
          <w:sz w:val="24"/>
        </w:rPr>
      </w:pPr>
    </w:p>
    <w:p w14:paraId="681CFD1A" w14:textId="3B26AAD5" w:rsidR="003A473F" w:rsidRDefault="003A473F" w:rsidP="00EB609C">
      <w:pPr>
        <w:widowControl/>
        <w:spacing w:line="480" w:lineRule="auto"/>
        <w:rPr>
          <w:rFonts w:ascii="Times New Roman" w:hAnsi="Times New Roman" w:cs="Times New Roman"/>
          <w:color w:val="000000" w:themeColor="text1"/>
          <w:sz w:val="24"/>
        </w:rPr>
      </w:pPr>
    </w:p>
    <w:p w14:paraId="557485CB" w14:textId="723DA378" w:rsidR="003A473F" w:rsidRDefault="003A473F" w:rsidP="00EB609C">
      <w:pPr>
        <w:widowControl/>
        <w:spacing w:line="480" w:lineRule="auto"/>
        <w:rPr>
          <w:rFonts w:ascii="Times New Roman" w:hAnsi="Times New Roman" w:cs="Times New Roman"/>
          <w:color w:val="000000" w:themeColor="text1"/>
          <w:sz w:val="24"/>
        </w:rPr>
      </w:pPr>
    </w:p>
    <w:p w14:paraId="41B533EC" w14:textId="5F95ABFD" w:rsidR="003A473F" w:rsidRDefault="003A473F" w:rsidP="00EB609C">
      <w:pPr>
        <w:widowControl/>
        <w:spacing w:line="480" w:lineRule="auto"/>
        <w:rPr>
          <w:rFonts w:ascii="Times New Roman" w:hAnsi="Times New Roman" w:cs="Times New Roman"/>
          <w:color w:val="000000" w:themeColor="text1"/>
          <w:sz w:val="24"/>
        </w:rPr>
      </w:pPr>
    </w:p>
    <w:p w14:paraId="0BF3FF27" w14:textId="2A902069" w:rsidR="003A473F" w:rsidRDefault="003A473F" w:rsidP="00EB609C">
      <w:pPr>
        <w:widowControl/>
        <w:spacing w:line="480" w:lineRule="auto"/>
        <w:rPr>
          <w:rFonts w:ascii="Times New Roman" w:hAnsi="Times New Roman" w:cs="Times New Roman"/>
          <w:color w:val="000000" w:themeColor="text1"/>
          <w:sz w:val="24"/>
        </w:rPr>
      </w:pPr>
    </w:p>
    <w:p w14:paraId="76381A2F" w14:textId="77777777" w:rsidR="003A473F" w:rsidRPr="003A473F" w:rsidRDefault="003A473F" w:rsidP="00EB609C">
      <w:pPr>
        <w:widowControl/>
        <w:spacing w:line="480" w:lineRule="auto"/>
        <w:rPr>
          <w:rFonts w:ascii="Times New Roman" w:hAnsi="Times New Roman" w:cs="Times New Roman" w:hint="eastAsia"/>
          <w:color w:val="000000" w:themeColor="text1"/>
          <w:sz w:val="24"/>
        </w:rPr>
      </w:pPr>
    </w:p>
    <w:p w14:paraId="4DF1B8EB" w14:textId="77777777" w:rsidR="002B0105" w:rsidRPr="003A473F" w:rsidRDefault="00FC7612">
      <w:pPr>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lastRenderedPageBreak/>
        <w:t>Table S1. Primer sequences used for qPCR assays for mRNAs</w:t>
      </w:r>
    </w:p>
    <w:tbl>
      <w:tblPr>
        <w:tblStyle w:val="a8"/>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685"/>
        <w:gridCol w:w="3969"/>
      </w:tblGrid>
      <w:tr w:rsidR="003A473F" w:rsidRPr="003A473F" w14:paraId="1C46BB43" w14:textId="77777777">
        <w:tc>
          <w:tcPr>
            <w:tcW w:w="1418" w:type="dxa"/>
            <w:tcBorders>
              <w:top w:val="single" w:sz="8" w:space="0" w:color="auto"/>
              <w:bottom w:val="single" w:sz="4" w:space="0" w:color="auto"/>
            </w:tcBorders>
          </w:tcPr>
          <w:p w14:paraId="4D4FE3E4"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 xml:space="preserve">Gene </w:t>
            </w:r>
          </w:p>
        </w:tc>
        <w:tc>
          <w:tcPr>
            <w:tcW w:w="3685" w:type="dxa"/>
            <w:tcBorders>
              <w:top w:val="single" w:sz="8" w:space="0" w:color="auto"/>
              <w:bottom w:val="single" w:sz="4" w:space="0" w:color="auto"/>
            </w:tcBorders>
          </w:tcPr>
          <w:p w14:paraId="0CE67779"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 xml:space="preserve">Forward primer sequence (5'-3') </w:t>
            </w:r>
          </w:p>
        </w:tc>
        <w:tc>
          <w:tcPr>
            <w:tcW w:w="3969" w:type="dxa"/>
            <w:tcBorders>
              <w:top w:val="single" w:sz="8" w:space="0" w:color="auto"/>
              <w:bottom w:val="single" w:sz="4" w:space="0" w:color="auto"/>
            </w:tcBorders>
          </w:tcPr>
          <w:p w14:paraId="0082280A"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 xml:space="preserve">Reverse primer sequence (3'-5') </w:t>
            </w:r>
          </w:p>
        </w:tc>
      </w:tr>
      <w:tr w:rsidR="003A473F" w:rsidRPr="003A473F" w14:paraId="6956F172" w14:textId="77777777">
        <w:tc>
          <w:tcPr>
            <w:tcW w:w="1418" w:type="dxa"/>
            <w:tcBorders>
              <w:top w:val="single" w:sz="4" w:space="0" w:color="auto"/>
            </w:tcBorders>
          </w:tcPr>
          <w:p w14:paraId="608AB296"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VEGFA</w:t>
            </w:r>
          </w:p>
        </w:tc>
        <w:tc>
          <w:tcPr>
            <w:tcW w:w="3685" w:type="dxa"/>
            <w:tcBorders>
              <w:top w:val="single" w:sz="4" w:space="0" w:color="auto"/>
            </w:tcBorders>
          </w:tcPr>
          <w:p w14:paraId="43F20124"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GGAGGAGGGCAGAATCATCAC</w:t>
            </w:r>
          </w:p>
        </w:tc>
        <w:tc>
          <w:tcPr>
            <w:tcW w:w="3969" w:type="dxa"/>
            <w:tcBorders>
              <w:top w:val="single" w:sz="4" w:space="0" w:color="auto"/>
            </w:tcBorders>
          </w:tcPr>
          <w:p w14:paraId="36229FBD"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CTTGGTGAGGTTTGATCCGC</w:t>
            </w:r>
          </w:p>
        </w:tc>
      </w:tr>
      <w:tr w:rsidR="003A473F" w:rsidRPr="003A473F" w14:paraId="770035CA" w14:textId="77777777">
        <w:tc>
          <w:tcPr>
            <w:tcW w:w="1418" w:type="dxa"/>
            <w:tcBorders>
              <w:bottom w:val="nil"/>
            </w:tcBorders>
          </w:tcPr>
          <w:p w14:paraId="47798FCF" w14:textId="505A5603"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A</w:t>
            </w:r>
            <w:r w:rsidR="006A1F4B" w:rsidRPr="003A473F">
              <w:rPr>
                <w:rFonts w:ascii="Times New Roman" w:hAnsi="Times New Roman" w:cs="Times New Roman"/>
                <w:color w:val="000000" w:themeColor="text1"/>
                <w:szCs w:val="21"/>
              </w:rPr>
              <w:t>NGPT2</w:t>
            </w:r>
          </w:p>
        </w:tc>
        <w:tc>
          <w:tcPr>
            <w:tcW w:w="3685" w:type="dxa"/>
            <w:tcBorders>
              <w:bottom w:val="nil"/>
            </w:tcBorders>
          </w:tcPr>
          <w:p w14:paraId="1D8ED989"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AACTTTCGGAAGAGCATGGAC</w:t>
            </w:r>
          </w:p>
        </w:tc>
        <w:tc>
          <w:tcPr>
            <w:tcW w:w="3969" w:type="dxa"/>
            <w:tcBorders>
              <w:bottom w:val="nil"/>
            </w:tcBorders>
          </w:tcPr>
          <w:p w14:paraId="0C3C0E60"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CGAGTCATCGTATTCGAGCGG</w:t>
            </w:r>
          </w:p>
        </w:tc>
      </w:tr>
      <w:tr w:rsidR="002B0105" w:rsidRPr="003A473F" w14:paraId="44BABAAB" w14:textId="77777777">
        <w:tc>
          <w:tcPr>
            <w:tcW w:w="1418" w:type="dxa"/>
            <w:tcBorders>
              <w:top w:val="nil"/>
              <w:bottom w:val="single" w:sz="8" w:space="0" w:color="auto"/>
            </w:tcBorders>
          </w:tcPr>
          <w:p w14:paraId="5E1C7A12"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ICAM-1</w:t>
            </w:r>
          </w:p>
        </w:tc>
        <w:tc>
          <w:tcPr>
            <w:tcW w:w="3685" w:type="dxa"/>
            <w:tcBorders>
              <w:top w:val="nil"/>
              <w:bottom w:val="single" w:sz="8" w:space="0" w:color="auto"/>
            </w:tcBorders>
          </w:tcPr>
          <w:p w14:paraId="0583EFC4"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CTTGGTGAGGTTTGATCCGC</w:t>
            </w:r>
          </w:p>
        </w:tc>
        <w:tc>
          <w:tcPr>
            <w:tcW w:w="3969" w:type="dxa"/>
            <w:tcBorders>
              <w:top w:val="nil"/>
              <w:bottom w:val="single" w:sz="8" w:space="0" w:color="auto"/>
            </w:tcBorders>
          </w:tcPr>
          <w:p w14:paraId="3191E2E8"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TAGACACTTGAGCTCGGGCA</w:t>
            </w:r>
          </w:p>
        </w:tc>
      </w:tr>
    </w:tbl>
    <w:p w14:paraId="4A980A89" w14:textId="77777777" w:rsidR="002B0105" w:rsidRPr="003A473F" w:rsidRDefault="002B0105">
      <w:pPr>
        <w:spacing w:line="480" w:lineRule="auto"/>
        <w:rPr>
          <w:rFonts w:ascii="Times New Roman" w:hAnsi="Times New Roman" w:cs="Times New Roman"/>
          <w:b/>
          <w:bCs/>
          <w:color w:val="000000" w:themeColor="text1"/>
          <w:szCs w:val="21"/>
        </w:rPr>
      </w:pPr>
    </w:p>
    <w:p w14:paraId="45D9107F" w14:textId="3C053492" w:rsidR="002B0105" w:rsidRPr="003A473F" w:rsidRDefault="00FC7612">
      <w:pPr>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 xml:space="preserve">Table S2. Primer sequences used for qPCR assays for </w:t>
      </w:r>
      <w:r w:rsidR="00BF4FE0" w:rsidRPr="003A473F">
        <w:rPr>
          <w:rFonts w:ascii="Times New Roman" w:hAnsi="Times New Roman" w:cs="Times New Roman" w:hint="eastAsia"/>
          <w:b/>
          <w:bCs/>
          <w:color w:val="000000" w:themeColor="text1"/>
          <w:sz w:val="24"/>
          <w:szCs w:val="24"/>
        </w:rPr>
        <w:t>mi</w:t>
      </w:r>
      <w:r w:rsidRPr="003A473F">
        <w:rPr>
          <w:rFonts w:ascii="Times New Roman" w:hAnsi="Times New Roman" w:cs="Times New Roman"/>
          <w:b/>
          <w:bCs/>
          <w:color w:val="000000" w:themeColor="text1"/>
          <w:sz w:val="24"/>
          <w:szCs w:val="24"/>
        </w:rPr>
        <w:t>RNAs</w:t>
      </w:r>
    </w:p>
    <w:tbl>
      <w:tblPr>
        <w:tblStyle w:val="a8"/>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237"/>
      </w:tblGrid>
      <w:tr w:rsidR="003A473F" w:rsidRPr="003A473F" w14:paraId="3F161086" w14:textId="77777777">
        <w:tc>
          <w:tcPr>
            <w:tcW w:w="2835" w:type="dxa"/>
            <w:tcBorders>
              <w:top w:val="single" w:sz="8" w:space="0" w:color="auto"/>
              <w:bottom w:val="single" w:sz="4" w:space="0" w:color="auto"/>
            </w:tcBorders>
          </w:tcPr>
          <w:p w14:paraId="335AB31A"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 xml:space="preserve">Gene </w:t>
            </w:r>
          </w:p>
        </w:tc>
        <w:tc>
          <w:tcPr>
            <w:tcW w:w="6237" w:type="dxa"/>
            <w:tcBorders>
              <w:top w:val="single" w:sz="8" w:space="0" w:color="auto"/>
              <w:bottom w:val="single" w:sz="4" w:space="0" w:color="auto"/>
            </w:tcBorders>
          </w:tcPr>
          <w:p w14:paraId="3995B38E"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 xml:space="preserve">Forward primer sequence (5'-3') </w:t>
            </w:r>
          </w:p>
        </w:tc>
      </w:tr>
      <w:tr w:rsidR="003A473F" w:rsidRPr="003A473F" w14:paraId="32F03D0C" w14:textId="77777777">
        <w:tc>
          <w:tcPr>
            <w:tcW w:w="2835" w:type="dxa"/>
            <w:tcBorders>
              <w:top w:val="single" w:sz="4" w:space="0" w:color="auto"/>
            </w:tcBorders>
          </w:tcPr>
          <w:p w14:paraId="4C84B886"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has-miR-205</w:t>
            </w:r>
          </w:p>
        </w:tc>
        <w:tc>
          <w:tcPr>
            <w:tcW w:w="6237" w:type="dxa"/>
            <w:tcBorders>
              <w:top w:val="single" w:sz="4" w:space="0" w:color="auto"/>
            </w:tcBorders>
          </w:tcPr>
          <w:p w14:paraId="1AA7D056"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CGGCAGGATTTCAGTGGAGTG</w:t>
            </w:r>
          </w:p>
        </w:tc>
      </w:tr>
      <w:tr w:rsidR="003A473F" w:rsidRPr="003A473F" w14:paraId="539B199E" w14:textId="77777777">
        <w:tc>
          <w:tcPr>
            <w:tcW w:w="2835" w:type="dxa"/>
            <w:tcBorders>
              <w:bottom w:val="nil"/>
            </w:tcBorders>
          </w:tcPr>
          <w:p w14:paraId="4562CBFA"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mmu-miR-205</w:t>
            </w:r>
          </w:p>
        </w:tc>
        <w:tc>
          <w:tcPr>
            <w:tcW w:w="6237" w:type="dxa"/>
            <w:tcBorders>
              <w:bottom w:val="nil"/>
            </w:tcBorders>
          </w:tcPr>
          <w:p w14:paraId="7A380EC2"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GCTGCTCCTTCATTCCACCG</w:t>
            </w:r>
          </w:p>
        </w:tc>
      </w:tr>
      <w:tr w:rsidR="002B0105" w:rsidRPr="003A473F" w14:paraId="2508D207" w14:textId="77777777">
        <w:tc>
          <w:tcPr>
            <w:tcW w:w="2835" w:type="dxa"/>
            <w:tcBorders>
              <w:top w:val="nil"/>
              <w:bottom w:val="single" w:sz="8" w:space="0" w:color="auto"/>
            </w:tcBorders>
          </w:tcPr>
          <w:p w14:paraId="0032A708"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U6</w:t>
            </w:r>
          </w:p>
        </w:tc>
        <w:tc>
          <w:tcPr>
            <w:tcW w:w="6237" w:type="dxa"/>
            <w:tcBorders>
              <w:top w:val="nil"/>
              <w:bottom w:val="single" w:sz="8" w:space="0" w:color="auto"/>
            </w:tcBorders>
          </w:tcPr>
          <w:p w14:paraId="323E8F36"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CCTGCTTCGGCAGCACA</w:t>
            </w:r>
          </w:p>
        </w:tc>
      </w:tr>
    </w:tbl>
    <w:p w14:paraId="5E6E1C60" w14:textId="77777777" w:rsidR="002B0105" w:rsidRPr="003A473F" w:rsidRDefault="002B0105">
      <w:pPr>
        <w:spacing w:line="480" w:lineRule="auto"/>
        <w:rPr>
          <w:rFonts w:ascii="Times New Roman" w:hAnsi="Times New Roman" w:cs="Times New Roman"/>
          <w:b/>
          <w:bCs/>
          <w:color w:val="000000" w:themeColor="text1"/>
          <w:sz w:val="24"/>
          <w:szCs w:val="24"/>
        </w:rPr>
      </w:pPr>
    </w:p>
    <w:p w14:paraId="414373CE" w14:textId="77777777" w:rsidR="002B0105" w:rsidRPr="003A473F" w:rsidRDefault="00FC7612">
      <w:pPr>
        <w:spacing w:line="480" w:lineRule="auto"/>
        <w:rPr>
          <w:rFonts w:ascii="Times New Roman" w:hAnsi="Times New Roman" w:cs="Times New Roman"/>
          <w:b/>
          <w:bCs/>
          <w:color w:val="000000" w:themeColor="text1"/>
          <w:sz w:val="24"/>
          <w:szCs w:val="24"/>
        </w:rPr>
      </w:pPr>
      <w:r w:rsidRPr="003A473F">
        <w:rPr>
          <w:rFonts w:ascii="Times New Roman" w:hAnsi="Times New Roman" w:cs="Times New Roman"/>
          <w:b/>
          <w:bCs/>
          <w:color w:val="000000" w:themeColor="text1"/>
          <w:sz w:val="24"/>
          <w:szCs w:val="24"/>
        </w:rPr>
        <w:t>Table S3: RNA oligonucleotide sequences</w:t>
      </w:r>
    </w:p>
    <w:tbl>
      <w:tblPr>
        <w:tblStyle w:val="a8"/>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3544"/>
        <w:gridCol w:w="3543"/>
      </w:tblGrid>
      <w:tr w:rsidR="003A473F" w:rsidRPr="003A473F" w14:paraId="76DAEFB5" w14:textId="77777777">
        <w:tc>
          <w:tcPr>
            <w:tcW w:w="1985" w:type="dxa"/>
            <w:tcBorders>
              <w:top w:val="single" w:sz="8" w:space="0" w:color="auto"/>
              <w:bottom w:val="single" w:sz="4" w:space="0" w:color="auto"/>
            </w:tcBorders>
          </w:tcPr>
          <w:p w14:paraId="53BE7303" w14:textId="77777777" w:rsidR="002B0105" w:rsidRPr="003A473F" w:rsidRDefault="002B0105">
            <w:pPr>
              <w:spacing w:line="480" w:lineRule="auto"/>
              <w:rPr>
                <w:rFonts w:ascii="Times New Roman" w:hAnsi="Times New Roman" w:cs="Times New Roman"/>
                <w:color w:val="000000" w:themeColor="text1"/>
                <w:szCs w:val="21"/>
              </w:rPr>
            </w:pPr>
          </w:p>
        </w:tc>
        <w:tc>
          <w:tcPr>
            <w:tcW w:w="3544" w:type="dxa"/>
            <w:tcBorders>
              <w:top w:val="single" w:sz="8" w:space="0" w:color="auto"/>
              <w:bottom w:val="single" w:sz="4" w:space="0" w:color="auto"/>
            </w:tcBorders>
          </w:tcPr>
          <w:p w14:paraId="4C4F1760"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sense</w:t>
            </w:r>
            <w:r w:rsidRPr="003A473F">
              <w:rPr>
                <w:rFonts w:ascii="Times New Roman" w:hAnsi="Times New Roman" w:cs="Times New Roman"/>
                <w:color w:val="000000" w:themeColor="text1"/>
                <w:szCs w:val="21"/>
              </w:rPr>
              <w:t>（</w:t>
            </w:r>
            <w:r w:rsidRPr="003A473F">
              <w:rPr>
                <w:rFonts w:ascii="Times New Roman" w:hAnsi="Times New Roman" w:cs="Times New Roman"/>
                <w:color w:val="000000" w:themeColor="text1"/>
                <w:szCs w:val="21"/>
              </w:rPr>
              <w:t>5'-3'</w:t>
            </w:r>
            <w:r w:rsidRPr="003A473F">
              <w:rPr>
                <w:rFonts w:ascii="Times New Roman" w:hAnsi="Times New Roman" w:cs="Times New Roman"/>
                <w:color w:val="000000" w:themeColor="text1"/>
                <w:szCs w:val="21"/>
              </w:rPr>
              <w:t>）</w:t>
            </w:r>
          </w:p>
        </w:tc>
        <w:tc>
          <w:tcPr>
            <w:tcW w:w="3543" w:type="dxa"/>
            <w:tcBorders>
              <w:top w:val="single" w:sz="8" w:space="0" w:color="auto"/>
              <w:bottom w:val="single" w:sz="4" w:space="0" w:color="auto"/>
            </w:tcBorders>
          </w:tcPr>
          <w:p w14:paraId="11409D30"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antisense</w:t>
            </w:r>
            <w:r w:rsidRPr="003A473F">
              <w:rPr>
                <w:rFonts w:ascii="Times New Roman" w:hAnsi="Times New Roman" w:cs="Times New Roman"/>
                <w:color w:val="000000" w:themeColor="text1"/>
                <w:szCs w:val="21"/>
              </w:rPr>
              <w:t>（</w:t>
            </w:r>
            <w:r w:rsidRPr="003A473F">
              <w:rPr>
                <w:rFonts w:ascii="Times New Roman" w:hAnsi="Times New Roman" w:cs="Times New Roman"/>
                <w:color w:val="000000" w:themeColor="text1"/>
                <w:szCs w:val="21"/>
              </w:rPr>
              <w:t>5'-3'</w:t>
            </w:r>
            <w:r w:rsidRPr="003A473F">
              <w:rPr>
                <w:rFonts w:ascii="Times New Roman" w:hAnsi="Times New Roman" w:cs="Times New Roman"/>
                <w:color w:val="000000" w:themeColor="text1"/>
                <w:szCs w:val="21"/>
              </w:rPr>
              <w:t>）</w:t>
            </w:r>
          </w:p>
        </w:tc>
      </w:tr>
      <w:tr w:rsidR="003A473F" w:rsidRPr="003A473F" w14:paraId="5CAAB55F" w14:textId="77777777">
        <w:tc>
          <w:tcPr>
            <w:tcW w:w="1985" w:type="dxa"/>
            <w:tcBorders>
              <w:top w:val="single" w:sz="4" w:space="0" w:color="auto"/>
            </w:tcBorders>
          </w:tcPr>
          <w:p w14:paraId="482AF893"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miR-205 mimic</w:t>
            </w:r>
          </w:p>
        </w:tc>
        <w:tc>
          <w:tcPr>
            <w:tcW w:w="3544" w:type="dxa"/>
            <w:tcBorders>
              <w:top w:val="single" w:sz="4" w:space="0" w:color="auto"/>
            </w:tcBorders>
          </w:tcPr>
          <w:p w14:paraId="338F0921"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UCCUUCAUUCCACCGGAGUCUG</w:t>
            </w:r>
          </w:p>
        </w:tc>
        <w:tc>
          <w:tcPr>
            <w:tcW w:w="3543" w:type="dxa"/>
            <w:tcBorders>
              <w:top w:val="single" w:sz="4" w:space="0" w:color="auto"/>
            </w:tcBorders>
          </w:tcPr>
          <w:p w14:paraId="115DF5C8"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GACUCCGGUGGAAUGAAGGAUU</w:t>
            </w:r>
          </w:p>
        </w:tc>
      </w:tr>
      <w:tr w:rsidR="003A473F" w:rsidRPr="003A473F" w14:paraId="31B0E00C" w14:textId="77777777">
        <w:tc>
          <w:tcPr>
            <w:tcW w:w="1985" w:type="dxa"/>
            <w:tcBorders>
              <w:bottom w:val="nil"/>
            </w:tcBorders>
          </w:tcPr>
          <w:p w14:paraId="1BFCF4CD"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miR-205 inhibitor</w:t>
            </w:r>
          </w:p>
        </w:tc>
        <w:tc>
          <w:tcPr>
            <w:tcW w:w="3544" w:type="dxa"/>
            <w:tcBorders>
              <w:bottom w:val="nil"/>
            </w:tcBorders>
          </w:tcPr>
          <w:p w14:paraId="5248168B"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CAGACUCCGGUGGAAUGAAGGA</w:t>
            </w:r>
          </w:p>
        </w:tc>
        <w:tc>
          <w:tcPr>
            <w:tcW w:w="3543" w:type="dxa"/>
            <w:tcBorders>
              <w:bottom w:val="nil"/>
            </w:tcBorders>
          </w:tcPr>
          <w:p w14:paraId="3295A392" w14:textId="77777777" w:rsidR="002B0105" w:rsidRPr="003A473F" w:rsidRDefault="002B0105">
            <w:pPr>
              <w:spacing w:line="480" w:lineRule="auto"/>
              <w:rPr>
                <w:rFonts w:ascii="Times New Roman" w:hAnsi="Times New Roman" w:cs="Times New Roman"/>
                <w:color w:val="000000" w:themeColor="text1"/>
                <w:szCs w:val="21"/>
              </w:rPr>
            </w:pPr>
          </w:p>
        </w:tc>
      </w:tr>
      <w:tr w:rsidR="003A473F" w:rsidRPr="003A473F" w14:paraId="7E331491" w14:textId="77777777">
        <w:tc>
          <w:tcPr>
            <w:tcW w:w="1985" w:type="dxa"/>
            <w:tcBorders>
              <w:bottom w:val="nil"/>
            </w:tcBorders>
          </w:tcPr>
          <w:p w14:paraId="698FF530" w14:textId="57224F96" w:rsidR="002B0105" w:rsidRPr="003A473F" w:rsidRDefault="00FC7612">
            <w:pPr>
              <w:spacing w:line="480" w:lineRule="auto"/>
              <w:rPr>
                <w:rFonts w:ascii="Times New Roman" w:hAnsi="Times New Roman" w:cs="Times New Roman"/>
                <w:color w:val="000000" w:themeColor="text1"/>
                <w:szCs w:val="21"/>
              </w:rPr>
            </w:pPr>
            <w:bookmarkStart w:id="10" w:name="_GoBack"/>
            <w:bookmarkEnd w:id="10"/>
            <w:r w:rsidRPr="003A473F">
              <w:rPr>
                <w:rFonts w:ascii="Times New Roman" w:hAnsi="Times New Roman" w:cs="Times New Roman"/>
                <w:color w:val="000000" w:themeColor="text1"/>
                <w:szCs w:val="21"/>
              </w:rPr>
              <w:t>NC mimic</w:t>
            </w:r>
          </w:p>
        </w:tc>
        <w:tc>
          <w:tcPr>
            <w:tcW w:w="3544" w:type="dxa"/>
            <w:tcBorders>
              <w:bottom w:val="nil"/>
            </w:tcBorders>
          </w:tcPr>
          <w:p w14:paraId="52BE218E"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UUCUCCGAACGUGUCACG UTT</w:t>
            </w:r>
          </w:p>
        </w:tc>
        <w:tc>
          <w:tcPr>
            <w:tcW w:w="3543" w:type="dxa"/>
            <w:tcBorders>
              <w:bottom w:val="nil"/>
            </w:tcBorders>
          </w:tcPr>
          <w:p w14:paraId="631A2CBC"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ACGUGACACGUUCGGAGAATT</w:t>
            </w:r>
          </w:p>
        </w:tc>
      </w:tr>
      <w:tr w:rsidR="003A473F" w:rsidRPr="003A473F" w14:paraId="2A44170C" w14:textId="77777777">
        <w:tc>
          <w:tcPr>
            <w:tcW w:w="1985" w:type="dxa"/>
            <w:tcBorders>
              <w:bottom w:val="nil"/>
            </w:tcBorders>
          </w:tcPr>
          <w:p w14:paraId="08A8EA94"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NC inhibitor</w:t>
            </w:r>
          </w:p>
        </w:tc>
        <w:tc>
          <w:tcPr>
            <w:tcW w:w="3544" w:type="dxa"/>
            <w:tcBorders>
              <w:bottom w:val="nil"/>
            </w:tcBorders>
          </w:tcPr>
          <w:p w14:paraId="533BD275"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CAGUACUUUUGUGUAGUACAA</w:t>
            </w:r>
          </w:p>
        </w:tc>
        <w:tc>
          <w:tcPr>
            <w:tcW w:w="3543" w:type="dxa"/>
            <w:tcBorders>
              <w:bottom w:val="nil"/>
            </w:tcBorders>
          </w:tcPr>
          <w:p w14:paraId="3905B02A" w14:textId="77777777" w:rsidR="002B0105" w:rsidRPr="003A473F" w:rsidRDefault="002B0105">
            <w:pPr>
              <w:spacing w:line="480" w:lineRule="auto"/>
              <w:rPr>
                <w:rFonts w:ascii="Times New Roman" w:hAnsi="Times New Roman" w:cs="Times New Roman"/>
                <w:color w:val="000000" w:themeColor="text1"/>
                <w:szCs w:val="21"/>
              </w:rPr>
            </w:pPr>
          </w:p>
        </w:tc>
      </w:tr>
      <w:tr w:rsidR="003A473F" w:rsidRPr="003A473F" w14:paraId="3A5C76B4" w14:textId="77777777">
        <w:tc>
          <w:tcPr>
            <w:tcW w:w="1985" w:type="dxa"/>
            <w:tcBorders>
              <w:bottom w:val="nil"/>
            </w:tcBorders>
          </w:tcPr>
          <w:p w14:paraId="1134EE65"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miR-205 agomir</w:t>
            </w:r>
          </w:p>
        </w:tc>
        <w:tc>
          <w:tcPr>
            <w:tcW w:w="3544" w:type="dxa"/>
            <w:tcBorders>
              <w:bottom w:val="nil"/>
            </w:tcBorders>
          </w:tcPr>
          <w:p w14:paraId="36AA53A9"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UCCUUCAUUCCACCGGAGUCUG</w:t>
            </w:r>
          </w:p>
        </w:tc>
        <w:tc>
          <w:tcPr>
            <w:tcW w:w="3543" w:type="dxa"/>
            <w:tcBorders>
              <w:bottom w:val="nil"/>
            </w:tcBorders>
          </w:tcPr>
          <w:p w14:paraId="3F58525C"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GACUCCGGUGGAAUGAAGGAUU</w:t>
            </w:r>
          </w:p>
        </w:tc>
      </w:tr>
      <w:tr w:rsidR="003A473F" w:rsidRPr="003A473F" w14:paraId="4AC9780A" w14:textId="77777777">
        <w:tc>
          <w:tcPr>
            <w:tcW w:w="1985" w:type="dxa"/>
            <w:tcBorders>
              <w:bottom w:val="nil"/>
            </w:tcBorders>
          </w:tcPr>
          <w:p w14:paraId="0842A4B8"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miR-205 antagomir</w:t>
            </w:r>
          </w:p>
        </w:tc>
        <w:tc>
          <w:tcPr>
            <w:tcW w:w="3544" w:type="dxa"/>
            <w:tcBorders>
              <w:bottom w:val="nil"/>
            </w:tcBorders>
          </w:tcPr>
          <w:p w14:paraId="7FB5EBB3"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CAGACUCCGGUGGAAUGAAGGA</w:t>
            </w:r>
          </w:p>
        </w:tc>
        <w:tc>
          <w:tcPr>
            <w:tcW w:w="3543" w:type="dxa"/>
            <w:tcBorders>
              <w:bottom w:val="nil"/>
            </w:tcBorders>
          </w:tcPr>
          <w:p w14:paraId="01202F76" w14:textId="77777777" w:rsidR="002B0105" w:rsidRPr="003A473F" w:rsidRDefault="002B0105">
            <w:pPr>
              <w:spacing w:line="480" w:lineRule="auto"/>
              <w:rPr>
                <w:rFonts w:ascii="Times New Roman" w:hAnsi="Times New Roman" w:cs="Times New Roman"/>
                <w:color w:val="000000" w:themeColor="text1"/>
                <w:szCs w:val="21"/>
              </w:rPr>
            </w:pPr>
          </w:p>
        </w:tc>
      </w:tr>
      <w:tr w:rsidR="003A473F" w:rsidRPr="003A473F" w14:paraId="2AB71619" w14:textId="77777777">
        <w:tc>
          <w:tcPr>
            <w:tcW w:w="1985" w:type="dxa"/>
            <w:tcBorders>
              <w:bottom w:val="nil"/>
            </w:tcBorders>
          </w:tcPr>
          <w:p w14:paraId="2E0EFDFD"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Scramble agomir</w:t>
            </w:r>
          </w:p>
        </w:tc>
        <w:tc>
          <w:tcPr>
            <w:tcW w:w="3544" w:type="dxa"/>
            <w:tcBorders>
              <w:bottom w:val="nil"/>
            </w:tcBorders>
          </w:tcPr>
          <w:p w14:paraId="10329680"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UUCUCCGAACGUGUCACG UTT</w:t>
            </w:r>
          </w:p>
        </w:tc>
        <w:tc>
          <w:tcPr>
            <w:tcW w:w="3543" w:type="dxa"/>
            <w:tcBorders>
              <w:bottom w:val="nil"/>
            </w:tcBorders>
          </w:tcPr>
          <w:p w14:paraId="7FC459D4"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ACGUGACACGUUCGGAGAATT</w:t>
            </w:r>
          </w:p>
        </w:tc>
      </w:tr>
      <w:tr w:rsidR="002B0105" w:rsidRPr="003A473F" w14:paraId="61CEF91F" w14:textId="77777777">
        <w:tc>
          <w:tcPr>
            <w:tcW w:w="1985" w:type="dxa"/>
            <w:tcBorders>
              <w:top w:val="nil"/>
              <w:bottom w:val="single" w:sz="8" w:space="0" w:color="auto"/>
            </w:tcBorders>
          </w:tcPr>
          <w:p w14:paraId="4CD78F21"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Scramble antagomir</w:t>
            </w:r>
          </w:p>
        </w:tc>
        <w:tc>
          <w:tcPr>
            <w:tcW w:w="3544" w:type="dxa"/>
            <w:tcBorders>
              <w:top w:val="nil"/>
              <w:bottom w:val="single" w:sz="8" w:space="0" w:color="auto"/>
            </w:tcBorders>
          </w:tcPr>
          <w:p w14:paraId="049ABADC" w14:textId="77777777" w:rsidR="002B0105" w:rsidRPr="003A473F" w:rsidRDefault="00FC7612">
            <w:pPr>
              <w:spacing w:line="480" w:lineRule="auto"/>
              <w:rPr>
                <w:rFonts w:ascii="Times New Roman" w:hAnsi="Times New Roman" w:cs="Times New Roman"/>
                <w:color w:val="000000" w:themeColor="text1"/>
                <w:szCs w:val="21"/>
              </w:rPr>
            </w:pPr>
            <w:r w:rsidRPr="003A473F">
              <w:rPr>
                <w:rFonts w:ascii="Times New Roman" w:hAnsi="Times New Roman" w:cs="Times New Roman"/>
                <w:color w:val="000000" w:themeColor="text1"/>
                <w:szCs w:val="21"/>
              </w:rPr>
              <w:t>CAGUACUUUUGUGUAGUACAA</w:t>
            </w:r>
          </w:p>
        </w:tc>
        <w:tc>
          <w:tcPr>
            <w:tcW w:w="3543" w:type="dxa"/>
            <w:tcBorders>
              <w:top w:val="nil"/>
              <w:bottom w:val="single" w:sz="8" w:space="0" w:color="auto"/>
            </w:tcBorders>
          </w:tcPr>
          <w:p w14:paraId="3EFF438B" w14:textId="77777777" w:rsidR="002B0105" w:rsidRPr="003A473F" w:rsidRDefault="002B0105">
            <w:pPr>
              <w:spacing w:line="480" w:lineRule="auto"/>
              <w:rPr>
                <w:rFonts w:ascii="Times New Roman" w:hAnsi="Times New Roman" w:cs="Times New Roman"/>
                <w:color w:val="000000" w:themeColor="text1"/>
                <w:szCs w:val="21"/>
              </w:rPr>
            </w:pPr>
          </w:p>
        </w:tc>
      </w:tr>
    </w:tbl>
    <w:p w14:paraId="5C37FAFE" w14:textId="77777777" w:rsidR="002B0105" w:rsidRPr="003A473F" w:rsidRDefault="002B0105">
      <w:pPr>
        <w:rPr>
          <w:color w:val="000000" w:themeColor="text1"/>
        </w:rPr>
      </w:pPr>
    </w:p>
    <w:sectPr w:rsidR="002B0105" w:rsidRPr="003A47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60605" w14:textId="77777777" w:rsidR="00470825" w:rsidRDefault="00470825" w:rsidP="000C73B0">
      <w:r>
        <w:separator/>
      </w:r>
    </w:p>
  </w:endnote>
  <w:endnote w:type="continuationSeparator" w:id="0">
    <w:p w14:paraId="3406BEEA" w14:textId="77777777" w:rsidR="00470825" w:rsidRDefault="00470825" w:rsidP="000C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2C532" w14:textId="77777777" w:rsidR="00470825" w:rsidRDefault="00470825" w:rsidP="000C73B0">
      <w:r>
        <w:separator/>
      </w:r>
    </w:p>
  </w:footnote>
  <w:footnote w:type="continuationSeparator" w:id="0">
    <w:p w14:paraId="5E7FE269" w14:textId="77777777" w:rsidR="00470825" w:rsidRDefault="00470825" w:rsidP="000C7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97BFF"/>
    <w:multiLevelType w:val="hybridMultilevel"/>
    <w:tmpl w:val="6C1E1A7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3Y2I4YmE3YzhjMGM3OTQzMWY0MTI1Y2UwMjA0ZWEifQ=="/>
  </w:docVars>
  <w:rsids>
    <w:rsidRoot w:val="006869B4"/>
    <w:rsid w:val="00033E75"/>
    <w:rsid w:val="0008166C"/>
    <w:rsid w:val="000A1758"/>
    <w:rsid w:val="000C73B0"/>
    <w:rsid w:val="0018397A"/>
    <w:rsid w:val="001D03AB"/>
    <w:rsid w:val="001F1E0B"/>
    <w:rsid w:val="00200807"/>
    <w:rsid w:val="00225320"/>
    <w:rsid w:val="00257EC0"/>
    <w:rsid w:val="0029711D"/>
    <w:rsid w:val="002B0105"/>
    <w:rsid w:val="002D1C17"/>
    <w:rsid w:val="0036513B"/>
    <w:rsid w:val="003A473F"/>
    <w:rsid w:val="003F1D2D"/>
    <w:rsid w:val="0040187E"/>
    <w:rsid w:val="00406BF6"/>
    <w:rsid w:val="00470825"/>
    <w:rsid w:val="004C4BBE"/>
    <w:rsid w:val="00506CD4"/>
    <w:rsid w:val="005C34BD"/>
    <w:rsid w:val="005D0791"/>
    <w:rsid w:val="005E3ECD"/>
    <w:rsid w:val="005E7330"/>
    <w:rsid w:val="006000B6"/>
    <w:rsid w:val="00677A46"/>
    <w:rsid w:val="0068203F"/>
    <w:rsid w:val="006869B4"/>
    <w:rsid w:val="006A1F4B"/>
    <w:rsid w:val="006F6043"/>
    <w:rsid w:val="007528AF"/>
    <w:rsid w:val="0076448A"/>
    <w:rsid w:val="007950D4"/>
    <w:rsid w:val="00796709"/>
    <w:rsid w:val="007E3822"/>
    <w:rsid w:val="00804956"/>
    <w:rsid w:val="00881C0A"/>
    <w:rsid w:val="008D4024"/>
    <w:rsid w:val="008F4F00"/>
    <w:rsid w:val="00950883"/>
    <w:rsid w:val="00991752"/>
    <w:rsid w:val="009D0F43"/>
    <w:rsid w:val="009D18D1"/>
    <w:rsid w:val="00A74C9E"/>
    <w:rsid w:val="00AB4C57"/>
    <w:rsid w:val="00B24C34"/>
    <w:rsid w:val="00B52381"/>
    <w:rsid w:val="00B703BE"/>
    <w:rsid w:val="00BF4FE0"/>
    <w:rsid w:val="00C52F6F"/>
    <w:rsid w:val="00C655E3"/>
    <w:rsid w:val="00C91080"/>
    <w:rsid w:val="00CA3C76"/>
    <w:rsid w:val="00CA41F1"/>
    <w:rsid w:val="00D50A8F"/>
    <w:rsid w:val="00D74F92"/>
    <w:rsid w:val="00DB32CD"/>
    <w:rsid w:val="00DE0430"/>
    <w:rsid w:val="00DE1D66"/>
    <w:rsid w:val="00E30F03"/>
    <w:rsid w:val="00E31DE0"/>
    <w:rsid w:val="00E63151"/>
    <w:rsid w:val="00E813D3"/>
    <w:rsid w:val="00E93F9B"/>
    <w:rsid w:val="00EB609C"/>
    <w:rsid w:val="00F42136"/>
    <w:rsid w:val="00FC7612"/>
    <w:rsid w:val="00FE34F5"/>
    <w:rsid w:val="31C75760"/>
    <w:rsid w:val="789D4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9F306"/>
  <w15:docId w15:val="{9CF6F8E8-4F45-430F-8BA6-9E4B8A7B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Pr>
      <w:sz w:val="21"/>
      <w:szCs w:val="21"/>
    </w:rPr>
  </w:style>
  <w:style w:type="paragraph" w:styleId="aa">
    <w:name w:val="List Paragraph"/>
    <w:basedOn w:val="a"/>
    <w:uiPriority w:val="34"/>
    <w:qFormat/>
    <w:pPr>
      <w:ind w:firstLineChars="200" w:firstLine="420"/>
    </w:p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277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1708</Words>
  <Characters>9742</Characters>
  <Application>Microsoft Office Word</Application>
  <DocSecurity>0</DocSecurity>
  <Lines>81</Lines>
  <Paragraphs>22</Paragraphs>
  <ScaleCrop>false</ScaleCrop>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yan</cp:lastModifiedBy>
  <cp:revision>2</cp:revision>
  <dcterms:created xsi:type="dcterms:W3CDTF">2024-10-29T11:18:00Z</dcterms:created>
  <dcterms:modified xsi:type="dcterms:W3CDTF">2024-10-29T11:18:00Z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731E95DE5C51483DA2DFC3317A758E32_13</vt:lpwstr>
  </property>
</Properties>
</file>