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9424A" w14:textId="566E6248" w:rsidR="00BB35DA" w:rsidRPr="001B43B4" w:rsidRDefault="009D7ADF" w:rsidP="00C21ACD">
      <w:pPr>
        <w:autoSpaceDE w:val="0"/>
        <w:autoSpaceDN w:val="0"/>
        <w:adjustRightInd w:val="0"/>
        <w:spacing w:after="240"/>
        <w:jc w:val="both"/>
        <w:rPr>
          <w:rFonts w:ascii="Arial Narrow" w:hAnsi="Arial Narrow" w:cs="Arial"/>
          <w:color w:val="000000"/>
          <w:kern w:val="0"/>
          <w:lang w:val="en-US"/>
        </w:rPr>
      </w:pPr>
      <w:r w:rsidRPr="001B43B4">
        <w:rPr>
          <w:rFonts w:ascii="Arial Narrow" w:hAnsi="Arial Narrow" w:cs="Arial"/>
          <w:b/>
          <w:bCs/>
          <w:color w:val="000000"/>
          <w:kern w:val="0"/>
          <w:lang w:val="en-US"/>
        </w:rPr>
        <w:t xml:space="preserve">Supplementary </w:t>
      </w:r>
      <w:r w:rsidR="00BB35DA" w:rsidRPr="001B43B4">
        <w:rPr>
          <w:rFonts w:ascii="Arial Narrow" w:hAnsi="Arial Narrow" w:cs="Arial"/>
          <w:b/>
          <w:bCs/>
          <w:color w:val="000000"/>
          <w:kern w:val="0"/>
          <w:lang w:val="en-US"/>
        </w:rPr>
        <w:t xml:space="preserve">Table </w:t>
      </w:r>
      <w:r w:rsidR="001B43B4">
        <w:rPr>
          <w:rFonts w:ascii="Arial Narrow" w:hAnsi="Arial Narrow" w:cs="Arial"/>
          <w:b/>
          <w:bCs/>
          <w:color w:val="000000"/>
          <w:kern w:val="0"/>
          <w:lang w:val="en-US"/>
        </w:rPr>
        <w:t>IV</w:t>
      </w:r>
      <w:r w:rsidR="00CD3F7D" w:rsidRPr="001B43B4">
        <w:rPr>
          <w:rFonts w:ascii="Arial Narrow" w:hAnsi="Arial Narrow" w:cs="Arial"/>
          <w:b/>
          <w:bCs/>
          <w:color w:val="000000"/>
          <w:kern w:val="0"/>
          <w:lang w:val="en-US"/>
        </w:rPr>
        <w:t>.</w:t>
      </w:r>
      <w:r w:rsidR="00C21ACD" w:rsidRPr="001B43B4">
        <w:rPr>
          <w:rFonts w:ascii="Arial Narrow" w:hAnsi="Arial Narrow" w:cs="Arial"/>
          <w:b/>
          <w:bCs/>
          <w:color w:val="000000"/>
          <w:kern w:val="0"/>
          <w:lang w:val="en-US"/>
        </w:rPr>
        <w:t xml:space="preserve"> </w:t>
      </w:r>
      <w:r w:rsidR="00BB35DA" w:rsidRPr="001B43B4">
        <w:rPr>
          <w:rFonts w:ascii="Arial Narrow" w:hAnsi="Arial Narrow" w:cs="Arial"/>
          <w:color w:val="000000"/>
          <w:kern w:val="0"/>
          <w:lang w:val="en-US"/>
        </w:rPr>
        <w:t xml:space="preserve">Summary of the literature for the identified </w:t>
      </w:r>
      <w:r w:rsidR="00C21ACD" w:rsidRPr="001B43B4">
        <w:rPr>
          <w:rFonts w:ascii="Arial Narrow" w:hAnsi="Arial Narrow" w:cs="Arial"/>
          <w:color w:val="000000"/>
          <w:kern w:val="0"/>
          <w:lang w:val="en-US"/>
        </w:rPr>
        <w:t>s</w:t>
      </w:r>
      <w:r w:rsidR="00BB35DA" w:rsidRPr="001B43B4">
        <w:rPr>
          <w:rFonts w:ascii="Arial Narrow" w:hAnsi="Arial Narrow" w:cs="Arial"/>
          <w:color w:val="000000"/>
          <w:kern w:val="0"/>
          <w:lang w:val="en-US"/>
        </w:rPr>
        <w:t>EV-miRNAs in osteoarthritis.</w:t>
      </w:r>
    </w:p>
    <w:p w14:paraId="2CBF7B78" w14:textId="77777777" w:rsidR="003914BA" w:rsidRPr="001B43B4" w:rsidRDefault="003914BA">
      <w:pPr>
        <w:rPr>
          <w:rFonts w:ascii="Arial" w:hAnsi="Arial" w:cs="Arial"/>
          <w:lang w:val="en-US"/>
        </w:rPr>
      </w:pPr>
    </w:p>
    <w:p w14:paraId="5D96A185" w14:textId="77777777" w:rsidR="005B419F" w:rsidRPr="001B43B4" w:rsidRDefault="005B419F">
      <w:pPr>
        <w:rPr>
          <w:rFonts w:ascii="Arial" w:hAnsi="Arial" w:cs="Arial"/>
          <w:lang w:val="en-US"/>
        </w:rPr>
      </w:pPr>
    </w:p>
    <w:p w14:paraId="2522C64E" w14:textId="77777777" w:rsidR="005B419F" w:rsidRPr="001B43B4" w:rsidRDefault="005B419F">
      <w:pPr>
        <w:rPr>
          <w:rFonts w:ascii="Arial" w:hAnsi="Arial" w:cs="Arial"/>
          <w:lang w:val="en-US"/>
        </w:rPr>
      </w:pPr>
    </w:p>
    <w:tbl>
      <w:tblPr>
        <w:tblpPr w:leftFromText="141" w:rightFromText="141" w:vertAnchor="page" w:horzAnchor="margin" w:tblpXSpec="center" w:tblpY="2205"/>
        <w:tblW w:w="92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6528"/>
        <w:gridCol w:w="1169"/>
      </w:tblGrid>
      <w:tr w:rsidR="005B419F" w:rsidRPr="001B43B4" w14:paraId="27813782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8AACE3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val="en-US" w:eastAsia="es-MX"/>
                <w14:ligatures w14:val="none"/>
              </w:rPr>
              <w:t>miRNA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1757FB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val="en-US" w:eastAsia="es-MX"/>
                <w14:ligatures w14:val="none"/>
              </w:rPr>
              <w:t>Description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971805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val="en-US" w:eastAsia="es-MX"/>
                <w14:ligatures w14:val="none"/>
              </w:rPr>
              <w:t>PMID Reference</w:t>
            </w:r>
          </w:p>
        </w:tc>
      </w:tr>
      <w:tr w:rsidR="005B419F" w:rsidRPr="001B43B4" w14:paraId="287CF514" w14:textId="77777777" w:rsidTr="0080439C">
        <w:trPr>
          <w:trHeight w:val="510"/>
        </w:trPr>
        <w:tc>
          <w:tcPr>
            <w:tcW w:w="1556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3B38D7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hsa-mir-107</w:t>
            </w:r>
          </w:p>
        </w:tc>
        <w:tc>
          <w:tcPr>
            <w:tcW w:w="6528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0055F1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HBO suppresses HMGB-1/RAGE signaling pathways by upregulating miR-107 expression in human OA chondrocytes.</w:t>
            </w:r>
          </w:p>
        </w:tc>
        <w:tc>
          <w:tcPr>
            <w:tcW w:w="1169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EDBD1D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31146014</w:t>
            </w:r>
          </w:p>
        </w:tc>
      </w:tr>
      <w:tr w:rsidR="005B419F" w:rsidRPr="001B43B4" w14:paraId="680797A3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D2B730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hsa-mir-1183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CA8BC0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The reintroduction of CircCDK14 alleviated IL-1beta-induced chondrocyte damage through the miR-1183/KLF5 pathway, suggesting its potential as a diagnostic biomarker for OA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5FFA06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35723551</w:t>
            </w:r>
          </w:p>
        </w:tc>
      </w:tr>
      <w:tr w:rsidR="005B419F" w:rsidRPr="001B43B4" w14:paraId="4681A088" w14:textId="77777777" w:rsidTr="0080439C">
        <w:trPr>
          <w:trHeight w:val="510"/>
        </w:trPr>
        <w:tc>
          <w:tcPr>
            <w:tcW w:w="1556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5131CB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hsa-mir-1202</w:t>
            </w:r>
          </w:p>
        </w:tc>
        <w:tc>
          <w:tcPr>
            <w:tcW w:w="6528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EFE999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the interaction between KCNQ1OT1 and miRETS1 appears to be crucial in the progression of OA</w:t>
            </w:r>
          </w:p>
        </w:tc>
        <w:tc>
          <w:tcPr>
            <w:tcW w:w="1169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E17CE7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32252801</w:t>
            </w:r>
          </w:p>
        </w:tc>
      </w:tr>
      <w:tr w:rsidR="005B419F" w:rsidRPr="001B43B4" w14:paraId="4699DBA5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F8497C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hsa-mir-137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81035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These preliminary data elucidated that miR-137 suppressed OA progression via inhibiting cell growth, inflammation, and ECM degradation.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02AC55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31814906</w:t>
            </w:r>
          </w:p>
        </w:tc>
      </w:tr>
      <w:tr w:rsidR="005B419F" w:rsidRPr="001B43B4" w14:paraId="2CDB46C8" w14:textId="77777777" w:rsidTr="0080439C">
        <w:trPr>
          <w:trHeight w:val="510"/>
        </w:trPr>
        <w:tc>
          <w:tcPr>
            <w:tcW w:w="1556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C2D93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hsa-mir-147b</w:t>
            </w:r>
          </w:p>
        </w:tc>
        <w:tc>
          <w:tcPr>
            <w:tcW w:w="6528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BD11B4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miR-137 suppresses the progression of OA by inhibiting cell growth, inflammation, and extracellular matrix (ECM) degradation.</w:t>
            </w:r>
          </w:p>
        </w:tc>
        <w:tc>
          <w:tcPr>
            <w:tcW w:w="1169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5D142A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34721542</w:t>
            </w:r>
          </w:p>
        </w:tc>
      </w:tr>
      <w:tr w:rsidR="005B419F" w:rsidRPr="001B43B4" w14:paraId="329FBBFB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3730FB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hsa-mir-320a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F1495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The expression of miR-126-5p, miR-320a, and miR-146a-5p might correlate with treatment response to celecoxib.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A5544D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30105874</w:t>
            </w:r>
          </w:p>
        </w:tc>
      </w:tr>
      <w:tr w:rsidR="005B419F" w:rsidRPr="001B43B4" w14:paraId="079918A7" w14:textId="77777777" w:rsidTr="0080439C">
        <w:trPr>
          <w:trHeight w:val="510"/>
        </w:trPr>
        <w:tc>
          <w:tcPr>
            <w:tcW w:w="1556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FB53E4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hsa-mir-320c</w:t>
            </w:r>
          </w:p>
        </w:tc>
        <w:tc>
          <w:tcPr>
            <w:tcW w:w="6528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CE2526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miR-320c derived from mesenchymal stem cells (MSCs) enhances chondrogenesis by targeting ADAM19, highlighting as a potentially novel mechanism of MSCs in the treatment of osteoarthritis</w:t>
            </w:r>
          </w:p>
        </w:tc>
        <w:tc>
          <w:tcPr>
            <w:tcW w:w="1169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73FC0C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34927445</w:t>
            </w:r>
          </w:p>
        </w:tc>
      </w:tr>
      <w:tr w:rsidR="005B419F" w:rsidRPr="001B43B4" w14:paraId="4B39EE95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536C4D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hsa-mir-326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6E9133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Bone marrow-derived mesenchymal stem cell exosomes can deliver miR-326 to chondrocytes and cartilage and improve OA by targeting HDAC3 and STAT1//NF-kappaB p65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C53975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34764819</w:t>
            </w:r>
          </w:p>
        </w:tc>
      </w:tr>
      <w:tr w:rsidR="005B419F" w:rsidRPr="001B43B4" w14:paraId="2B5C1CCF" w14:textId="77777777" w:rsidTr="0080439C">
        <w:trPr>
          <w:trHeight w:val="510"/>
        </w:trPr>
        <w:tc>
          <w:tcPr>
            <w:tcW w:w="1556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82A2FF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hsa-mir-346</w:t>
            </w:r>
          </w:p>
        </w:tc>
        <w:tc>
          <w:tcPr>
            <w:tcW w:w="6528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B3D473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Circ0083429 regulates the extracellular matrix (ECM) through downstream modulation of miRNA-346/SMAD3 in human chondrocytes.</w:t>
            </w:r>
          </w:p>
        </w:tc>
        <w:tc>
          <w:tcPr>
            <w:tcW w:w="1169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EA0204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33520980</w:t>
            </w:r>
          </w:p>
        </w:tc>
      </w:tr>
      <w:tr w:rsidR="005B419F" w:rsidRPr="001B43B4" w14:paraId="417560C0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CA0460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hsa-mir-421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167BD0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Circular RNA SLTM acts as a competing endogenous RNA for miR-421, thereby mediating HMGB2 expression and promoting apoptosis and inflammation in OA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98C975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36935520</w:t>
            </w:r>
          </w:p>
        </w:tc>
      </w:tr>
      <w:tr w:rsidR="005B419F" w:rsidRPr="001B43B4" w14:paraId="5D780D12" w14:textId="77777777" w:rsidTr="0080439C">
        <w:trPr>
          <w:trHeight w:val="510"/>
        </w:trPr>
        <w:tc>
          <w:tcPr>
            <w:tcW w:w="1556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0D7805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hsa-mir-4306</w:t>
            </w:r>
          </w:p>
        </w:tc>
        <w:tc>
          <w:tcPr>
            <w:tcW w:w="6528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C24297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Description of a novel circPDE4D/miR-4306/SOX9 competing endogenous RNA (ceRNA) pathway in OA-related chondrocyte dysfunction</w:t>
            </w:r>
          </w:p>
        </w:tc>
        <w:tc>
          <w:tcPr>
            <w:tcW w:w="1169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816E7B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35549803</w:t>
            </w:r>
          </w:p>
        </w:tc>
      </w:tr>
      <w:tr w:rsidR="005B419F" w:rsidRPr="001B43B4" w14:paraId="45D14DE8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9A41B5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hsa-mir-451a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D79DB5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The hsa-mir-451a was identified in OA and normal tissues 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CA2A9A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34796409</w:t>
            </w:r>
          </w:p>
        </w:tc>
      </w:tr>
      <w:tr w:rsidR="005B419F" w:rsidRPr="001B43B4" w14:paraId="6BD4B355" w14:textId="77777777" w:rsidTr="0080439C">
        <w:trPr>
          <w:trHeight w:val="510"/>
        </w:trPr>
        <w:tc>
          <w:tcPr>
            <w:tcW w:w="1556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A68FC8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hsa-mir-492</w:t>
            </w:r>
          </w:p>
        </w:tc>
        <w:tc>
          <w:tcPr>
            <w:tcW w:w="6528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E69E9B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Overexpression of hsa_circ_0005567 promoted M2 macrophage polarization through the miR-492/SOCS2 axis, resulting in reduced chondrocyte apoptosis and inhibiting the progression of OA.</w:t>
            </w:r>
          </w:p>
        </w:tc>
        <w:tc>
          <w:tcPr>
            <w:tcW w:w="1169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5F8DEF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34652255</w:t>
            </w:r>
          </w:p>
        </w:tc>
      </w:tr>
      <w:tr w:rsidR="005B419F" w:rsidRPr="001B43B4" w14:paraId="46035B61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F0B5D8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hsa-mir-543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7D03F4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The PLA2G4A overexpression was contrary to that of miR-543 mimic in OA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0D4B03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33040229</w:t>
            </w:r>
          </w:p>
        </w:tc>
      </w:tr>
      <w:tr w:rsidR="005B419F" w:rsidRPr="001B43B4" w14:paraId="28A95525" w14:textId="77777777" w:rsidTr="0080439C">
        <w:trPr>
          <w:trHeight w:val="510"/>
        </w:trPr>
        <w:tc>
          <w:tcPr>
            <w:tcW w:w="1556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D565F1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hsa-mir-622</w:t>
            </w:r>
          </w:p>
        </w:tc>
        <w:tc>
          <w:tcPr>
            <w:tcW w:w="6528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B48FE3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CircCCDC66 promoted apoptosis in OA by modulating the miR-3622b-5p/SIRT3 axis</w:t>
            </w:r>
          </w:p>
        </w:tc>
        <w:tc>
          <w:tcPr>
            <w:tcW w:w="1169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00E04A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34979511</w:t>
            </w:r>
          </w:p>
        </w:tc>
      </w:tr>
      <w:tr w:rsidR="005B419F" w:rsidRPr="001B43B4" w14:paraId="44BB5E7F" w14:textId="77777777" w:rsidTr="0080439C">
        <w:trPr>
          <w:trHeight w:val="510"/>
        </w:trPr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343341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hsa-mir-760</w:t>
            </w:r>
          </w:p>
        </w:tc>
        <w:tc>
          <w:tcPr>
            <w:tcW w:w="65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9EEAAE" w14:textId="77777777" w:rsidR="005B419F" w:rsidRPr="001B43B4" w:rsidRDefault="005B419F" w:rsidP="0080439C">
            <w:pPr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MiR-760 targets HBEGF to regulate extracellular matrix degradation in cartilage, contributing to the pathogenesis of OA.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9DD32D" w14:textId="77777777" w:rsidR="005B419F" w:rsidRPr="001B43B4" w:rsidRDefault="005B419F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1B4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36894989</w:t>
            </w:r>
          </w:p>
        </w:tc>
      </w:tr>
    </w:tbl>
    <w:p w14:paraId="23EFBF4D" w14:textId="77777777" w:rsidR="005B419F" w:rsidRDefault="005B419F"/>
    <w:sectPr w:rsidR="005B41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76"/>
    <w:rsid w:val="001B43B4"/>
    <w:rsid w:val="002E1CB6"/>
    <w:rsid w:val="003914BA"/>
    <w:rsid w:val="005130C0"/>
    <w:rsid w:val="005B419F"/>
    <w:rsid w:val="009D7ADF"/>
    <w:rsid w:val="00B90298"/>
    <w:rsid w:val="00BB35DA"/>
    <w:rsid w:val="00C21ACD"/>
    <w:rsid w:val="00CD3F7D"/>
    <w:rsid w:val="00D1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1DF7"/>
  <w15:chartTrackingRefBased/>
  <w15:docId w15:val="{897DF23E-8B83-48F8-B01C-3C1E07DC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19F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123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23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237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C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237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s-C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237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s-C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2376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s-C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2376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s-C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2376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s-C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2376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2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2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2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23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23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23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23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23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23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23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</w:rPr>
  </w:style>
  <w:style w:type="character" w:customStyle="1" w:styleId="TtuloCar">
    <w:name w:val="Título Car"/>
    <w:basedOn w:val="Fuentedeprrafopredeter"/>
    <w:link w:val="Ttulo"/>
    <w:uiPriority w:val="10"/>
    <w:rsid w:val="00D12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237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CL"/>
    </w:rPr>
  </w:style>
  <w:style w:type="character" w:customStyle="1" w:styleId="SubttuloCar">
    <w:name w:val="Subtítulo Car"/>
    <w:basedOn w:val="Fuentedeprrafopredeter"/>
    <w:link w:val="Subttulo"/>
    <w:uiPriority w:val="11"/>
    <w:rsid w:val="00D12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2376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  <w:lang w:val="es-CL"/>
    </w:rPr>
  </w:style>
  <w:style w:type="character" w:customStyle="1" w:styleId="CitaCar">
    <w:name w:val="Cita Car"/>
    <w:basedOn w:val="Fuentedeprrafopredeter"/>
    <w:link w:val="Cita"/>
    <w:uiPriority w:val="29"/>
    <w:rsid w:val="00D123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2376"/>
    <w:pPr>
      <w:spacing w:after="160" w:line="259" w:lineRule="auto"/>
      <w:ind w:left="720"/>
      <w:contextualSpacing/>
    </w:pPr>
    <w:rPr>
      <w:sz w:val="22"/>
      <w:szCs w:val="22"/>
      <w:lang w:val="es-CL"/>
    </w:rPr>
  </w:style>
  <w:style w:type="character" w:styleId="nfasisintenso">
    <w:name w:val="Intense Emphasis"/>
    <w:basedOn w:val="Fuentedeprrafopredeter"/>
    <w:uiPriority w:val="21"/>
    <w:qFormat/>
    <w:rsid w:val="00D123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2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s-C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23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23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Alcayaga</dc:creator>
  <cp:keywords/>
  <dc:description/>
  <cp:lastModifiedBy>Aliosha Figueroa</cp:lastModifiedBy>
  <cp:revision>4</cp:revision>
  <dcterms:created xsi:type="dcterms:W3CDTF">2024-02-12T14:25:00Z</dcterms:created>
  <dcterms:modified xsi:type="dcterms:W3CDTF">2024-03-15T08:13:00Z</dcterms:modified>
</cp:coreProperties>
</file>