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tif" ContentType="image/tiff"/>
  <Override PartName="/word/media/image3.tif" ContentType="image/tiff"/>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ind w:firstLine="120"/>
        <w:rPr>
          <w:rFonts w:ascii="Times New Roman" w:hAnsi="Times New Roman" w:cs="Times New Roman"/>
          <w:b/>
          <w:bCs/>
          <w:color w:themeColor="text1" w:val="000000"/>
          <w:sz w:val="24"/>
        </w:rPr>
      </w:pPr>
      <w:r>
        <w:rPr>
          <w:rFonts w:cs="Times New Roman" w:ascii="Times New Roman" w:hAnsi="Times New Roman"/>
          <w:b/>
          <w:bCs/>
          <w:color w:themeColor="text1" w:val="000000"/>
          <w:sz w:val="24"/>
        </w:rPr>
        <w:t>Supplementary data</w:t>
      </w:r>
    </w:p>
    <w:p>
      <w:pPr>
        <w:pStyle w:val="Normal"/>
        <w:spacing w:lineRule="auto" w:line="480"/>
        <w:ind w:firstLine="422"/>
        <w:jc w:val="center"/>
        <w:rPr>
          <w:rFonts w:ascii="Times New Roman" w:hAnsi="Times New Roman" w:cs="Times New Roman"/>
          <w:b/>
          <w:bCs/>
          <w:sz w:val="20"/>
          <w:szCs w:val="20"/>
        </w:rPr>
      </w:pPr>
      <w:bookmarkStart w:id="0" w:name="OLE_LINK41"/>
      <w:bookmarkStart w:id="1" w:name="OLE_LINK42"/>
      <w:r>
        <w:rPr>
          <w:rFonts w:cs="Times New Roman" w:ascii="Times New Roman" w:hAnsi="Times New Roman"/>
          <w:b/>
          <w:bCs/>
          <w:color w:val="000000"/>
          <w:sz w:val="20"/>
          <w:szCs w:val="20"/>
        </w:rPr>
        <w:t xml:space="preserve">Avian influenza mRNA vaccine encoding </w:t>
      </w:r>
      <w:bookmarkStart w:id="2" w:name="_Hlk181048831"/>
      <w:r>
        <w:rPr>
          <w:rFonts w:eastAsia="宋体" w:cs="Times New Roman" w:ascii="Times New Roman" w:hAnsi="Times New Roman"/>
          <w:b/>
          <w:bCs/>
          <w:color w:val="000000"/>
          <w:kern w:val="0"/>
          <w:szCs w:val="21"/>
          <w:lang w:bidi="ar-SA"/>
        </w:rPr>
        <w:t>hemagglutinin</w:t>
      </w:r>
      <w:bookmarkEnd w:id="2"/>
      <w:r>
        <w:rPr>
          <w:rFonts w:cs="Times New Roman" w:ascii="Times New Roman" w:hAnsi="Times New Roman"/>
          <w:b/>
          <w:bCs/>
          <w:color w:val="000000"/>
          <w:sz w:val="20"/>
          <w:szCs w:val="20"/>
        </w:rPr>
        <w:t xml:space="preserve"> provides complete protection against divergent H5N1 viruses in </w:t>
      </w:r>
      <w:bookmarkStart w:id="3" w:name="_Hlk181048847"/>
      <w:r>
        <w:rPr>
          <w:rFonts w:eastAsia="宋体" w:cs="Times New Roman" w:ascii="Times New Roman" w:hAnsi="Times New Roman"/>
          <w:b/>
          <w:bCs/>
          <w:color w:val="000000"/>
          <w:kern w:val="0"/>
          <w:szCs w:val="21"/>
          <w:lang w:bidi="ar-SA"/>
        </w:rPr>
        <w:t>specific-pathogen-free</w:t>
      </w:r>
      <w:bookmarkEnd w:id="3"/>
      <w:r>
        <w:rPr>
          <w:rFonts w:eastAsia="宋体" w:cs="Times New Roman" w:ascii="Times New Roman" w:hAnsi="Times New Roman"/>
          <w:b/>
          <w:bCs/>
          <w:color w:val="000000"/>
          <w:kern w:val="0"/>
          <w:szCs w:val="21"/>
          <w:lang w:bidi="ar-SA"/>
        </w:rPr>
        <w:t xml:space="preserve"> </w:t>
      </w:r>
      <w:r>
        <w:rPr>
          <w:rFonts w:cs="Times New Roman" w:ascii="Times New Roman" w:hAnsi="Times New Roman"/>
          <w:b/>
          <w:bCs/>
          <w:sz w:val="20"/>
          <w:szCs w:val="20"/>
        </w:rPr>
        <w:t>chickens</w:t>
      </w:r>
    </w:p>
    <w:p>
      <w:pPr>
        <w:pStyle w:val="Normal"/>
        <w:spacing w:lineRule="auto" w:line="480"/>
        <w:rPr>
          <w:rFonts w:ascii="Times New Roman" w:hAnsi="Times New Roman" w:cs="Times New Roman"/>
          <w:color w:themeColor="text1" w:val="000000"/>
          <w:spacing w:val="4"/>
          <w:kern w:val="0"/>
          <w:sz w:val="20"/>
          <w:szCs w:val="20"/>
        </w:rPr>
      </w:pPr>
      <w:bookmarkStart w:id="4" w:name="_Hlk164504649"/>
      <w:r>
        <w:rPr>
          <w:rFonts w:cs="Times New Roman" w:ascii="Times New Roman" w:hAnsi="Times New Roman"/>
          <w:color w:themeColor="text1" w:val="000000"/>
          <w:spacing w:val="4"/>
          <w:kern w:val="0"/>
          <w:sz w:val="20"/>
          <w:szCs w:val="20"/>
        </w:rPr>
        <w:t>Zhaoyang Wang</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sz w:val="20"/>
          <w:szCs w:val="22"/>
          <w:vertAlign w:val="superscript"/>
        </w:rPr>
        <w:t>#</w:t>
      </w:r>
      <w:r>
        <w:rPr>
          <w:rFonts w:cs="Times New Roman" w:ascii="Times New Roman" w:hAnsi="Times New Roman"/>
          <w:color w:themeColor="text1" w:val="000000"/>
          <w:spacing w:val="4"/>
          <w:kern w:val="0"/>
          <w:sz w:val="20"/>
          <w:szCs w:val="20"/>
        </w:rPr>
        <w:t>, Chongyu Tian</w:t>
      </w:r>
      <w:r>
        <w:rPr>
          <w:rFonts w:cs="Times New Roman" w:ascii="Times New Roman" w:hAnsi="Times New Roman"/>
          <w:color w:themeColor="text1" w:val="000000"/>
          <w:spacing w:val="4"/>
          <w:kern w:val="0"/>
          <w:sz w:val="20"/>
          <w:szCs w:val="20"/>
          <w:vertAlign w:val="superscript"/>
        </w:rPr>
        <w:t>4,</w:t>
      </w:r>
      <w:r>
        <w:rPr>
          <w:rFonts w:cs="Times New Roman" w:ascii="Times New Roman" w:hAnsi="Times New Roman"/>
          <w:sz w:val="20"/>
          <w:szCs w:val="22"/>
          <w:vertAlign w:val="superscript"/>
        </w:rPr>
        <w:t>#</w:t>
      </w:r>
      <w:r>
        <w:rPr>
          <w:rFonts w:cs="Times New Roman" w:ascii="Times New Roman" w:hAnsi="Times New Roman"/>
          <w:color w:themeColor="text1" w:val="000000"/>
          <w:spacing w:val="4"/>
          <w:kern w:val="0"/>
          <w:sz w:val="20"/>
          <w:szCs w:val="20"/>
        </w:rPr>
        <w:t xml:space="preserve">, </w:t>
      </w:r>
      <w:r>
        <w:rPr>
          <w:rFonts w:cs="Times New Roman" w:ascii="Times New Roman" w:hAnsi="Times New Roman"/>
          <w:color w:themeColor="text1" w:val="000000"/>
          <w:sz w:val="20"/>
          <w:szCs w:val="20"/>
        </w:rPr>
        <w:t>Jiahang Zhu</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sz w:val="20"/>
          <w:szCs w:val="22"/>
          <w:vertAlign w:val="superscript"/>
        </w:rPr>
        <w:t>#</w:t>
      </w:r>
      <w:r>
        <w:rPr>
          <w:rFonts w:cs="Times New Roman" w:ascii="Times New Roman" w:hAnsi="Times New Roman"/>
          <w:color w:themeColor="text1" w:val="000000"/>
          <w:spacing w:val="4"/>
          <w:kern w:val="0"/>
          <w:sz w:val="20"/>
          <w:szCs w:val="20"/>
        </w:rPr>
        <w:t xml:space="preserve">, </w:t>
      </w:r>
      <w:r>
        <w:rPr>
          <w:rFonts w:cs="Times New Roman" w:ascii="Times New Roman" w:hAnsi="Times New Roman"/>
          <w:color w:themeColor="text1" w:val="000000"/>
          <w:sz w:val="20"/>
          <w:szCs w:val="20"/>
        </w:rPr>
        <w:t>Shiqian Wang</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color w:themeColor="text1" w:val="000000"/>
          <w:spacing w:val="4"/>
          <w:kern w:val="0"/>
          <w:sz w:val="20"/>
          <w:szCs w:val="20"/>
        </w:rPr>
        <w:t xml:space="preserve">, </w:t>
      </w:r>
      <w:r>
        <w:rPr>
          <w:rFonts w:cs="Times New Roman" w:ascii="Times New Roman" w:hAnsi="Times New Roman"/>
          <w:color w:themeColor="text1" w:val="000000"/>
          <w:sz w:val="20"/>
          <w:szCs w:val="20"/>
        </w:rPr>
        <w:t>Xiang Ao</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color w:themeColor="text1" w:val="000000"/>
          <w:spacing w:val="4"/>
          <w:kern w:val="0"/>
          <w:sz w:val="20"/>
          <w:szCs w:val="20"/>
        </w:rPr>
        <w:t>, Yanjuan He</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color w:themeColor="text1" w:val="000000"/>
          <w:spacing w:val="4"/>
          <w:kern w:val="0"/>
          <w:sz w:val="20"/>
          <w:szCs w:val="20"/>
        </w:rPr>
        <w:t xml:space="preserve">, </w:t>
      </w:r>
      <w:r>
        <w:rPr>
          <w:rFonts w:cs="Times New Roman" w:ascii="Times New Roman" w:hAnsi="Times New Roman"/>
          <w:color w:themeColor="text1" w:val="000000"/>
          <w:sz w:val="20"/>
          <w:szCs w:val="20"/>
        </w:rPr>
        <w:t>Huixin Chen</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color w:themeColor="text1" w:val="000000"/>
          <w:spacing w:val="4"/>
          <w:kern w:val="0"/>
          <w:sz w:val="20"/>
          <w:szCs w:val="20"/>
        </w:rPr>
        <w:t>, Xiuying Liao</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color w:themeColor="text1" w:val="000000"/>
          <w:spacing w:val="4"/>
          <w:kern w:val="0"/>
          <w:sz w:val="20"/>
          <w:szCs w:val="20"/>
        </w:rPr>
        <w:t>, Deming Kong</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color w:val="000000"/>
          <w:spacing w:val="4"/>
          <w:kern w:val="0"/>
          <w:sz w:val="20"/>
          <w:szCs w:val="20"/>
        </w:rPr>
        <w:t xml:space="preserve">, </w:t>
      </w:r>
      <w:r>
        <w:rPr>
          <w:rFonts w:eastAsia="宋体" w:ascii="Times New Roman" w:hAnsi="Times New Roman"/>
          <w:color w:val="000000"/>
          <w:kern w:val="0"/>
          <w:lang w:bidi="ar-SA"/>
        </w:rPr>
        <w:t>Yongfei Zhou</w:t>
      </w:r>
      <w:r>
        <w:rPr>
          <w:rFonts w:eastAsia="宋体" w:ascii="Times New Roman" w:hAnsi="Times New Roman"/>
          <w:color w:val="000000"/>
          <w:kern w:val="0"/>
          <w:vertAlign w:val="superscript"/>
          <w:lang w:bidi="ar-SA"/>
        </w:rPr>
        <w:t>5</w:t>
      </w:r>
      <w:r>
        <w:rPr>
          <w:rFonts w:eastAsia="宋体" w:ascii="Times New Roman" w:hAnsi="Times New Roman"/>
          <w:color w:val="000000"/>
          <w:kern w:val="0"/>
          <w:lang w:bidi="ar-SA"/>
        </w:rPr>
        <w:t>,</w:t>
      </w:r>
      <w:r>
        <w:rPr>
          <w:rFonts w:eastAsia="等线" w:ascii="Times New Roman" w:hAnsi="Times New Roman"/>
          <w:color w:val="000000"/>
          <w:spacing w:val="4"/>
          <w:kern w:val="0"/>
        </w:rPr>
        <w:t xml:space="preserve"> </w:t>
      </w:r>
      <w:r>
        <w:rPr>
          <w:rFonts w:cs="Times New Roman" w:ascii="Times New Roman" w:hAnsi="Times New Roman"/>
          <w:color w:val="000000"/>
          <w:spacing w:val="4"/>
          <w:kern w:val="0"/>
          <w:sz w:val="20"/>
          <w:szCs w:val="20"/>
        </w:rPr>
        <w:t>W</w:t>
      </w:r>
      <w:r>
        <w:rPr>
          <w:rFonts w:cs="Times New Roman" w:ascii="Times New Roman" w:hAnsi="Times New Roman"/>
          <w:color w:themeColor="text1" w:val="000000"/>
          <w:spacing w:val="4"/>
          <w:kern w:val="0"/>
          <w:sz w:val="20"/>
          <w:szCs w:val="20"/>
        </w:rPr>
        <w:t>anbo Tai</w:t>
      </w:r>
      <w:r>
        <w:rPr>
          <w:rFonts w:cs="Times New Roman" w:ascii="Times New Roman" w:hAnsi="Times New Roman"/>
          <w:color w:themeColor="text1" w:val="000000"/>
          <w:spacing w:val="4"/>
          <w:kern w:val="0"/>
          <w:sz w:val="20"/>
          <w:szCs w:val="20"/>
          <w:vertAlign w:val="superscript"/>
        </w:rPr>
        <w:t>4</w:t>
      </w:r>
      <w:r>
        <w:rPr>
          <w:rFonts w:cs="Times New Roman" w:ascii="Times New Roman" w:hAnsi="Times New Roman"/>
          <w:color w:themeColor="text1" w:val="000000"/>
          <w:spacing w:val="4"/>
          <w:kern w:val="0"/>
          <w:sz w:val="20"/>
          <w:szCs w:val="20"/>
        </w:rPr>
        <w:t>*, Ming Liao</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color w:themeColor="text1" w:val="000000"/>
          <w:spacing w:val="4"/>
          <w:kern w:val="0"/>
          <w:sz w:val="20"/>
          <w:szCs w:val="20"/>
        </w:rPr>
        <w:t>*, and Huiying Fan</w:t>
      </w:r>
      <w:r>
        <w:rPr>
          <w:rFonts w:cs="Times New Roman" w:ascii="Times New Roman" w:hAnsi="Times New Roman"/>
          <w:color w:themeColor="text1" w:val="000000"/>
          <w:spacing w:val="4"/>
          <w:kern w:val="0"/>
          <w:sz w:val="20"/>
          <w:szCs w:val="20"/>
          <w:vertAlign w:val="superscript"/>
        </w:rPr>
        <w:t>1,2,3</w:t>
      </w:r>
      <w:r>
        <w:rPr>
          <w:rFonts w:cs="Times New Roman" w:ascii="Times New Roman" w:hAnsi="Times New Roman"/>
          <w:color w:themeColor="text1" w:val="000000"/>
          <w:spacing w:val="4"/>
          <w:kern w:val="0"/>
          <w:sz w:val="20"/>
          <w:szCs w:val="20"/>
        </w:rPr>
        <w:t>*</w:t>
      </w:r>
    </w:p>
    <w:p>
      <w:pPr>
        <w:pStyle w:val="Normal"/>
        <w:spacing w:lineRule="auto" w:line="480"/>
        <w:rPr>
          <w:rFonts w:ascii="Times New Roman" w:hAnsi="Times New Roman" w:cs="Times New Roman"/>
          <w:sz w:val="20"/>
          <w:szCs w:val="20"/>
        </w:rPr>
      </w:pPr>
      <w:r>
        <w:rPr>
          <w:rFonts w:cs="Times New Roman" w:ascii="Times New Roman" w:hAnsi="Times New Roman"/>
          <w:color w:themeColor="text1" w:val="000000"/>
          <w:spacing w:val="4"/>
          <w:kern w:val="0"/>
          <w:sz w:val="20"/>
          <w:szCs w:val="20"/>
          <w:vertAlign w:val="superscript"/>
        </w:rPr>
        <w:t>1</w:t>
      </w:r>
      <w:r>
        <w:rPr>
          <w:rFonts w:cs="Times New Roman" w:ascii="Times New Roman" w:hAnsi="Times New Roman"/>
          <w:color w:themeColor="text1" w:val="000000"/>
          <w:spacing w:val="4"/>
          <w:kern w:val="0"/>
          <w:sz w:val="20"/>
          <w:szCs w:val="20"/>
        </w:rPr>
        <w:t xml:space="preserve">College of Veterinary Medicine, </w:t>
      </w:r>
      <w:bookmarkStart w:id="5" w:name="OLE_LINK121"/>
      <w:bookmarkStart w:id="6" w:name="OLE_LINK116"/>
      <w:bookmarkStart w:id="7" w:name="OLE_LINK115"/>
      <w:r>
        <w:rPr>
          <w:rFonts w:cs="Times New Roman" w:ascii="Times New Roman" w:hAnsi="Times New Roman"/>
          <w:color w:themeColor="text1" w:val="000000"/>
          <w:spacing w:val="4"/>
          <w:kern w:val="0"/>
          <w:sz w:val="20"/>
          <w:szCs w:val="20"/>
        </w:rPr>
        <w:t>South China Agricultural University</w:t>
      </w:r>
      <w:bookmarkEnd w:id="5"/>
      <w:bookmarkEnd w:id="6"/>
      <w:bookmarkEnd w:id="7"/>
      <w:r>
        <w:rPr>
          <w:rFonts w:cs="Times New Roman" w:ascii="Times New Roman" w:hAnsi="Times New Roman"/>
          <w:color w:themeColor="text1" w:val="000000"/>
          <w:spacing w:val="4"/>
          <w:kern w:val="0"/>
          <w:sz w:val="20"/>
          <w:szCs w:val="20"/>
        </w:rPr>
        <w:t>, Guangzhou, 510642, China</w:t>
      </w:r>
    </w:p>
    <w:p>
      <w:pPr>
        <w:pStyle w:val="Normal"/>
        <w:widowControl/>
        <w:spacing w:lineRule="auto" w:line="480"/>
        <w:ind w:right="-153"/>
        <w:rPr>
          <w:rFonts w:ascii="Times New Roman" w:hAnsi="Times New Roman" w:cs="Times New Roman"/>
          <w:color w:themeColor="text1" w:val="000000"/>
          <w:spacing w:val="4"/>
          <w:kern w:val="0"/>
          <w:sz w:val="20"/>
          <w:szCs w:val="20"/>
        </w:rPr>
      </w:pPr>
      <w:r>
        <w:rPr>
          <w:rFonts w:cs="Times New Roman" w:ascii="Times New Roman" w:hAnsi="Times New Roman"/>
          <w:color w:themeColor="text1" w:val="000000"/>
          <w:spacing w:val="4"/>
          <w:kern w:val="0"/>
          <w:sz w:val="20"/>
          <w:szCs w:val="20"/>
          <w:vertAlign w:val="superscript"/>
        </w:rPr>
        <w:t>2</w:t>
      </w:r>
      <w:r>
        <w:rPr>
          <w:rFonts w:cs="Times New Roman" w:ascii="Times New Roman" w:hAnsi="Times New Roman"/>
          <w:color w:themeColor="text1" w:val="000000"/>
          <w:spacing w:val="4"/>
          <w:kern w:val="0"/>
          <w:sz w:val="20"/>
          <w:szCs w:val="20"/>
        </w:rPr>
        <w:t>Key Laboratory of Zoonosis Prevention and Control of Guangdong Province, Guangzhou, 510642, China</w:t>
      </w:r>
    </w:p>
    <w:p>
      <w:pPr>
        <w:pStyle w:val="Normal"/>
        <w:widowControl/>
        <w:spacing w:lineRule="auto" w:line="480"/>
        <w:ind w:right="-153"/>
        <w:rPr>
          <w:rFonts w:ascii="Times New Roman" w:hAnsi="Times New Roman" w:cs="Times New Roman"/>
          <w:color w:themeColor="text1" w:val="000000"/>
          <w:spacing w:val="4"/>
          <w:kern w:val="0"/>
          <w:sz w:val="20"/>
          <w:szCs w:val="20"/>
        </w:rPr>
      </w:pPr>
      <w:r>
        <w:rPr>
          <w:rFonts w:cs="Times New Roman" w:ascii="Times New Roman" w:hAnsi="Times New Roman"/>
          <w:color w:themeColor="text1" w:val="000000"/>
          <w:spacing w:val="4"/>
          <w:kern w:val="0"/>
          <w:sz w:val="20"/>
          <w:szCs w:val="20"/>
          <w:vertAlign w:val="superscript"/>
        </w:rPr>
        <w:t>3</w:t>
      </w:r>
      <w:r>
        <w:rPr>
          <w:rFonts w:cs="Times New Roman" w:ascii="Times New Roman" w:hAnsi="Times New Roman"/>
          <w:color w:themeColor="text1" w:val="000000"/>
          <w:spacing w:val="4"/>
          <w:kern w:val="0"/>
          <w:sz w:val="20"/>
          <w:szCs w:val="20"/>
        </w:rPr>
        <w:t>Key Laboratory of Veterinary Vaccine Innovation of the Ministry of Agriculture and Rural Affairs, Guangzhou, 510642, China</w:t>
      </w:r>
    </w:p>
    <w:p>
      <w:pPr>
        <w:pStyle w:val="Normal"/>
        <w:spacing w:lineRule="auto" w:line="480"/>
        <w:rPr>
          <w:rFonts w:ascii="Times New Roman" w:hAnsi="Times New Roman" w:eastAsia="宋体" w:cs="Times New Roman"/>
          <w:sz w:val="20"/>
          <w:szCs w:val="20"/>
        </w:rPr>
      </w:pPr>
      <w:r>
        <w:rPr>
          <w:rFonts w:eastAsia="宋体" w:cs="Times New Roman" w:ascii="Times New Roman" w:hAnsi="Times New Roman"/>
          <w:sz w:val="20"/>
          <w:szCs w:val="20"/>
          <w:vertAlign w:val="superscript"/>
        </w:rPr>
        <w:t>4</w:t>
      </w:r>
      <w:r>
        <w:rPr>
          <w:rFonts w:ascii="Times New Roman" w:hAnsi="Times New Roman"/>
          <w:sz w:val="20"/>
          <w:szCs w:val="20"/>
        </w:rPr>
        <w:t>Institute of Infectious Diseases, Shenzhen Bay Laboratory, Shenzhen, 518132, China.</w:t>
      </w:r>
    </w:p>
    <w:p>
      <w:pPr>
        <w:pStyle w:val="Normal"/>
        <w:spacing w:lineRule="auto" w:line="480"/>
        <w:rPr>
          <w:rFonts w:ascii="Times New Roman" w:hAnsi="Times New Roman" w:eastAsia="宋体" w:cs="Times New Roman"/>
          <w:color w:themeColor="text1" w:val="000000"/>
          <w:sz w:val="20"/>
          <w:szCs w:val="20"/>
        </w:rPr>
      </w:pPr>
      <w:r>
        <w:rPr>
          <w:rFonts w:eastAsia="宋体" w:cs="Times New Roman" w:ascii="Times New Roman" w:hAnsi="Times New Roman"/>
          <w:sz w:val="20"/>
          <w:szCs w:val="20"/>
          <w:vertAlign w:val="superscript"/>
        </w:rPr>
        <w:t>5</w:t>
      </w:r>
      <w:r>
        <w:rPr>
          <w:rFonts w:eastAsia="宋体" w:cs="Times New Roman" w:ascii="Times New Roman" w:hAnsi="Times New Roman"/>
          <w:color w:themeColor="text1" w:val="000000"/>
          <w:sz w:val="20"/>
          <w:szCs w:val="20"/>
        </w:rPr>
        <w:t>Institute of Hemu Biotechnology, Beijing Hemu Biotechnology Co., Ltd, Beijing, 102206, China.</w:t>
      </w:r>
    </w:p>
    <w:p>
      <w:pPr>
        <w:pStyle w:val="Normal"/>
        <w:spacing w:lineRule="auto" w:line="480"/>
        <w:rPr>
          <w:rFonts w:ascii="Times New Roman" w:hAnsi="Times New Roman" w:cs="Times New Roman"/>
          <w:color w:themeColor="text1" w:val="000000"/>
          <w:spacing w:val="4"/>
          <w:kern w:val="0"/>
          <w:sz w:val="20"/>
          <w:szCs w:val="20"/>
        </w:rPr>
      </w:pPr>
      <w:r>
        <w:rPr>
          <w:rFonts w:cs="Times New Roman" w:ascii="Times New Roman" w:hAnsi="Times New Roman"/>
          <w:color w:themeColor="text1" w:val="000000"/>
          <w:spacing w:val="4"/>
          <w:kern w:val="0"/>
          <w:sz w:val="20"/>
          <w:szCs w:val="20"/>
        </w:rPr>
        <w:t xml:space="preserve">*Corresponding author: </w:t>
      </w:r>
    </w:p>
    <w:p>
      <w:pPr>
        <w:pStyle w:val="Normal"/>
        <w:spacing w:lineRule="auto" w:line="480"/>
        <w:rPr>
          <w:rStyle w:val="Hyperlink"/>
          <w:rFonts w:ascii="Times New Roman" w:hAnsi="Times New Roman" w:cs="Times New Roman"/>
          <w:color w:themeColor="text1" w:val="000000"/>
          <w:spacing w:val="4"/>
          <w:kern w:val="0"/>
          <w:sz w:val="20"/>
          <w:szCs w:val="20"/>
        </w:rPr>
      </w:pPr>
      <w:r>
        <w:rPr>
          <w:rFonts w:cs="Times New Roman" w:ascii="Times New Roman" w:hAnsi="Times New Roman"/>
          <w:color w:themeColor="text1" w:val="000000"/>
          <w:spacing w:val="4"/>
          <w:kern w:val="0"/>
          <w:sz w:val="20"/>
          <w:szCs w:val="20"/>
        </w:rPr>
        <w:t xml:space="preserve">Huiying Fan, College of Veterinary Medicine, South China Agricultural University, Guangzhou 510642, China. Email: </w:t>
      </w:r>
      <w:hyperlink r:id="rId2">
        <w:bookmarkStart w:id="8" w:name="OLE_LINK52"/>
        <w:bookmarkStart w:id="9" w:name="OLE_LINK51"/>
        <w:r>
          <w:rPr>
            <w:rStyle w:val="Hyperlink"/>
            <w:rFonts w:cs="Times New Roman" w:ascii="Times New Roman" w:hAnsi="Times New Roman"/>
            <w:color w:themeColor="text1" w:val="000000"/>
            <w:spacing w:val="4"/>
            <w:kern w:val="0"/>
            <w:sz w:val="20"/>
            <w:szCs w:val="20"/>
          </w:rPr>
          <w:t>fanhy@scau.edu.cn</w:t>
        </w:r>
      </w:hyperlink>
      <w:bookmarkEnd w:id="8"/>
      <w:bookmarkEnd w:id="9"/>
    </w:p>
    <w:p>
      <w:pPr>
        <w:pStyle w:val="Normal"/>
        <w:spacing w:lineRule="auto" w:line="480"/>
        <w:rPr>
          <w:rFonts w:ascii="Times New Roman" w:hAnsi="Times New Roman" w:cs="Times New Roman"/>
          <w:color w:themeColor="text1" w:val="000000"/>
          <w:spacing w:val="4"/>
          <w:kern w:val="0"/>
          <w:sz w:val="20"/>
          <w:szCs w:val="20"/>
        </w:rPr>
      </w:pPr>
      <w:r>
        <w:rPr>
          <w:rFonts w:cs="Times New Roman" w:ascii="Times New Roman" w:hAnsi="Times New Roman"/>
          <w:color w:themeColor="text1" w:val="000000"/>
          <w:spacing w:val="4"/>
          <w:kern w:val="0"/>
          <w:sz w:val="20"/>
          <w:szCs w:val="20"/>
        </w:rPr>
        <w:t xml:space="preserve">Ming Liao, College of Veterinary Medicine, South China Agricultural University, Guangzhou 510642, China. E-mail: </w:t>
      </w:r>
      <w:hyperlink r:id="rId3">
        <w:r>
          <w:rPr>
            <w:rStyle w:val="Style9"/>
            <w:rFonts w:cs="Times New Roman" w:ascii="Times New Roman" w:hAnsi="Times New Roman"/>
            <w:color w:themeColor="text1" w:val="000000"/>
            <w:spacing w:val="4"/>
            <w:kern w:val="0"/>
            <w:sz w:val="20"/>
            <w:szCs w:val="20"/>
          </w:rPr>
          <w:t>mliao1968@163.com</w:t>
        </w:r>
      </w:hyperlink>
    </w:p>
    <w:p>
      <w:pPr>
        <w:pStyle w:val="Normal"/>
        <w:spacing w:lineRule="auto" w:line="480"/>
        <w:rPr>
          <w:rFonts w:ascii="Times New Roman" w:hAnsi="Times New Roman" w:cs="Times New Roman"/>
          <w:color w:themeColor="text1" w:val="000000"/>
          <w:spacing w:val="4"/>
          <w:kern w:val="0"/>
          <w:sz w:val="20"/>
          <w:szCs w:val="20"/>
        </w:rPr>
      </w:pPr>
      <w:r>
        <w:rPr>
          <w:rFonts w:cs="Times New Roman" w:ascii="Times New Roman" w:hAnsi="Times New Roman"/>
          <w:color w:themeColor="text1" w:val="000000"/>
          <w:spacing w:val="4"/>
          <w:kern w:val="0"/>
          <w:sz w:val="20"/>
          <w:szCs w:val="20"/>
        </w:rPr>
        <w:t xml:space="preserve">Wanbo Tai, </w:t>
      </w:r>
      <w:r>
        <w:rPr>
          <w:rFonts w:cs="Times New Roman" w:ascii="Times New Roman" w:hAnsi="Times New Roman"/>
          <w:sz w:val="20"/>
          <w:szCs w:val="20"/>
        </w:rPr>
        <w:t>Institute of Infectious Diseases, Shenzhen Bay Laboratory, Shenzhen, 518132, China.</w:t>
      </w:r>
      <w:r>
        <w:rPr>
          <w:rFonts w:eastAsia="宋体" w:cs="Times New Roman" w:ascii="Times New Roman" w:hAnsi="Times New Roman"/>
          <w:color w:themeColor="text1" w:val="000000"/>
          <w:sz w:val="20"/>
          <w:szCs w:val="20"/>
        </w:rPr>
        <w:t xml:space="preserve"> </w:t>
      </w:r>
      <w:r>
        <w:rPr>
          <w:rFonts w:cs="Times New Roman" w:ascii="Times New Roman" w:hAnsi="Times New Roman"/>
          <w:color w:themeColor="text1" w:val="000000"/>
          <w:spacing w:val="4"/>
          <w:kern w:val="0"/>
          <w:sz w:val="20"/>
          <w:szCs w:val="20"/>
        </w:rPr>
        <w:t xml:space="preserve">E-mail: </w:t>
      </w:r>
      <w:hyperlink r:id="rId4">
        <w:r>
          <w:rPr>
            <w:rStyle w:val="Hyperlink"/>
            <w:rFonts w:cs="Times New Roman" w:ascii="Times New Roman" w:hAnsi="Times New Roman"/>
            <w:spacing w:val="4"/>
            <w:kern w:val="0"/>
            <w:sz w:val="20"/>
            <w:szCs w:val="20"/>
          </w:rPr>
          <w:t>taiwb@szbl.ac.cn</w:t>
        </w:r>
      </w:hyperlink>
    </w:p>
    <w:p>
      <w:pPr>
        <w:pStyle w:val="Normal"/>
        <w:widowControl/>
        <w:spacing w:lineRule="auto" w:line="480"/>
        <w:ind w:right="-153"/>
        <w:rPr>
          <w:rFonts w:ascii="Times New Roman" w:hAnsi="Times New Roman" w:cs="Times New Roman"/>
          <w:color w:themeColor="text1" w:val="000000"/>
          <w:spacing w:val="4"/>
          <w:kern w:val="0"/>
          <w:szCs w:val="21"/>
        </w:rPr>
      </w:pPr>
      <w:r>
        <w:rPr>
          <w:rFonts w:cs="Times New Roman" w:ascii="Times New Roman" w:hAnsi="Times New Roman"/>
          <w:color w:themeColor="text1" w:val="000000"/>
          <w:spacing w:val="4"/>
          <w:kern w:val="0"/>
          <w:szCs w:val="21"/>
        </w:rPr>
      </w:r>
    </w:p>
    <w:p>
      <w:pPr>
        <w:pStyle w:val="Normal"/>
        <w:spacing w:lineRule="auto" w:line="480"/>
        <w:rPr>
          <w:rFonts w:ascii="Times New Roman" w:hAnsi="Times New Roman" w:eastAsia="宋体" w:cs="Times New Roman"/>
          <w:color w:themeColor="text1" w:val="000000"/>
          <w:sz w:val="20"/>
          <w:szCs w:val="20"/>
        </w:rPr>
      </w:pPr>
      <w:bookmarkStart w:id="10" w:name="OLE_LINK41"/>
      <w:bookmarkStart w:id="11" w:name="OLE_LINK42"/>
      <w:bookmarkStart w:id="12" w:name="_Hlk164504649"/>
      <w:r>
        <w:rPr>
          <w:rFonts w:eastAsia="宋体" w:cs="Times New Roman" w:ascii="Times New Roman" w:hAnsi="Times New Roman"/>
          <w:color w:themeColor="text1" w:val="000000"/>
          <w:sz w:val="20"/>
          <w:szCs w:val="20"/>
        </w:rPr>
        <w:t># These authors contributed equally to this work. Author order was determined by friendly negotiation.</w:t>
      </w:r>
      <w:bookmarkEnd w:id="10"/>
      <w:bookmarkEnd w:id="11"/>
      <w:bookmarkEnd w:id="12"/>
    </w:p>
    <w:p>
      <w:pPr>
        <w:pStyle w:val="Normal"/>
        <w:spacing w:lineRule="auto" w:line="480"/>
        <w:rPr>
          <w:rFonts w:ascii="Times New Roman" w:hAnsi="Times New Roman" w:cs="Times New Roman"/>
          <w:color w:val="222222"/>
          <w:sz w:val="20"/>
          <w:szCs w:val="20"/>
          <w:shd w:fill="FFFFFF" w:val="clear"/>
        </w:rPr>
      </w:pPr>
      <w:r>
        <w:rPr>
          <w:rFonts w:cs="Times New Roman" w:ascii="Times New Roman" w:hAnsi="Times New Roman"/>
          <w:b/>
          <w:bCs/>
          <w:sz w:val="20"/>
          <w:szCs w:val="20"/>
        </w:rPr>
        <w:t xml:space="preserve">Supplementary Table 1. </w:t>
      </w:r>
      <w:r>
        <w:rPr>
          <w:rFonts w:cs="Times New Roman" w:ascii="Times New Roman" w:hAnsi="Times New Roman"/>
          <w:sz w:val="20"/>
          <w:szCs w:val="20"/>
        </w:rPr>
        <w:t>Sequences of primers used for qPCR.</w:t>
      </w:r>
    </w:p>
    <w:tbl>
      <w:tblPr>
        <w:tblStyle w:val="a3"/>
        <w:tblW w:w="8300"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1703"/>
        <w:gridCol w:w="3843"/>
        <w:gridCol w:w="1153"/>
        <w:gridCol w:w="1600"/>
      </w:tblGrid>
      <w:tr>
        <w:trPr/>
        <w:tc>
          <w:tcPr>
            <w:tcW w:w="1703" w:type="dxa"/>
            <w:tcBorders>
              <w:top w:val="single" w:sz="12" w:space="0" w:color="000000"/>
              <w:left w:val="nil"/>
              <w:bottom w:val="single" w:sz="8" w:space="0" w:color="000000"/>
              <w:right w:val="nil"/>
            </w:tcBorders>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Gene</w:t>
            </w:r>
          </w:p>
        </w:tc>
        <w:tc>
          <w:tcPr>
            <w:tcW w:w="3843" w:type="dxa"/>
            <w:tcBorders>
              <w:top w:val="single" w:sz="12" w:space="0" w:color="000000"/>
              <w:left w:val="nil"/>
              <w:bottom w:val="single" w:sz="8" w:space="0" w:color="000000"/>
              <w:right w:val="nil"/>
            </w:tcBorders>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Primer sequences (5′-3′)</w:t>
            </w:r>
          </w:p>
        </w:tc>
        <w:tc>
          <w:tcPr>
            <w:tcW w:w="1153" w:type="dxa"/>
            <w:tcBorders>
              <w:top w:val="single" w:sz="12" w:space="0" w:color="000000"/>
              <w:left w:val="nil"/>
              <w:bottom w:val="single" w:sz="8" w:space="0" w:color="000000"/>
              <w:right w:val="nil"/>
            </w:tcBorders>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Product size (bp)</w:t>
            </w:r>
          </w:p>
        </w:tc>
        <w:tc>
          <w:tcPr>
            <w:tcW w:w="1600" w:type="dxa"/>
            <w:tcBorders>
              <w:top w:val="single" w:sz="12" w:space="0" w:color="000000"/>
              <w:left w:val="nil"/>
              <w:bottom w:val="single" w:sz="8" w:space="0" w:color="000000"/>
              <w:right w:val="nil"/>
            </w:tcBorders>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Accession no.</w:t>
            </w:r>
          </w:p>
        </w:tc>
      </w:tr>
      <w:tr>
        <w:trPr/>
        <w:tc>
          <w:tcPr>
            <w:tcW w:w="1703" w:type="dxa"/>
            <w:vMerge w:val="restart"/>
            <w:tcBorders>
              <w:top w:val="single" w:sz="8" w:space="0" w:color="000000"/>
              <w:left w:val="nil"/>
              <w:bottom w:val="nil"/>
              <w:right w:val="nil"/>
            </w:tcBorders>
            <w:vAlign w:val="center"/>
          </w:tcPr>
          <w:p>
            <w:pPr>
              <w:pStyle w:val="Normal"/>
              <w:spacing w:lineRule="auto" w:line="480" w:before="0" w:after="0"/>
              <w:rPr>
                <w:rFonts w:ascii="Times New Roman" w:hAnsi="Times New Roman" w:eastAsia="宋体" w:cs="Times New Roman"/>
                <w:color w:themeColor="text1" w:val="000000"/>
                <w:sz w:val="20"/>
                <w:szCs w:val="20"/>
              </w:rPr>
            </w:pPr>
            <w:r>
              <w:rPr>
                <w:rFonts w:eastAsia="宋体" w:cs="Times New Roman" w:ascii="Times New Roman" w:hAnsi="Times New Roman"/>
                <w:sz w:val="20"/>
                <w:szCs w:val="20"/>
                <w:lang w:val="en-US" w:eastAsia="zh-CN" w:bidi="ar-SA"/>
              </w:rPr>
              <w:t>IFN-γ (mouse)</w:t>
            </w:r>
          </w:p>
        </w:tc>
        <w:tc>
          <w:tcPr>
            <w:tcW w:w="3843" w:type="dxa"/>
            <w:tcBorders>
              <w:top w:val="single" w:sz="8" w:space="0" w:color="000000"/>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w:t>
            </w:r>
            <w:r>
              <w:rPr>
                <w:rFonts w:eastAsia="宋体" w:cs="Times New Roman" w:ascii="Times New Roman" w:hAnsi="Times New Roman"/>
                <w:sz w:val="20"/>
                <w:szCs w:val="20"/>
                <w:lang w:val="en-US" w:eastAsia="zh-CN" w:bidi="ar-SA"/>
              </w:rPr>
              <w:t xml:space="preserve"> GTGGCATAGATGTGGAAGA</w:t>
            </w:r>
          </w:p>
        </w:tc>
        <w:tc>
          <w:tcPr>
            <w:tcW w:w="1153" w:type="dxa"/>
            <w:vMerge w:val="restart"/>
            <w:tcBorders>
              <w:top w:val="single" w:sz="8" w:space="0" w:color="000000"/>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sz w:val="20"/>
                <w:szCs w:val="20"/>
                <w:lang w:val="en-US" w:eastAsia="zh-CN" w:bidi="ar-SA"/>
              </w:rPr>
              <w:t>173</w:t>
            </w:r>
          </w:p>
        </w:tc>
        <w:tc>
          <w:tcPr>
            <w:tcW w:w="1600" w:type="dxa"/>
            <w:vMerge w:val="restart"/>
            <w:tcBorders>
              <w:top w:val="single" w:sz="8" w:space="0" w:color="000000"/>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eastAsia="宋体" w:cs="Times New Roman" w:ascii="Times New Roman" w:hAnsi="Times New Roman"/>
                <w:sz w:val="20"/>
                <w:szCs w:val="20"/>
                <w:lang w:val="en-US" w:eastAsia="zh-CN" w:bidi="ar-SA"/>
              </w:rPr>
              <w:t>NM_008337.4</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w:t>
            </w:r>
            <w:r>
              <w:rPr>
                <w:rFonts w:eastAsia="宋体" w:cs="Times New Roman" w:ascii="Times New Roman" w:hAnsi="Times New Roman"/>
                <w:sz w:val="20"/>
                <w:szCs w:val="20"/>
                <w:lang w:val="en-US" w:eastAsia="zh-CN" w:bidi="ar-SA"/>
              </w:rPr>
              <w:t xml:space="preserve"> GTGTGATTCAATGACGCTTA</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sz w:val="20"/>
                <w:szCs w:val="20"/>
                <w:lang w:val="en-US" w:eastAsia="zh-CN" w:bidi="ar-SA"/>
              </w:rPr>
              <w:t>TNF-α (mouse)</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w:t>
            </w:r>
            <w:r>
              <w:rPr>
                <w:rFonts w:eastAsia="宋体" w:cs="Times New Roman" w:ascii="Times New Roman" w:hAnsi="Times New Roman"/>
                <w:sz w:val="20"/>
                <w:szCs w:val="20"/>
                <w:lang w:val="en-US" w:eastAsia="zh-CN" w:bidi="ar-SA"/>
              </w:rPr>
              <w:t xml:space="preserve"> CTCATGCACCACCATCAAGG</w:t>
            </w:r>
          </w:p>
        </w:tc>
        <w:tc>
          <w:tcPr>
            <w:tcW w:w="115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sz w:val="20"/>
                <w:szCs w:val="20"/>
                <w:lang w:val="en-US" w:eastAsia="zh-CN" w:bidi="ar-SA"/>
              </w:rPr>
              <w:t>96</w:t>
            </w:r>
          </w:p>
        </w:tc>
        <w:tc>
          <w:tcPr>
            <w:tcW w:w="1600"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eastAsia="宋体" w:cs="Times New Roman" w:ascii="Times New Roman" w:hAnsi="Times New Roman"/>
                <w:sz w:val="20"/>
                <w:szCs w:val="20"/>
                <w:lang w:val="en-US" w:eastAsia="zh-CN" w:bidi="ar-SA"/>
              </w:rPr>
              <w:t>M13049.1</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w:t>
            </w:r>
            <w:r>
              <w:rPr>
                <w:rFonts w:cs="Times New Roman" w:ascii="Times New Roman" w:hAnsi="Times New Roman"/>
                <w:sz w:val="20"/>
                <w:szCs w:val="20"/>
                <w:lang w:val="en-US" w:eastAsia="zh-CN" w:bidi="ar-SA"/>
              </w:rPr>
              <w:t xml:space="preserve"> ACCTGACCACTCTCCCTTTG</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sz w:val="20"/>
                <w:szCs w:val="20"/>
                <w:lang w:val="en-US" w:eastAsia="zh-CN" w:bidi="ar-SA"/>
              </w:rPr>
              <w:t>IL-6 (mouse)</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 AGCGAGAGTCCTTCAGAG</w:t>
            </w:r>
          </w:p>
        </w:tc>
        <w:tc>
          <w:tcPr>
            <w:tcW w:w="115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157</w:t>
            </w:r>
          </w:p>
        </w:tc>
        <w:tc>
          <w:tcPr>
            <w:tcW w:w="1600"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t>DQ788722.1</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 GATGGTCTTGGTCCTTAGC</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sz w:val="20"/>
                <w:szCs w:val="20"/>
                <w:lang w:val="en-US" w:eastAsia="zh-CN" w:bidi="ar-SA"/>
              </w:rPr>
              <w:t>IL-4 (mouse)</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w:t>
            </w:r>
            <w:r>
              <w:rPr>
                <w:rFonts w:eastAsia="宋体" w:cs="Times New Roman" w:ascii="Times New Roman" w:hAnsi="Times New Roman"/>
                <w:sz w:val="20"/>
                <w:szCs w:val="20"/>
                <w:lang w:val="en-US" w:eastAsia="zh-CN" w:bidi="ar-SA"/>
              </w:rPr>
              <w:t xml:space="preserve"> GCTAGTTGTCATCCTGCTCTTC</w:t>
            </w:r>
          </w:p>
        </w:tc>
        <w:tc>
          <w:tcPr>
            <w:tcW w:w="115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sz w:val="20"/>
                <w:szCs w:val="20"/>
                <w:lang w:val="en-US" w:eastAsia="zh-CN" w:bidi="ar-SA"/>
              </w:rPr>
              <w:t>169</w:t>
            </w:r>
          </w:p>
        </w:tc>
        <w:tc>
          <w:tcPr>
            <w:tcW w:w="1600"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eastAsia="宋体" w:cs="Times New Roman" w:ascii="Times New Roman" w:hAnsi="Times New Roman"/>
                <w:sz w:val="20"/>
                <w:szCs w:val="20"/>
                <w:lang w:val="en-US" w:eastAsia="zh-CN" w:bidi="ar-SA"/>
              </w:rPr>
              <w:t>M25892.1</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w:t>
            </w:r>
            <w:r>
              <w:rPr>
                <w:rFonts w:eastAsia="宋体" w:cs="Times New Roman" w:ascii="Times New Roman" w:hAnsi="Times New Roman"/>
                <w:sz w:val="20"/>
                <w:szCs w:val="20"/>
                <w:lang w:val="en-US" w:eastAsia="zh-CN" w:bidi="ar-SA"/>
              </w:rPr>
              <w:t xml:space="preserve"> GGTGTTCTTCGTTGCTGTGA</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sz w:val="20"/>
                <w:szCs w:val="20"/>
                <w:lang w:val="en-US" w:eastAsia="zh-CN" w:bidi="ar-SA"/>
              </w:rPr>
              <w:t>IL-13 (mouse)</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w:t>
            </w:r>
            <w:r>
              <w:rPr>
                <w:rFonts w:eastAsia="宋体" w:cs="Times New Roman" w:ascii="Times New Roman" w:hAnsi="Times New Roman"/>
                <w:sz w:val="20"/>
                <w:szCs w:val="20"/>
                <w:lang w:val="en-US" w:eastAsia="zh-CN" w:bidi="ar-SA"/>
              </w:rPr>
              <w:t xml:space="preserve"> GCTCTTGCTTGCCTTGGT</w:t>
            </w:r>
          </w:p>
        </w:tc>
        <w:tc>
          <w:tcPr>
            <w:tcW w:w="115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sz w:val="20"/>
                <w:szCs w:val="20"/>
                <w:lang w:val="en-US" w:eastAsia="zh-CN" w:bidi="ar-SA"/>
              </w:rPr>
              <w:t>117</w:t>
            </w:r>
          </w:p>
        </w:tc>
        <w:tc>
          <w:tcPr>
            <w:tcW w:w="1600"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eastAsia="宋体" w:cs="Times New Roman" w:ascii="Times New Roman" w:hAnsi="Times New Roman"/>
                <w:sz w:val="20"/>
                <w:szCs w:val="20"/>
                <w:lang w:val="en-US" w:eastAsia="zh-CN" w:bidi="ar-SA"/>
              </w:rPr>
              <w:t>NM_008355.3</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w:t>
            </w:r>
            <w:r>
              <w:rPr>
                <w:rFonts w:eastAsia="宋体" w:cs="Times New Roman" w:ascii="Times New Roman" w:hAnsi="Times New Roman"/>
                <w:sz w:val="20"/>
                <w:szCs w:val="20"/>
                <w:lang w:val="en-US" w:eastAsia="zh-CN" w:bidi="ar-SA"/>
              </w:rPr>
              <w:t xml:space="preserve"> AGTCTGGTCTTGTGTGATGTT</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sz w:val="20"/>
                <w:szCs w:val="20"/>
                <w:lang w:val="en-US" w:eastAsia="zh-CN" w:bidi="ar-SA"/>
              </w:rPr>
              <w:t>GAPDH (mouse)</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w:t>
            </w:r>
            <w:r>
              <w:rPr>
                <w:rFonts w:eastAsia="宋体" w:cs="Times New Roman" w:ascii="Times New Roman" w:hAnsi="Times New Roman"/>
                <w:sz w:val="20"/>
                <w:szCs w:val="20"/>
                <w:lang w:val="en-US" w:eastAsia="zh-CN" w:bidi="ar-SA"/>
              </w:rPr>
              <w:t xml:space="preserve"> TCAAGCTCATTTCCTGGTATGAC</w:t>
            </w:r>
          </w:p>
        </w:tc>
        <w:tc>
          <w:tcPr>
            <w:tcW w:w="115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sz w:val="20"/>
                <w:szCs w:val="20"/>
                <w:lang w:val="en-US" w:eastAsia="zh-CN" w:bidi="ar-SA"/>
              </w:rPr>
              <w:t>140</w:t>
            </w:r>
          </w:p>
        </w:tc>
        <w:tc>
          <w:tcPr>
            <w:tcW w:w="1600"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sz w:val="20"/>
                <w:szCs w:val="20"/>
                <w:lang w:val="en-US" w:eastAsia="zh-CN" w:bidi="ar-SA"/>
              </w:rPr>
              <w:t>BC023196.2</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w:t>
            </w:r>
            <w:r>
              <w:rPr>
                <w:rFonts w:eastAsia="宋体" w:cs="Times New Roman" w:ascii="Times New Roman" w:hAnsi="Times New Roman"/>
                <w:sz w:val="20"/>
                <w:szCs w:val="20"/>
                <w:lang w:val="en-US" w:eastAsia="zh-CN" w:bidi="ar-SA"/>
              </w:rPr>
              <w:t xml:space="preserve"> GGATAGGGCCTCTCTTGCTC</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themeColor="text1" w:val="000000"/>
                <w:sz w:val="20"/>
                <w:szCs w:val="20"/>
                <w:lang w:val="en-US" w:eastAsia="zh-CN" w:bidi="ar-SA"/>
              </w:rPr>
              <w:t>IFN-γ (chicken)</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 ACCTTCCTGATGGCGTGAAG</w:t>
            </w:r>
          </w:p>
        </w:tc>
        <w:tc>
          <w:tcPr>
            <w:tcW w:w="115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102</w:t>
            </w:r>
          </w:p>
        </w:tc>
        <w:tc>
          <w:tcPr>
            <w:tcW w:w="1600"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t>AJ634956.1</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 TGAAGAGTTCATTCGCGGCT</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themeColor="text1" w:val="000000"/>
                <w:sz w:val="20"/>
                <w:szCs w:val="20"/>
                <w:lang w:val="en-US" w:eastAsia="zh-CN" w:bidi="ar-SA"/>
              </w:rPr>
              <w:t>IL-4 (chicken)</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 ATGACATCCAGGGAGAGGTTT</w:t>
            </w:r>
          </w:p>
        </w:tc>
        <w:tc>
          <w:tcPr>
            <w:tcW w:w="115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235</w:t>
            </w:r>
          </w:p>
        </w:tc>
        <w:tc>
          <w:tcPr>
            <w:tcW w:w="1600"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lang w:val="en-US" w:eastAsia="zh-CN" w:bidi="ar-SA"/>
              </w:rPr>
              <w:t>GU119892.1</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 ATTGGAGTAGTGTTGCCTGCT</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themeColor="text1" w:val="000000"/>
                <w:sz w:val="20"/>
                <w:szCs w:val="20"/>
                <w:lang w:val="en-US" w:eastAsia="zh-CN" w:bidi="ar-SA"/>
              </w:rPr>
              <w:t>IL-17 (chicken)</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 ACAGGAGATCCTCGTCCTCC</w:t>
            </w:r>
          </w:p>
        </w:tc>
        <w:tc>
          <w:tcPr>
            <w:tcW w:w="1153"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95</w:t>
            </w:r>
          </w:p>
        </w:tc>
        <w:tc>
          <w:tcPr>
            <w:tcW w:w="1600" w:type="dxa"/>
            <w:vMerge w:val="restart"/>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t>AY744450.1</w:t>
            </w:r>
          </w:p>
        </w:tc>
      </w:tr>
      <w:tr>
        <w:trPr/>
        <w:tc>
          <w:tcPr>
            <w:tcW w:w="170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 TGACACATGTGCAGCCCAC</w:t>
            </w:r>
          </w:p>
        </w:tc>
        <w:tc>
          <w:tcPr>
            <w:tcW w:w="1153"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nil"/>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r>
          </w:p>
        </w:tc>
      </w:tr>
      <w:tr>
        <w:trPr/>
        <w:tc>
          <w:tcPr>
            <w:tcW w:w="1703" w:type="dxa"/>
            <w:vMerge w:val="restart"/>
            <w:tcBorders>
              <w:top w:val="nil"/>
              <w:left w:val="nil"/>
              <w:bottom w:val="single" w:sz="12" w:space="0" w:color="000000"/>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themeColor="text1" w:val="000000"/>
                <w:sz w:val="20"/>
                <w:szCs w:val="20"/>
                <w:lang w:val="en-US" w:eastAsia="zh-CN" w:bidi="ar-SA"/>
              </w:rPr>
              <w:t>β-actin (chicken)</w:t>
            </w:r>
          </w:p>
        </w:tc>
        <w:tc>
          <w:tcPr>
            <w:tcW w:w="3843" w:type="dxa"/>
            <w:tcBorders>
              <w:top w:val="nil"/>
              <w:left w:val="nil"/>
              <w:bottom w:val="nil"/>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F: TGGGTATGGAGTCCTGTGGT</w:t>
            </w:r>
          </w:p>
        </w:tc>
        <w:tc>
          <w:tcPr>
            <w:tcW w:w="1153" w:type="dxa"/>
            <w:vMerge w:val="restart"/>
            <w:tcBorders>
              <w:top w:val="nil"/>
              <w:left w:val="nil"/>
              <w:bottom w:val="single" w:sz="12" w:space="0" w:color="000000"/>
              <w:right w:val="nil"/>
            </w:tcBorders>
            <w:vAlign w:val="center"/>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136</w:t>
            </w:r>
          </w:p>
        </w:tc>
        <w:tc>
          <w:tcPr>
            <w:tcW w:w="1600" w:type="dxa"/>
            <w:vMerge w:val="restart"/>
            <w:tcBorders>
              <w:top w:val="nil"/>
              <w:left w:val="nil"/>
              <w:bottom w:val="single" w:sz="12" w:space="0" w:color="000000"/>
              <w:right w:val="nil"/>
            </w:tcBorders>
            <w:vAlign w:val="center"/>
          </w:tcPr>
          <w:p>
            <w:pPr>
              <w:pStyle w:val="Normal"/>
              <w:spacing w:lineRule="auto" w:line="480" w:before="0" w:after="0"/>
              <w:rPr>
                <w:rFonts w:ascii="Times New Roman" w:hAnsi="Times New Roman" w:cs="Times New Roman"/>
                <w:color w:themeColor="text1" w:val="000000"/>
                <w:sz w:val="20"/>
                <w:szCs w:val="20"/>
                <w:shd w:fill="FFFFFF" w:val="clear"/>
              </w:rPr>
            </w:pPr>
            <w:r>
              <w:rPr>
                <w:rFonts w:cs="Times New Roman" w:ascii="Times New Roman" w:hAnsi="Times New Roman"/>
                <w:color w:themeColor="text1" w:val="000000"/>
                <w:sz w:val="20"/>
                <w:szCs w:val="20"/>
                <w:shd w:fill="FFFFFF" w:val="clear"/>
                <w:lang w:val="en-US" w:eastAsia="zh-CN" w:bidi="ar-SA"/>
              </w:rPr>
              <w:t>NM_205518.1</w:t>
            </w:r>
          </w:p>
        </w:tc>
      </w:tr>
      <w:tr>
        <w:trPr/>
        <w:tc>
          <w:tcPr>
            <w:tcW w:w="1703" w:type="dxa"/>
            <w:vMerge w:val="continue"/>
            <w:tcBorders>
              <w:top w:val="nil"/>
              <w:left w:val="nil"/>
              <w:bottom w:val="single" w:sz="12" w:space="0" w:color="000000"/>
              <w:right w:val="nil"/>
            </w:tcBorders>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3843" w:type="dxa"/>
            <w:tcBorders>
              <w:top w:val="nil"/>
              <w:left w:val="nil"/>
              <w:bottom w:val="single" w:sz="12" w:space="0" w:color="000000"/>
              <w:right w:val="nil"/>
            </w:tcBorders>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t>R: CTGTCAGCAATGCCAGGGTA</w:t>
            </w:r>
          </w:p>
        </w:tc>
        <w:tc>
          <w:tcPr>
            <w:tcW w:w="1153" w:type="dxa"/>
            <w:vMerge w:val="continue"/>
            <w:tcBorders>
              <w:top w:val="nil"/>
              <w:left w:val="nil"/>
              <w:bottom w:val="single" w:sz="12" w:space="0" w:color="000000"/>
              <w:right w:val="nil"/>
            </w:tcBorders>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c>
          <w:tcPr>
            <w:tcW w:w="1600" w:type="dxa"/>
            <w:vMerge w:val="continue"/>
            <w:tcBorders>
              <w:top w:val="nil"/>
              <w:left w:val="nil"/>
              <w:bottom w:val="single" w:sz="12" w:space="0" w:color="000000"/>
              <w:right w:val="nil"/>
            </w:tcBorders>
          </w:tcPr>
          <w:p>
            <w:pPr>
              <w:pStyle w:val="Normal"/>
              <w:spacing w:lineRule="auto" w:line="480" w:before="0" w:after="0"/>
              <w:rPr>
                <w:rFonts w:ascii="Times New Roman" w:hAnsi="Times New Roman" w:cs="Times New Roman"/>
                <w:color w:val="222222"/>
                <w:sz w:val="20"/>
                <w:szCs w:val="20"/>
                <w:shd w:fill="FFFFFF" w:val="clear"/>
              </w:rPr>
            </w:pPr>
            <w:r>
              <w:rPr>
                <w:rFonts w:cs="Times New Roman" w:ascii="Times New Roman" w:hAnsi="Times New Roman"/>
                <w:color w:val="222222"/>
                <w:sz w:val="20"/>
                <w:szCs w:val="20"/>
                <w:shd w:fill="FFFFFF" w:val="clear"/>
                <w:lang w:val="en-US" w:eastAsia="zh-CN" w:bidi="ar-SA"/>
              </w:rPr>
            </w:r>
          </w:p>
        </w:tc>
      </w:tr>
    </w:tbl>
    <w:p>
      <w:pPr>
        <w:pStyle w:val="Normal"/>
        <w:widowControl/>
        <w:spacing w:lineRule="auto" w:line="480"/>
        <w:jc w:val="left"/>
        <w:rPr>
          <w:rFonts w:ascii="Times New Roman" w:hAnsi="Times New Roman" w:cs="Times New Roman"/>
          <w:b/>
          <w:bCs/>
          <w:sz w:val="20"/>
          <w:szCs w:val="20"/>
        </w:rPr>
      </w:pPr>
      <w:r>
        <w:rPr>
          <w:rFonts w:cs="Times New Roman" w:ascii="Times New Roman" w:hAnsi="Times New Roman"/>
          <w:b/>
          <w:bCs/>
          <w:sz w:val="20"/>
          <w:szCs w:val="20"/>
        </w:rPr>
      </w:r>
    </w:p>
    <w:p>
      <w:pPr>
        <w:pStyle w:val="Normal"/>
        <w:widowControl/>
        <w:spacing w:lineRule="auto" w:line="480"/>
        <w:jc w:val="left"/>
        <w:rPr>
          <w:rFonts w:ascii="Times New Roman" w:hAnsi="Times New Roman" w:cs="Times New Roman"/>
          <w:b/>
          <w:bCs/>
          <w:sz w:val="20"/>
          <w:szCs w:val="20"/>
        </w:rPr>
      </w:pPr>
      <w:r>
        <w:rPr>
          <w:rFonts w:cs="Times New Roman" w:ascii="Times New Roman" w:hAnsi="Times New Roman"/>
          <w:b/>
          <w:bCs/>
          <w:sz w:val="20"/>
          <w:szCs w:val="20"/>
        </w:rPr>
        <w:t>Legend for supplementary figure</w:t>
      </w:r>
    </w:p>
    <w:p>
      <w:pPr>
        <w:pStyle w:val="Normal"/>
        <w:spacing w:lineRule="auto" w:line="480"/>
        <w:rPr>
          <w:rFonts w:ascii="Times New Roman" w:hAnsi="Times New Roman" w:cs="Times New Roman"/>
          <w:sz w:val="20"/>
          <w:szCs w:val="20"/>
        </w:rPr>
      </w:pPr>
      <w:r>
        <w:rPr>
          <w:rFonts w:cs="Times New Roman" w:ascii="Times New Roman" w:hAnsi="Times New Roman"/>
          <w:b/>
          <w:bCs/>
          <w:sz w:val="20"/>
          <w:szCs w:val="20"/>
        </w:rPr>
        <w:t xml:space="preserve">Figure S1. </w:t>
      </w:r>
      <w:bookmarkStart w:id="13" w:name="OLE_LINK4"/>
      <w:r>
        <w:rPr>
          <w:rFonts w:cs="Times New Roman" w:ascii="Times New Roman" w:hAnsi="Times New Roman"/>
          <w:b/>
          <w:bCs/>
          <w:sz w:val="20"/>
          <w:szCs w:val="20"/>
        </w:rPr>
        <w:t>Long-term antibody level detection in SPF chickens</w:t>
      </w:r>
      <w:bookmarkEnd w:id="13"/>
      <w:r>
        <w:rPr>
          <w:rFonts w:cs="Times New Roman" w:ascii="Times New Roman" w:hAnsi="Times New Roman"/>
          <w:b/>
          <w:bCs/>
          <w:sz w:val="20"/>
          <w:szCs w:val="20"/>
        </w:rPr>
        <w:t xml:space="preserve"> immunized with mRNA-LNPs candidate vaccine. </w:t>
      </w:r>
      <w:r>
        <w:rPr>
          <w:rFonts w:cs="Times New Roman" w:ascii="Times New Roman" w:hAnsi="Times New Roman"/>
          <w:sz w:val="20"/>
          <w:szCs w:val="20"/>
        </w:rPr>
        <w:t>Ten three-week-old SPF chickens were immunized with 15 μg mRNA-LNPs vaccine through chest muscle in weeks 0 and 3. Another 3 SPF chickens were immunized with an equal volume of PBS via chest muscles in weeks 0 and 3. Beginning at week 3 after the first immunization, blood was collected weekly to separate serum for HI titers.</w:t>
      </w:r>
    </w:p>
    <w:p>
      <w:pPr>
        <w:pStyle w:val="Normal"/>
        <w:spacing w:lineRule="auto" w:line="48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480"/>
        <w:rPr>
          <w:rFonts w:ascii="Times New Roman" w:hAnsi="Times New Roman" w:cs="Times New Roman"/>
          <w:sz w:val="20"/>
          <w:szCs w:val="20"/>
        </w:rPr>
      </w:pPr>
      <w:r>
        <w:rPr>
          <w:rFonts w:cs="Times New Roman" w:ascii="Times New Roman" w:hAnsi="Times New Roman"/>
          <w:b/>
          <w:bCs/>
          <w:sz w:val="20"/>
          <w:szCs w:val="20"/>
        </w:rPr>
        <w:t>Figure S2. In vitro expression of 6 candidate sequences mRNA encoding H5N1-SD57 strain hemagglutinin.</w:t>
      </w:r>
      <w:r>
        <w:rPr>
          <w:rFonts w:cs="Times New Roman" w:ascii="Times New Roman" w:hAnsi="Times New Roman"/>
          <w:sz w:val="20"/>
          <w:szCs w:val="20"/>
        </w:rPr>
        <w:t xml:space="preserve"> Protein expression of DF1 cells transfected with mRNA encoding the HA of </w:t>
      </w:r>
      <w:r>
        <w:rPr>
          <w:rFonts w:eastAsia="宋体" w:cs="Times New Roman" w:ascii="Times New Roman" w:hAnsi="Times New Roman"/>
          <w:sz w:val="20"/>
          <w:szCs w:val="20"/>
        </w:rPr>
        <w:t xml:space="preserve">H5N1-SD57 strain </w:t>
      </w:r>
      <w:r>
        <w:rPr>
          <w:rFonts w:cs="Times New Roman" w:ascii="Times New Roman" w:hAnsi="Times New Roman"/>
          <w:sz w:val="20"/>
          <w:szCs w:val="20"/>
        </w:rPr>
        <w:t xml:space="preserve">was analyzed via Western blot. (a) Western blot analysis of HA protein expression using anti-HA monoclonal antibody under reducing conditions; detection of β-actin was used as a control. (b) </w:t>
      </w:r>
      <w:bookmarkStart w:id="14" w:name="_Hlk183271345"/>
      <w:r>
        <w:rPr>
          <w:rFonts w:cs="Times New Roman" w:ascii="Times New Roman" w:hAnsi="Times New Roman"/>
          <w:sz w:val="20"/>
          <w:szCs w:val="20"/>
        </w:rPr>
        <w:t>The gray value of the strips was analyzed using Image J software, and the bar chart was drawn using GraphPad Prism 9.5.</w:t>
      </w:r>
      <w:bookmarkEnd w:id="14"/>
    </w:p>
    <w:p>
      <w:pPr>
        <w:pStyle w:val="Normal"/>
        <w:spacing w:lineRule="auto" w:line="48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480"/>
        <w:rPr>
          <w:rFonts w:ascii="Times New Roman" w:hAnsi="Times New Roman" w:cs="Times New Roman"/>
          <w:sz w:val="20"/>
          <w:szCs w:val="20"/>
        </w:rPr>
      </w:pPr>
      <w:bookmarkStart w:id="15" w:name="OLE_LINK512"/>
      <w:bookmarkStart w:id="16" w:name="OLE_LINK513"/>
      <w:r>
        <w:rPr>
          <w:rFonts w:cs="Times New Roman" w:ascii="Times New Roman" w:hAnsi="Times New Roman"/>
          <w:b/>
          <w:bCs/>
          <w:sz w:val="20"/>
          <w:szCs w:val="20"/>
        </w:rPr>
        <w:t>Figure S3.</w:t>
      </w:r>
      <w:bookmarkEnd w:id="15"/>
      <w:bookmarkEnd w:id="16"/>
      <w:r>
        <w:rPr>
          <w:rFonts w:cs="Times New Roman" w:ascii="Times New Roman" w:hAnsi="Times New Roman"/>
          <w:b/>
          <w:bCs/>
          <w:sz w:val="20"/>
          <w:szCs w:val="20"/>
        </w:rPr>
        <w:t xml:space="preserve"> Structures of HA protein and key structural domains of the RBD.</w:t>
      </w:r>
      <w:r>
        <w:rPr>
          <w:rFonts w:cs="Times New Roman" w:ascii="Times New Roman" w:hAnsi="Times New Roman"/>
          <w:sz w:val="20"/>
          <w:szCs w:val="20"/>
        </w:rPr>
        <w:t xml:space="preserve"> HA sequence of H5N1-SD57 and H5N1-D889 were modeled by SWISS-MODEL and drawn by PyMOL software obtained from </w:t>
      </w:r>
      <w:hyperlink r:id="rId5">
        <w:r>
          <w:rPr>
            <w:rStyle w:val="Hyperlink"/>
            <w:rFonts w:cs="Times New Roman" w:ascii="Times New Roman" w:hAnsi="Times New Roman"/>
            <w:color w:val="auto"/>
            <w:sz w:val="20"/>
            <w:szCs w:val="20"/>
          </w:rPr>
          <w:t>https://pymol.org/2/.</w:t>
        </w:r>
      </w:hyperlink>
      <w:r>
        <w:rPr>
          <w:rFonts w:cs="Times New Roman" w:ascii="Times New Roman" w:hAnsi="Times New Roman"/>
          <w:sz w:val="20"/>
          <w:szCs w:val="20"/>
        </w:rPr>
        <w:t xml:space="preserve"> (a)</w:t>
      </w:r>
      <w:r>
        <w:rPr>
          <w:rFonts w:cs="Times New Roman" w:ascii="Times New Roman" w:hAnsi="Times New Roman"/>
          <w:b/>
          <w:bCs/>
          <w:sz w:val="20"/>
          <w:szCs w:val="20"/>
        </w:rPr>
        <w:t xml:space="preserve"> </w:t>
      </w:r>
      <w:r>
        <w:rPr>
          <w:rFonts w:cs="Times New Roman" w:ascii="Times New Roman" w:hAnsi="Times New Roman"/>
          <w:sz w:val="20"/>
          <w:szCs w:val="20"/>
        </w:rPr>
        <w:t>The trimeric HA of H5N1-SD57 is shown in cartoon representation with HA1 displayed in blue and HA2 in green. (b) Key structural domains in the RBD (including three loops and one helix) are shown in red, and mutation sites are shown in blue (H5N1-SD57). (c)</w:t>
      </w:r>
      <w:r>
        <w:rPr>
          <w:rFonts w:cs="Times New Roman" w:ascii="Times New Roman" w:hAnsi="Times New Roman"/>
          <w:b/>
          <w:bCs/>
          <w:sz w:val="20"/>
          <w:szCs w:val="20"/>
        </w:rPr>
        <w:t xml:space="preserve"> </w:t>
      </w:r>
      <w:r>
        <w:rPr>
          <w:rFonts w:cs="Times New Roman" w:ascii="Times New Roman" w:hAnsi="Times New Roman"/>
          <w:sz w:val="20"/>
          <w:szCs w:val="20"/>
        </w:rPr>
        <w:t xml:space="preserve">Trimeric HA of H5N1-D889 is shown in cartoon representation with HA1 displayed in blue and HA2 in green. (d) Key structural domains in the RBD (including three loops and one helix) are shown in red, and mutation sites are shown in blue (H5N1-D889). </w:t>
      </w:r>
    </w:p>
    <w:p>
      <w:pPr>
        <w:pStyle w:val="Normal"/>
        <w:spacing w:lineRule="auto" w:line="480"/>
        <w:rPr>
          <w:rFonts w:ascii="Times New Roman" w:hAnsi="Times New Roman" w:cs="Times New Roman"/>
          <w:b/>
          <w:bCs/>
          <w:sz w:val="20"/>
          <w:szCs w:val="20"/>
        </w:rPr>
      </w:pPr>
      <w:r>
        <w:rPr>
          <w:rFonts w:cs="Times New Roman" w:ascii="Times New Roman" w:hAnsi="Times New Roman"/>
          <w:b/>
          <w:bCs/>
          <w:sz w:val="20"/>
          <w:szCs w:val="20"/>
        </w:rPr>
        <w:t>Figure S1</w:t>
      </w:r>
    </w:p>
    <w:p>
      <w:pPr>
        <w:pStyle w:val="Normal"/>
        <w:spacing w:lineRule="auto" w:line="480"/>
        <w:rPr/>
      </w:pPr>
      <w:r>
        <w:rPr/>
        <w:drawing>
          <wp:inline distT="0" distB="0" distL="0" distR="0">
            <wp:extent cx="4666615" cy="2831465"/>
            <wp:effectExtent l="0" t="0" r="0" b="0"/>
            <wp:docPr id="1" name="图片 1" descr="鸡长期抗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鸡长期抗体"/>
                    <pic:cNvPicPr>
                      <a:picLocks noChangeAspect="1" noChangeArrowheads="1"/>
                    </pic:cNvPicPr>
                  </pic:nvPicPr>
                  <pic:blipFill>
                    <a:blip r:embed="rId6"/>
                    <a:stretch>
                      <a:fillRect/>
                    </a:stretch>
                  </pic:blipFill>
                  <pic:spPr bwMode="auto">
                    <a:xfrm>
                      <a:off x="0" y="0"/>
                      <a:ext cx="4666615" cy="2831465"/>
                    </a:xfrm>
                    <a:prstGeom prst="rect">
                      <a:avLst/>
                    </a:prstGeom>
                    <a:noFill/>
                  </pic:spPr>
                </pic:pic>
              </a:graphicData>
            </a:graphic>
          </wp:inline>
        </w:drawing>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spacing w:lineRule="auto" w:line="480"/>
        <w:rPr/>
      </w:pPr>
      <w:r>
        <w:rPr/>
      </w:r>
    </w:p>
    <w:p>
      <w:pPr>
        <w:sectPr>
          <w:footerReference w:type="even" r:id="rId7"/>
          <w:footerReference w:type="default" r:id="rId8"/>
          <w:footerReference w:type="first" r:id="rId9"/>
          <w:type w:val="nextPage"/>
          <w:pgSz w:w="11906" w:h="16838"/>
          <w:pgMar w:left="1800" w:right="1800" w:gutter="0" w:header="0" w:top="1440" w:footer="992" w:bottom="1440"/>
          <w:lnNumType w:countBy="1" w:restart="continuous" w:distance="283"/>
          <w:pgNumType w:fmt="decimal"/>
          <w:formProt w:val="false"/>
          <w:textDirection w:val="lrTb"/>
          <w:docGrid w:type="lines" w:linePitch="312" w:charSpace="0"/>
        </w:sectPr>
        <w:pStyle w:val="Normal"/>
        <w:spacing w:lineRule="auto" w:line="480"/>
        <w:rPr/>
      </w:pPr>
      <w:r>
        <w:rPr/>
      </w:r>
    </w:p>
    <w:p>
      <w:pPr>
        <w:pStyle w:val="Normal"/>
        <w:spacing w:lineRule="auto" w:line="480"/>
        <w:rPr>
          <w:rFonts w:ascii="Times New Roman" w:hAnsi="Times New Roman" w:cs="Times New Roman"/>
          <w:b/>
          <w:bCs/>
          <w:sz w:val="20"/>
          <w:szCs w:val="20"/>
        </w:rPr>
      </w:pPr>
      <w:r>
        <w:rPr>
          <w:rFonts w:cs="Times New Roman" w:ascii="Times New Roman" w:hAnsi="Times New Roman"/>
          <w:b/>
          <w:bCs/>
          <w:sz w:val="20"/>
          <w:szCs w:val="20"/>
        </w:rPr>
        <w:t>Figure S2</w:t>
      </w:r>
    </w:p>
    <w:p>
      <w:pPr>
        <w:pStyle w:val="Normal"/>
        <w:spacing w:lineRule="auto" w:line="480"/>
        <w:rPr/>
      </w:pPr>
      <w:r>
        <w:rPr/>
      </w:r>
    </w:p>
    <w:p>
      <w:pPr>
        <w:sectPr>
          <w:footerReference w:type="default" r:id="rId11"/>
          <w:footerReference w:type="first" r:id="rId12"/>
          <w:type w:val="nextPage"/>
          <w:pgSz w:w="11906" w:h="16838"/>
          <w:pgMar w:left="1800" w:right="1800" w:gutter="0" w:header="0" w:top="1440" w:footer="992" w:bottom="1440"/>
          <w:lnNumType w:countBy="1" w:restart="continuous" w:distance="283"/>
          <w:pgNumType w:fmt="decimal"/>
          <w:formProt w:val="false"/>
          <w:textDirection w:val="lrTb"/>
          <w:docGrid w:type="lines" w:linePitch="312" w:charSpace="0"/>
        </w:sectPr>
        <w:pStyle w:val="Normal"/>
        <w:spacing w:lineRule="auto" w:line="480"/>
        <w:jc w:val="center"/>
        <w:rPr/>
      </w:pPr>
      <w:r>
        <w:rPr/>
        <w:drawing>
          <wp:inline distT="0" distB="0" distL="0" distR="0">
            <wp:extent cx="5266690" cy="44767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0"/>
                    <a:stretch>
                      <a:fillRect/>
                    </a:stretch>
                  </pic:blipFill>
                  <pic:spPr bwMode="auto">
                    <a:xfrm>
                      <a:off x="0" y="0"/>
                      <a:ext cx="5266690" cy="4476750"/>
                    </a:xfrm>
                    <a:prstGeom prst="rect">
                      <a:avLst/>
                    </a:prstGeom>
                    <a:noFill/>
                  </pic:spPr>
                </pic:pic>
              </a:graphicData>
            </a:graphic>
          </wp:inline>
        </w:drawing>
      </w:r>
    </w:p>
    <w:p>
      <w:pPr>
        <w:pStyle w:val="Normal"/>
        <w:spacing w:lineRule="auto" w:line="480"/>
        <w:rPr>
          <w:rFonts w:ascii="Times New Roman" w:hAnsi="Times New Roman" w:cs="Times New Roman"/>
          <w:b/>
          <w:bCs/>
          <w:sz w:val="20"/>
          <w:szCs w:val="20"/>
        </w:rPr>
      </w:pPr>
      <w:r>
        <w:rPr>
          <w:rFonts w:cs="Times New Roman" w:ascii="Times New Roman" w:hAnsi="Times New Roman"/>
          <w:b/>
          <w:bCs/>
          <w:sz w:val="20"/>
          <w:szCs w:val="20"/>
        </w:rPr>
        <w:t>Figure S3</w:t>
      </w:r>
    </w:p>
    <w:p>
      <w:pPr>
        <w:pStyle w:val="Normal"/>
        <w:spacing w:lineRule="auto" w:line="480"/>
        <w:jc w:val="center"/>
        <w:rPr>
          <w:rFonts w:ascii="Times New Roman" w:hAnsi="Times New Roman" w:cs="Times New Roman"/>
          <w:b/>
          <w:bCs/>
          <w:sz w:val="24"/>
        </w:rPr>
      </w:pPr>
      <w:r>
        <w:rPr/>
        <w:drawing>
          <wp:inline distT="0" distB="0" distL="0" distR="0">
            <wp:extent cx="3752215" cy="4191635"/>
            <wp:effectExtent l="0" t="0" r="0" b="0"/>
            <wp:docPr id="3" name="图片 2" descr="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5"/>
                    <pic:cNvPicPr>
                      <a:picLocks noChangeAspect="1" noChangeArrowheads="1"/>
                    </pic:cNvPicPr>
                  </pic:nvPicPr>
                  <pic:blipFill>
                    <a:blip r:embed="rId13"/>
                    <a:stretch>
                      <a:fillRect/>
                    </a:stretch>
                  </pic:blipFill>
                  <pic:spPr bwMode="auto">
                    <a:xfrm>
                      <a:off x="0" y="0"/>
                      <a:ext cx="3752215" cy="4191635"/>
                    </a:xfrm>
                    <a:prstGeom prst="rect">
                      <a:avLst/>
                    </a:prstGeom>
                    <a:noFill/>
                  </pic:spPr>
                </pic:pic>
              </a:graphicData>
            </a:graphic>
          </wp:inline>
        </w:drawing>
      </w:r>
    </w:p>
    <w:p>
      <w:pPr>
        <w:pStyle w:val="Normal"/>
        <w:spacing w:lineRule="auto" w:line="480"/>
        <w:rPr>
          <w:rFonts w:ascii="Times New Roman" w:hAnsi="Times New Roman" w:cs="Times New Roman"/>
          <w:b/>
          <w:bCs/>
          <w:sz w:val="24"/>
        </w:rPr>
      </w:pPr>
      <w:r>
        <w:rPr>
          <w:rFonts w:cs="Times New Roman" w:ascii="Times New Roman" w:hAnsi="Times New Roman"/>
          <w:b/>
          <w:bCs/>
          <w:sz w:val="24"/>
        </w:rPr>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spacing w:lineRule="auto" w:line="480"/>
        <w:rPr/>
      </w:pPr>
      <w:r>
        <w:rPr/>
      </w:r>
    </w:p>
    <w:p>
      <w:pPr>
        <w:pStyle w:val="Normal"/>
        <w:rPr/>
      </w:pPr>
      <w:r>
        <w:rPr/>
      </w:r>
    </w:p>
    <w:p>
      <w:pPr>
        <w:pStyle w:val="Normal"/>
        <w:rPr/>
      </w:pPr>
      <w:r>
        <w:rPr/>
      </w:r>
    </w:p>
    <w:sectPr>
      <w:footerReference w:type="default" r:id="rId14"/>
      <w:footerReference w:type="first" r:id="rId15"/>
      <w:type w:val="nextPage"/>
      <w:pgSz w:w="11906" w:h="16838"/>
      <w:pgMar w:left="1800" w:right="1800" w:gutter="0" w:header="0" w:top="1440" w:footer="992" w:bottom="1440"/>
      <w:lnNumType w:countBy="1" w:restart="continuous" w:distance="283"/>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等线">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80365043"/>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80365043"/>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80365043"/>
    </w:sdtPr>
    <w:sdtContent>
      <w:p>
        <w:pPr>
          <w:pStyle w:val="Footer"/>
          <w:jc w:val="center"/>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80365043"/>
    </w:sdtPr>
    <w:sdtContent>
      <w:p>
        <w:pPr>
          <w:pStyle w:val="Footer"/>
          <w:jc w:val="center"/>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60"/>
  <w:defaultTabStop w:val="42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docVars>
    <w:docVar w:name="commondata" w:val="eyJoZGlkIjoiNWYzZjg4YTE4ZWY3YzJhZDRkMDM4NWRlNDEyZGZmZWM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utoRedefine/>
    <w:qFormat/>
    <w:rsid w:val="007648b2"/>
    <w:pPr>
      <w:widowControl w:val="false"/>
      <w:bidi w:val="0"/>
      <w:spacing w:before="0" w:after="0"/>
      <w:jc w:val="both"/>
    </w:pPr>
    <w:rPr>
      <w:rFonts w:ascii="等线" w:hAnsi="等线" w:eastAsia="等线" w:cs="" w:asciiTheme="minorHAnsi" w:cstheme="minorBidi" w:eastAsiaTheme="minorEastAsia" w:hAnsiTheme="minorHAnsi"/>
      <w:color w:val="auto"/>
      <w:kern w:val="2"/>
      <w:sz w:val="21"/>
      <w:szCs w:val="24"/>
      <w:lang w:val="en-US" w:eastAsia="zh-CN"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Pr>
      <w:b/>
    </w:rPr>
  </w:style>
  <w:style w:type="character" w:styleId="Hyperlink">
    <w:name w:val="Hyperlink"/>
    <w:basedOn w:val="DefaultParagraphFont"/>
    <w:uiPriority w:val="99"/>
    <w:unhideWhenUsed/>
    <w:qFormat/>
    <w:rPr>
      <w:color w:themeColor="hyperlink" w:val="0563C1"/>
      <w:u w:val="single"/>
    </w:rPr>
  </w:style>
  <w:style w:type="character" w:styleId="Style14" w:customStyle="1">
    <w:name w:val="页眉 字符"/>
    <w:basedOn w:val="DefaultParagraphFont"/>
    <w:link w:val="Header"/>
    <w:uiPriority w:val="99"/>
    <w:qFormat/>
    <w:rsid w:val="00c80f58"/>
    <w:rPr>
      <w:rFonts w:ascii="等线" w:hAnsi="等线" w:eastAsia="等线" w:cs="" w:asciiTheme="minorHAnsi" w:cstheme="minorBidi" w:eastAsiaTheme="minorEastAsia" w:hAnsiTheme="minorHAnsi"/>
      <w:kern w:val="2"/>
      <w:sz w:val="18"/>
      <w:szCs w:val="18"/>
    </w:rPr>
  </w:style>
  <w:style w:type="character" w:styleId="Style15" w:customStyle="1">
    <w:name w:val="页脚 字符"/>
    <w:basedOn w:val="DefaultParagraphFont"/>
    <w:link w:val="Footer"/>
    <w:uiPriority w:val="99"/>
    <w:qFormat/>
    <w:rsid w:val="00c80f58"/>
    <w:rPr>
      <w:rFonts w:ascii="等线" w:hAnsi="等线" w:eastAsia="等线" w:cs="" w:asciiTheme="minorHAnsi" w:cstheme="minorBidi" w:eastAsiaTheme="minorEastAsia" w:hAnsiTheme="minorHAnsi"/>
      <w:kern w:val="2"/>
      <w:sz w:val="18"/>
      <w:szCs w:val="18"/>
    </w:rPr>
  </w:style>
  <w:style w:type="character" w:styleId="UnresolvedMention">
    <w:name w:val="Unresolved Mention"/>
    <w:basedOn w:val="DefaultParagraphFont"/>
    <w:uiPriority w:val="99"/>
    <w:semiHidden/>
    <w:unhideWhenUsed/>
    <w:qFormat/>
    <w:rsid w:val="00e12742"/>
    <w:rPr>
      <w:color w:val="605E5C"/>
      <w:shd w:fill="E1DFDD" w:val="clear"/>
    </w:rPr>
  </w:style>
  <w:style w:type="character" w:styleId="LineNumber">
    <w:name w:val="line number"/>
    <w:basedOn w:val="DefaultParagraphFont"/>
    <w:uiPriority w:val="99"/>
    <w:semiHidden/>
    <w:unhideWhenUsed/>
    <w:rsid w:val="00057d34"/>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Style14"/>
    <w:uiPriority w:val="99"/>
    <w:unhideWhenUsed/>
    <w:rsid w:val="00c80f58"/>
    <w:pPr>
      <w:tabs>
        <w:tab w:val="clear" w:pos="420"/>
        <w:tab w:val="center" w:pos="4153" w:leader="none"/>
        <w:tab w:val="right" w:pos="8306" w:leader="none"/>
      </w:tabs>
      <w:snapToGrid w:val="false"/>
      <w:jc w:val="center"/>
    </w:pPr>
    <w:rPr>
      <w:sz w:val="18"/>
      <w:szCs w:val="18"/>
    </w:rPr>
  </w:style>
  <w:style w:type="paragraph" w:styleId="Footer">
    <w:name w:val="footer"/>
    <w:basedOn w:val="Normal"/>
    <w:link w:val="Style15"/>
    <w:uiPriority w:val="99"/>
    <w:unhideWhenUsed/>
    <w:rsid w:val="00c80f58"/>
    <w:pPr>
      <w:tabs>
        <w:tab w:val="clear" w:pos="420"/>
        <w:tab w:val="center" w:pos="4153" w:leader="none"/>
        <w:tab w:val="right" w:pos="8306" w:leader="none"/>
      </w:tabs>
      <w:snapToGrid w:val="false"/>
      <w:jc w:val="left"/>
    </w:pPr>
    <w:rPr>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fanhy@scau.edu.cn" TargetMode="External"/><Relationship Id="rId3" Type="http://schemas.openxmlformats.org/officeDocument/2006/relationships/hyperlink" Target="mailto:fanhy@scau.edu.cn" TargetMode="External"/><Relationship Id="rId4" Type="http://schemas.openxmlformats.org/officeDocument/2006/relationships/hyperlink" Target="mailto:taiwb@szbl.ac.cn" TargetMode="External"/><Relationship Id="rId5" Type="http://schemas.openxmlformats.org/officeDocument/2006/relationships/hyperlink" Target="https://pymol.org/2/" TargetMode="Externa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image" Target="media/image2.tif"/><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image" Target="media/image3.tif"/><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主题​​">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itchFamily="0" charset="1"/>
        <a:ea typeface=""/>
        <a:cs typeface=""/>
      </a:majorFont>
      <a:minorFont>
        <a:latin typeface="等线"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251</TotalTime>
  <Application>LibreOffice/24.8.4.2$Windows_X86_64 LibreOffice_project/bb3cfa12c7b1bf994ecc5649a80400d06cd71002</Application>
  <AppVersion>15.0000</AppVersion>
  <Pages>6</Pages>
  <Words>550</Words>
  <Characters>3471</Characters>
  <CharactersWithSpaces>3945</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2023-06-09T08:33:00Z</dcterms:created>
  <dc:creator>孔 德鑫</dc:creator>
  <dc:description/>
  <dc:language>en-IN</dc:language>
  <cp:lastModifiedBy/>
  <dcterms:modified xsi:type="dcterms:W3CDTF">2025-01-28T16:24:35Z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9DA60204843045D5B5208F09269C387A_12</vt:lpwstr>
  </property>
  <property fmtid="{D5CDD505-2E9C-101B-9397-08002B2CF9AE}" pid="3" name="KSOProductBuildVer">
    <vt:lpwstr>2052-12.1.0.16388</vt:lpwstr>
  </property>
</Properties>
</file>