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490E9" w14:textId="161EBA41" w:rsidR="00A0013C" w:rsidRDefault="00DC60AA">
      <w:pPr>
        <w:rPr>
          <w:rFonts w:hint="eastAsia"/>
        </w:rPr>
      </w:pPr>
      <w:r>
        <w:rPr>
          <w:noProof/>
        </w:rPr>
        <w:drawing>
          <wp:inline distT="0" distB="0" distL="0" distR="0" wp14:anchorId="2FF12C5A" wp14:editId="33DC032A">
            <wp:extent cx="5066030" cy="8863330"/>
            <wp:effectExtent l="0" t="0" r="1270" b="0"/>
            <wp:docPr id="210715206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6030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B4C6D">
        <w:rPr>
          <w:noProof/>
        </w:rPr>
        <w:t xml:space="preserve"> </w:t>
      </w:r>
    </w:p>
    <w:p w14:paraId="7FF48C2C" w14:textId="31F91E15" w:rsidR="00F300FD" w:rsidRPr="00F300FD" w:rsidRDefault="00F0359F" w:rsidP="00F300FD">
      <w:pPr>
        <w:spacing w:line="480" w:lineRule="auto"/>
        <w:rPr>
          <w:rFonts w:ascii="Times New Roman" w:hAnsi="Times New Roman" w:cs="Times New Roman" w:hint="eastAsia"/>
          <w:color w:val="000000" w:themeColor="text1"/>
          <w:sz w:val="24"/>
          <w:szCs w:val="24"/>
        </w:rPr>
      </w:pPr>
      <w:r w:rsidRPr="007E2230">
        <w:rPr>
          <w:rFonts w:ascii="Times New Roman" w:hAnsi="Times New Roman" w:cs="Times New Roman"/>
          <w:b/>
          <w:bCs/>
          <w:sz w:val="24"/>
          <w:szCs w:val="24"/>
        </w:rPr>
        <w:lastRenderedPageBreak/>
        <w:t>Figure</w:t>
      </w:r>
      <w:r w:rsidR="004B4C6D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7E2230">
        <w:rPr>
          <w:rFonts w:ascii="Times New Roman" w:hAnsi="Times New Roman" w:cs="Times New Roman"/>
          <w:b/>
          <w:bCs/>
          <w:sz w:val="24"/>
          <w:szCs w:val="24"/>
        </w:rPr>
        <w:t>S1</w:t>
      </w:r>
      <w:r w:rsidR="004B4C6D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F0359F">
        <w:t xml:space="preserve"> </w:t>
      </w:r>
      <w:r w:rsidRPr="007E2230"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0359F">
        <w:rPr>
          <w:rFonts w:ascii="Times New Roman" w:hAnsi="Times New Roman" w:cs="Times New Roman"/>
          <w:sz w:val="24"/>
          <w:szCs w:val="24"/>
        </w:rPr>
        <w:t>Schematic representation of the plasmid structure.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7E2230"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  <w:r w:rsidRPr="00F0359F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F0359F">
        <w:rPr>
          <w:rFonts w:ascii="Times New Roman" w:hAnsi="Times New Roman" w:cs="Times New Roman"/>
          <w:color w:val="000000" w:themeColor="text1"/>
          <w:sz w:val="24"/>
          <w:szCs w:val="24"/>
        </w:rPr>
        <w:t>The particle size and zeta potential of fresh anti-CD19-Exo-MTX and anti-CD19-Exo-MTX stored for 1, 3, 30, 180, and 360 days at -20°C or -80°C</w:t>
      </w:r>
      <w:r w:rsidR="00FB7C37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. </w:t>
      </w:r>
      <w:r w:rsidR="00FB7C37" w:rsidRPr="007E2230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C</w:t>
      </w:r>
      <w:r w:rsidR="00FB7C37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FB7C37" w:rsidRPr="00BC2CC3">
        <w:rPr>
          <w:rFonts w:ascii="Times New Roman" w:hAnsi="Times New Roman" w:cs="Times New Roman"/>
          <w:sz w:val="24"/>
          <w:szCs w:val="24"/>
        </w:rPr>
        <w:t xml:space="preserve">Cell viability of </w:t>
      </w:r>
      <w:r w:rsidR="00FB7C37" w:rsidRPr="00BC2CC3">
        <w:rPr>
          <w:rFonts w:ascii="Times New Roman" w:hAnsi="Times New Roman" w:cs="Times New Roman" w:hint="eastAsia"/>
          <w:sz w:val="24"/>
          <w:szCs w:val="24"/>
        </w:rPr>
        <w:t>SU-DHL-8</w:t>
      </w:r>
      <w:r w:rsidR="00FB7C37" w:rsidRPr="00BC2CC3">
        <w:rPr>
          <w:rFonts w:ascii="Times New Roman" w:hAnsi="Times New Roman" w:cs="Times New Roman"/>
          <w:sz w:val="24"/>
          <w:szCs w:val="24"/>
        </w:rPr>
        <w:t xml:space="preserve"> cells in response to treatment with different concentrations</w:t>
      </w:r>
      <w:r w:rsidR="00FB7C37" w:rsidRPr="00BC2CC3">
        <w:rPr>
          <w:rFonts w:ascii="Times New Roman" w:hAnsi="Times New Roman" w:cs="Times New Roman" w:hint="eastAsia"/>
          <w:sz w:val="24"/>
          <w:szCs w:val="24"/>
        </w:rPr>
        <w:t xml:space="preserve"> of </w:t>
      </w:r>
      <w:proofErr w:type="spellStart"/>
      <w:r w:rsidR="00FB7C37" w:rsidRPr="00BC2CC3">
        <w:rPr>
          <w:rFonts w:ascii="Times New Roman" w:hAnsi="Times New Roman" w:cs="Times New Roman" w:hint="eastAsia"/>
          <w:sz w:val="24"/>
          <w:szCs w:val="24"/>
        </w:rPr>
        <w:t>hAMSCs</w:t>
      </w:r>
      <w:proofErr w:type="spellEnd"/>
      <w:r w:rsidR="00FB7C37" w:rsidRPr="00BC2CC3">
        <w:rPr>
          <w:rFonts w:ascii="Times New Roman" w:hAnsi="Times New Roman" w:cs="Times New Roman"/>
          <w:sz w:val="24"/>
          <w:szCs w:val="24"/>
        </w:rPr>
        <w:t>-derived exosomes</w:t>
      </w:r>
      <w:r w:rsidR="00FB7C3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FB7C37" w:rsidRPr="003A268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for 24 hours</w:t>
      </w:r>
      <w:r w:rsidR="00FB7C37" w:rsidRPr="00BC2CC3">
        <w:rPr>
          <w:rFonts w:ascii="Times New Roman" w:hAnsi="Times New Roman" w:cs="Times New Roman" w:hint="eastAsia"/>
          <w:sz w:val="24"/>
          <w:szCs w:val="24"/>
        </w:rPr>
        <w:t>.</w:t>
      </w:r>
      <w:r w:rsidR="00FB7C3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FB7C37" w:rsidRPr="007E2230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D</w:t>
      </w:r>
      <w:r w:rsidR="00FB7C37" w:rsidRPr="00FB7C37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Gating strategy of </w:t>
      </w:r>
      <w:r w:rsidR="0082611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the </w:t>
      </w:r>
      <w:r w:rsidR="00FB7C37" w:rsidRPr="00FB7C37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identification of </w:t>
      </w:r>
      <w:proofErr w:type="spellStart"/>
      <w:r w:rsidR="00FB7C37" w:rsidRPr="00FB7C37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hAMSCs</w:t>
      </w:r>
      <w:proofErr w:type="spellEnd"/>
      <w:r w:rsidR="00FB7C37" w:rsidRPr="00FB7C37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by the </w:t>
      </w:r>
      <w:r w:rsidR="00DE3A24">
        <w:rPr>
          <w:rFonts w:ascii="Times New Roman" w:hAnsi="Times New Roman" w:cs="Times New Roman"/>
          <w:color w:val="000000" w:themeColor="text1"/>
          <w:sz w:val="24"/>
          <w:szCs w:val="24"/>
        </w:rPr>
        <w:t>f</w:t>
      </w:r>
      <w:r w:rsidR="00FB7C37" w:rsidRPr="00FB7C37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low cytometry.</w:t>
      </w:r>
      <w:r w:rsidR="00FB7C37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FB7C37" w:rsidRPr="0077541A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E</w:t>
      </w:r>
      <w:r w:rsidR="00FB7C37" w:rsidRPr="00FB7C37">
        <w:t xml:space="preserve"> </w:t>
      </w:r>
      <w:r w:rsidR="007E2230" w:rsidRPr="007E223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Gating strategy for sorting GEP-positive </w:t>
      </w:r>
      <w:proofErr w:type="spellStart"/>
      <w:r w:rsidR="007E2230" w:rsidRPr="007E223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hAMSCs</w:t>
      </w:r>
      <w:proofErr w:type="spellEnd"/>
      <w:r w:rsidR="007E2230" w:rsidRPr="007E223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using flow cytometry.</w:t>
      </w:r>
      <w:r w:rsidR="00DC60A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DC60AA" w:rsidRPr="00DC60AA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F</w:t>
      </w:r>
      <w:r w:rsidR="00F300FD" w:rsidRPr="00F300FD">
        <w:rPr>
          <w:rFonts w:ascii="宋体" w:eastAsia="宋体" w:hAnsi="宋体" w:cs="宋体"/>
          <w:kern w:val="0"/>
          <w:sz w:val="24"/>
          <w:szCs w:val="24"/>
          <w14:ligatures w14:val="none"/>
        </w:rPr>
        <w:t xml:space="preserve"> </w:t>
      </w:r>
      <w:r w:rsidR="00F300FD" w:rsidRPr="00F300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Flow cytometry analysis of CD19 expression in </w:t>
      </w:r>
      <w:proofErr w:type="spellStart"/>
      <w:r w:rsidR="00F300FD" w:rsidRPr="00F300FD">
        <w:rPr>
          <w:rFonts w:ascii="Times New Roman" w:hAnsi="Times New Roman" w:cs="Times New Roman"/>
          <w:color w:val="000000" w:themeColor="text1"/>
          <w:sz w:val="24"/>
          <w:szCs w:val="24"/>
        </w:rPr>
        <w:t>hCDEC</w:t>
      </w:r>
      <w:proofErr w:type="spellEnd"/>
      <w:r w:rsidR="00F300FD" w:rsidRPr="00F300FD">
        <w:rPr>
          <w:rFonts w:ascii="Times New Roman" w:hAnsi="Times New Roman" w:cs="Times New Roman"/>
          <w:color w:val="000000" w:themeColor="text1"/>
          <w:sz w:val="24"/>
          <w:szCs w:val="24"/>
        </w:rPr>
        <w:t>/D3 and H</w:t>
      </w:r>
      <w:r w:rsidR="00FA0A98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 cells.</w:t>
      </w:r>
    </w:p>
    <w:p w14:paraId="165ED151" w14:textId="63B28292" w:rsidR="00F0359F" w:rsidRDefault="00F0359F" w:rsidP="007E2230">
      <w:pPr>
        <w:spacing w:line="480" w:lineRule="auto"/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0C766AD2" wp14:editId="3F051A67">
            <wp:extent cx="5274310" cy="7184390"/>
            <wp:effectExtent l="0" t="0" r="0" b="0"/>
            <wp:docPr id="13978322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184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E5A07A" w14:textId="6F3538E8" w:rsidR="00DE18BD" w:rsidRDefault="00DC2FDE" w:rsidP="00FF5FAA">
      <w:pPr>
        <w:spacing w:line="480" w:lineRule="auto"/>
        <w:rPr>
          <w:rFonts w:hint="eastAsia"/>
        </w:rPr>
      </w:pPr>
      <w:r w:rsidRPr="004B4C6D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Figure</w:t>
      </w:r>
      <w:r w:rsidR="004B4C6D" w:rsidRPr="004B4C6D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 </w:t>
      </w:r>
      <w:r w:rsidRPr="004B4C6D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S2</w:t>
      </w:r>
      <w:r w:rsidR="004B4C6D" w:rsidRPr="004B4C6D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DE18BD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r w:rsidR="00DE18B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652350" w:rsidRPr="00652350">
        <w:rPr>
          <w:rFonts w:ascii="Times New Roman" w:hAnsi="Times New Roman" w:cs="Times New Roman" w:hint="eastAsia"/>
          <w:sz w:val="24"/>
          <w:szCs w:val="24"/>
        </w:rPr>
        <w:t>Gating strategy for evaluating internalization using flow cytometry after 24-hour co-incubation of anti-CD19-Exo-MTX with SU-DHL-8 cells.</w:t>
      </w:r>
      <w:r w:rsidR="00DE18B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DE18BD" w:rsidRPr="00DE18BD"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  <w:r w:rsidR="00DE18B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DE18BD" w:rsidRPr="00DE18BD">
        <w:rPr>
          <w:rFonts w:ascii="Times New Roman" w:hAnsi="Times New Roman" w:cs="Times New Roman" w:hint="eastAsia"/>
          <w:sz w:val="24"/>
          <w:szCs w:val="24"/>
        </w:rPr>
        <w:t>Gating strategy</w:t>
      </w:r>
      <w:r w:rsidR="00DE18BD">
        <w:rPr>
          <w:rFonts w:ascii="Times New Roman" w:hAnsi="Times New Roman" w:cs="Times New Roman" w:hint="eastAsia"/>
          <w:sz w:val="24"/>
          <w:szCs w:val="24"/>
        </w:rPr>
        <w:t xml:space="preserve"> for</w:t>
      </w:r>
      <w:r w:rsidR="00DE18BD" w:rsidRPr="00BC2CC3">
        <w:rPr>
          <w:rFonts w:ascii="Times New Roman" w:hAnsi="Times New Roman" w:cs="Times New Roman"/>
          <w:sz w:val="24"/>
          <w:szCs w:val="24"/>
        </w:rPr>
        <w:t xml:space="preserve"> the targeting specificity of anti-CD19-Exo-MTX </w:t>
      </w:r>
      <w:r w:rsidR="00DE18BD">
        <w:rPr>
          <w:rFonts w:ascii="Times New Roman" w:hAnsi="Times New Roman" w:cs="Times New Roman" w:hint="eastAsia"/>
          <w:sz w:val="24"/>
          <w:szCs w:val="24"/>
        </w:rPr>
        <w:t>in HEK-293T cell</w:t>
      </w:r>
      <w:r w:rsidR="0077541A">
        <w:rPr>
          <w:rFonts w:ascii="Times New Roman" w:hAnsi="Times New Roman" w:cs="Times New Roman" w:hint="eastAsia"/>
          <w:sz w:val="24"/>
          <w:szCs w:val="24"/>
        </w:rPr>
        <w:t>s</w:t>
      </w:r>
      <w:r w:rsidR="00DE18BD" w:rsidRPr="00BC2CC3">
        <w:rPr>
          <w:rFonts w:ascii="Times New Roman" w:hAnsi="Times New Roman" w:cs="Times New Roman"/>
          <w:sz w:val="24"/>
          <w:szCs w:val="24"/>
        </w:rPr>
        <w:t>.</w:t>
      </w:r>
      <w:r w:rsidR="00DE18BD" w:rsidRPr="00DE18BD">
        <w:rPr>
          <w:rFonts w:hint="eastAsia"/>
        </w:rPr>
        <w:t xml:space="preserve"> </w:t>
      </w:r>
      <w:r w:rsidR="00DE18BD" w:rsidRPr="00DE18BD">
        <w:rPr>
          <w:rFonts w:ascii="Times New Roman" w:hAnsi="Times New Roman" w:cs="Times New Roman" w:hint="eastAsia"/>
          <w:b/>
          <w:bCs/>
          <w:sz w:val="24"/>
          <w:szCs w:val="24"/>
        </w:rPr>
        <w:t>C</w:t>
      </w:r>
      <w:r w:rsidR="00DE18BD" w:rsidRPr="00DE18BD">
        <w:rPr>
          <w:rFonts w:ascii="Times New Roman" w:hAnsi="Times New Roman" w:cs="Times New Roman" w:hint="eastAsia"/>
          <w:sz w:val="24"/>
          <w:szCs w:val="24"/>
        </w:rPr>
        <w:t xml:space="preserve"> Gating strategy for the targeting specificity of anti-CD19-Exo-MTX in </w:t>
      </w:r>
      <w:r w:rsidR="00DE18BD" w:rsidRPr="003A2680">
        <w:rPr>
          <w:rFonts w:ascii="Times New Roman" w:hAnsi="Times New Roman" w:cs="Times New Roman"/>
          <w:color w:val="000000" w:themeColor="text1"/>
          <w:sz w:val="24"/>
          <w:szCs w:val="24"/>
        </w:rPr>
        <w:t>SU-DHL-8</w:t>
      </w:r>
      <w:r w:rsidR="00DE18BD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cells</w:t>
      </w:r>
      <w:r w:rsidR="00DE18BD" w:rsidRPr="00DE18BD">
        <w:rPr>
          <w:rFonts w:ascii="Times New Roman" w:hAnsi="Times New Roman" w:cs="Times New Roman" w:hint="eastAsia"/>
          <w:sz w:val="24"/>
          <w:szCs w:val="24"/>
        </w:rPr>
        <w:t>.</w:t>
      </w:r>
      <w:r w:rsidR="00DE18B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DE18BD" w:rsidRPr="0077541A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D</w:t>
      </w:r>
      <w:r w:rsidR="00DE18B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652350" w:rsidRPr="00652350">
        <w:rPr>
          <w:rFonts w:ascii="Times New Roman" w:hAnsi="Times New Roman" w:cs="Times New Roman" w:hint="eastAsia"/>
          <w:sz w:val="24"/>
          <w:szCs w:val="24"/>
        </w:rPr>
        <w:t xml:space="preserve">Gating strategy for SU-DHL-8 cells to assess the uptake of </w:t>
      </w:r>
      <w:proofErr w:type="spellStart"/>
      <w:r w:rsidR="00652350" w:rsidRPr="00652350">
        <w:rPr>
          <w:rFonts w:ascii="Times New Roman" w:hAnsi="Times New Roman" w:cs="Times New Roman" w:hint="eastAsia"/>
          <w:sz w:val="24"/>
          <w:szCs w:val="24"/>
        </w:rPr>
        <w:t>DiR</w:t>
      </w:r>
      <w:proofErr w:type="spellEnd"/>
      <w:r w:rsidR="00652350" w:rsidRPr="00652350">
        <w:rPr>
          <w:rFonts w:ascii="Times New Roman" w:hAnsi="Times New Roman" w:cs="Times New Roman" w:hint="eastAsia"/>
          <w:sz w:val="24"/>
          <w:szCs w:val="24"/>
        </w:rPr>
        <w:t xml:space="preserve">-labeled anti-CD19-Exo-MTX in the lower chambers of the BBB model following treatment with </w:t>
      </w:r>
      <w:proofErr w:type="spellStart"/>
      <w:r w:rsidR="00652350" w:rsidRPr="00652350">
        <w:rPr>
          <w:rFonts w:ascii="Times New Roman" w:hAnsi="Times New Roman" w:cs="Times New Roman" w:hint="eastAsia"/>
          <w:sz w:val="24"/>
          <w:szCs w:val="24"/>
        </w:rPr>
        <w:t>Dynasore</w:t>
      </w:r>
      <w:proofErr w:type="spellEnd"/>
      <w:r w:rsidR="00652350" w:rsidRPr="00652350">
        <w:rPr>
          <w:rFonts w:ascii="Times New Roman" w:hAnsi="Times New Roman" w:cs="Times New Roman" w:hint="eastAsia"/>
          <w:sz w:val="24"/>
          <w:szCs w:val="24"/>
        </w:rPr>
        <w:t>, EIPA, cAMP, and Ro20-1724.</w:t>
      </w:r>
    </w:p>
    <w:sectPr w:rsidR="00DE18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1589F0" w14:textId="77777777" w:rsidR="005B61A8" w:rsidRDefault="005B61A8" w:rsidP="00F0359F">
      <w:pPr>
        <w:rPr>
          <w:rFonts w:hint="eastAsia"/>
        </w:rPr>
      </w:pPr>
      <w:r>
        <w:separator/>
      </w:r>
    </w:p>
  </w:endnote>
  <w:endnote w:type="continuationSeparator" w:id="0">
    <w:p w14:paraId="3A445508" w14:textId="77777777" w:rsidR="005B61A8" w:rsidRDefault="005B61A8" w:rsidP="00F0359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7AAC2D" w14:textId="77777777" w:rsidR="005B61A8" w:rsidRDefault="005B61A8" w:rsidP="00F0359F">
      <w:pPr>
        <w:rPr>
          <w:rFonts w:hint="eastAsia"/>
        </w:rPr>
      </w:pPr>
      <w:r>
        <w:separator/>
      </w:r>
    </w:p>
  </w:footnote>
  <w:footnote w:type="continuationSeparator" w:id="0">
    <w:p w14:paraId="72938128" w14:textId="77777777" w:rsidR="005B61A8" w:rsidRDefault="005B61A8" w:rsidP="00F0359F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A20"/>
    <w:rsid w:val="001438C0"/>
    <w:rsid w:val="004B4C6D"/>
    <w:rsid w:val="004F70E9"/>
    <w:rsid w:val="005872BB"/>
    <w:rsid w:val="005B61A8"/>
    <w:rsid w:val="00621862"/>
    <w:rsid w:val="00652350"/>
    <w:rsid w:val="0068589F"/>
    <w:rsid w:val="0077541A"/>
    <w:rsid w:val="007A30CE"/>
    <w:rsid w:val="007C180D"/>
    <w:rsid w:val="007E2230"/>
    <w:rsid w:val="0082611E"/>
    <w:rsid w:val="00877A20"/>
    <w:rsid w:val="00925600"/>
    <w:rsid w:val="009E0475"/>
    <w:rsid w:val="00A0013C"/>
    <w:rsid w:val="00BC0A4C"/>
    <w:rsid w:val="00BF7B1F"/>
    <w:rsid w:val="00CB7C43"/>
    <w:rsid w:val="00D74209"/>
    <w:rsid w:val="00DC2FDE"/>
    <w:rsid w:val="00DC60AA"/>
    <w:rsid w:val="00DE18BD"/>
    <w:rsid w:val="00DE3A24"/>
    <w:rsid w:val="00F0359F"/>
    <w:rsid w:val="00F300FD"/>
    <w:rsid w:val="00F80E16"/>
    <w:rsid w:val="00F855EE"/>
    <w:rsid w:val="00FA0A98"/>
    <w:rsid w:val="00FB7C37"/>
    <w:rsid w:val="00FF5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42284E"/>
  <w15:chartTrackingRefBased/>
  <w15:docId w15:val="{BEC4202F-6016-46AD-B140-C5BDD1204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77A2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7A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7A2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77A20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77A20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7A20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77A20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77A20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77A20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77A2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77A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77A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77A20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77A20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877A20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77A2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77A2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77A2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77A2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877A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77A2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877A2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77A2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877A2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77A2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77A2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77A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877A2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77A20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F0359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F0359F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F035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F0359F"/>
    <w:rPr>
      <w:sz w:val="18"/>
      <w:szCs w:val="18"/>
    </w:rPr>
  </w:style>
  <w:style w:type="paragraph" w:styleId="af2">
    <w:name w:val="Normal (Web)"/>
    <w:basedOn w:val="a"/>
    <w:uiPriority w:val="99"/>
    <w:semiHidden/>
    <w:unhideWhenUsed/>
    <w:rsid w:val="00F300F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4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7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161</Words>
  <Characters>920</Characters>
  <Application>Microsoft Office Word</Application>
  <DocSecurity>0</DocSecurity>
  <Lines>7</Lines>
  <Paragraphs>2</Paragraphs>
  <ScaleCrop>false</ScaleCrop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美芳 赵</dc:creator>
  <cp:keywords/>
  <dc:description/>
  <cp:lastModifiedBy>美芳 赵</cp:lastModifiedBy>
  <cp:revision>8</cp:revision>
  <dcterms:created xsi:type="dcterms:W3CDTF">2025-01-22T09:59:00Z</dcterms:created>
  <dcterms:modified xsi:type="dcterms:W3CDTF">2025-01-23T15:39:00Z</dcterms:modified>
</cp:coreProperties>
</file>