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ADC70" w14:textId="77777777" w:rsidR="00833E1D" w:rsidRPr="000B2F0E" w:rsidRDefault="00833E1D" w:rsidP="00833E1D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0B2F0E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Methods and materials</w:t>
      </w:r>
    </w:p>
    <w:p w14:paraId="1F568B38" w14:textId="77777777" w:rsidR="00693F32" w:rsidRPr="000B2F0E" w:rsidRDefault="00693F32" w:rsidP="00693F32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Isolation,</w:t>
      </w:r>
      <w:r w:rsidRPr="000B2F0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 xml:space="preserve">culture and identification of </w:t>
      </w:r>
      <w:proofErr w:type="spellStart"/>
      <w:r w:rsidRPr="000B2F0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>h</w:t>
      </w:r>
      <w:r w:rsidRPr="000B2F0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A</w:t>
      </w:r>
      <w:r w:rsidRPr="000B2F0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>M</w:t>
      </w:r>
      <w:r w:rsidRPr="000B2F0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SCs</w:t>
      </w:r>
      <w:proofErr w:type="spellEnd"/>
    </w:p>
    <w:p w14:paraId="5627A8CD" w14:textId="77777777" w:rsidR="00693F32" w:rsidRPr="000B2F0E" w:rsidRDefault="00693F32" w:rsidP="00693F32">
      <w:pPr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In sterile conditions, adipose tissue was extracted from the person who done liposuction and washed with phosphate‐buffered saline (PBS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Gibco). Adipose tissue was digested for 30 min at 37°C with 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0.25%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type I collagenase (Gibco). Then, homogenous tissue was centrifuged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.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The resulted pellet was cultured in DMEM 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(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Biosera</w:t>
      </w:r>
      <w:proofErr w:type="spellEnd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) with 10% fetal bovine serum (FBS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,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CLARK) and penicillin‐streptomycin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1%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in T 25 cm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2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flask, at 5% CO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and 37°C in 95% humidity. After reaching 80%–90% confluence, cells were passaged.</w:t>
      </w:r>
    </w:p>
    <w:p w14:paraId="4A83A8EC" w14:textId="77777777" w:rsidR="00693F32" w:rsidRPr="000B2F0E" w:rsidRDefault="00693F32" w:rsidP="00693F32">
      <w:pPr>
        <w:widowControl/>
        <w:spacing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To identify the expression of the surface antigen of 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h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A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M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SCs</w:t>
      </w:r>
      <w:proofErr w:type="spellEnd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anti‐CD90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/PE (E-AB-F1167D, 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elabscience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anti‐CD44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/FITC (AN00335C, 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elabscience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anti‐CD45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/PB450 (E-AB-F1137C, 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elabscience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anti‐CD34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/PerCP-CY5.5 (347203, Biosciences)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and anti‐CD105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/PE (E-AB-F1310D, 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elabscience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antibodies were used. The flow cytometry data were analyzed by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FlowJo</w:t>
      </w:r>
      <w:proofErr w:type="spellEnd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software (version 10.7)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</w:p>
    <w:p w14:paraId="37F44784" w14:textId="77777777" w:rsidR="00693F32" w:rsidRPr="000B2F0E" w:rsidRDefault="00693F32" w:rsidP="00693F32">
      <w:pPr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T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o examine the differentiation potential of MSCs into adipocytes and osteocytes lineages, 1 × 10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  <w:vertAlign w:val="superscript"/>
        </w:rPr>
        <w:t>4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cells were cultured in a six‐well plate. To differentiate into osteocytes, the cells were cultured in media supplemented with glycerol phosphate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(HY-126304, MCE)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dexamethasone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(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S1322, Selleck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), and ascorbic acid‐2 phosphate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(HY-103701, MCE)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for 2 weeks. After mineralization, 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BCIP/NBT Alkaline Phosphatase staining (C3206,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Beyotime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Biotechnology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was performed. To differentiate into adipocytes, MSCs were cultured in a medium containing indomethacin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(S1723, Selleck)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3‐isobutyl‐methylxanthine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(HY-12318, MCE)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,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lastRenderedPageBreak/>
        <w:t>dexamethasone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(S1322, Selleck)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, and insulin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(HY-P73243, MCE)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for 2 weeks. Then, the result of differentiation was observed with Oil Red‐O staining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(C0157S,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Beyotime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Biotechnology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.</w:t>
      </w:r>
    </w:p>
    <w:p w14:paraId="78151430" w14:textId="77777777" w:rsidR="00CB3837" w:rsidRPr="000B2F0E" w:rsidRDefault="00CB3837" w:rsidP="00CB3837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Targeting Experiment</w:t>
      </w:r>
      <w:r w:rsidRPr="000B2F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i</w:t>
      </w:r>
      <w:r w:rsidRPr="000B2F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n </w:t>
      </w:r>
      <w:r w:rsidRPr="000B2F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v</w:t>
      </w:r>
      <w:r w:rsidRPr="000B2F0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itro</w:t>
      </w:r>
    </w:p>
    <w:p w14:paraId="137B310A" w14:textId="1AF2F43B" w:rsidR="00CB3837" w:rsidRPr="000B2F0E" w:rsidRDefault="00CB3837" w:rsidP="00CB3837">
      <w:pPr>
        <w:widowControl/>
        <w:spacing w:after="16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After separately co-incubating Exo-MTX and anti-CD19-Exo-MTX with 293T cells and S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U-DHL-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8 cells for 2 hours, remove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d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Exo-MTX and anti-CD19-Exo-MTX. Next, add the anti-CD19 antibody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(109-605-008,</w:t>
      </w:r>
      <w:r w:rsidRPr="000B2F0E">
        <w:rPr>
          <w:rFonts w:ascii="Helvetica" w:hAnsi="Helvetica"/>
          <w:color w:val="000000" w:themeColor="text1"/>
          <w:sz w:val="15"/>
          <w:szCs w:val="15"/>
          <w:shd w:val="clear" w:color="auto" w:fill="FFFFFF"/>
        </w:rPr>
        <w:t xml:space="preserve"> 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Jackson </w:t>
      </w:r>
      <w:proofErr w:type="spellStart"/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ImmunoResearch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incubate for 30 minutes. After incubation, remove the antibody, wash the cells three times with PBS, and measure the fluorescence intensity using a flow cytometer. </w:t>
      </w:r>
    </w:p>
    <w:p w14:paraId="72905D8D" w14:textId="77777777" w:rsidR="00611F41" w:rsidRPr="000B2F0E" w:rsidRDefault="00611F41" w:rsidP="00611F41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  <w:t>In vitro model of BBB</w:t>
      </w:r>
    </w:p>
    <w:p w14:paraId="2761D359" w14:textId="77777777" w:rsidR="00611F41" w:rsidRPr="000B2F0E" w:rsidRDefault="00611F41" w:rsidP="00611F41">
      <w:pPr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The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hCMEC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/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D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3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cells 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and HA cells 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were seeded into the microporous membrane (0.4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) of a 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6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-well plate </w:t>
      </w:r>
      <w:proofErr w:type="spellStart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>Transwell</w:t>
      </w:r>
      <w:proofErr w:type="spellEnd"/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filter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(Corning, NY, USA). The medium was changed daily and basic cell fusion was observed for about 5-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7</w:t>
      </w:r>
      <w:r w:rsidRPr="000B2F0E">
        <w:rPr>
          <w:rFonts w:ascii="Times New Roman" w:eastAsia="等线" w:hAnsi="Times New Roman" w:cs="Times New Roman"/>
          <w:color w:val="000000" w:themeColor="text1"/>
          <w:sz w:val="24"/>
          <w:szCs w:val="24"/>
        </w:rPr>
        <w:t xml:space="preserve"> days</w:t>
      </w: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.</w:t>
      </w:r>
    </w:p>
    <w:p w14:paraId="00974E37" w14:textId="77777777" w:rsidR="00611F41" w:rsidRPr="000B2F0E" w:rsidRDefault="00611F41" w:rsidP="00611F41">
      <w:pPr>
        <w:spacing w:line="480" w:lineRule="auto"/>
        <w:rPr>
          <w:rFonts w:ascii="Times New Roman" w:eastAsia="等线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 w:hint="eastAsia"/>
          <w:b/>
          <w:bCs/>
          <w:color w:val="000000" w:themeColor="text1"/>
          <w:sz w:val="24"/>
          <w:szCs w:val="24"/>
        </w:rPr>
        <w:t>Cell viability assays</w:t>
      </w:r>
    </w:p>
    <w:p w14:paraId="07BD3498" w14:textId="31C0F30E" w:rsidR="00611F41" w:rsidRPr="000B2F0E" w:rsidRDefault="00611F41" w:rsidP="00611F41">
      <w:pPr>
        <w:spacing w:line="480" w:lineRule="auto"/>
        <w:rPr>
          <w:rFonts w:ascii="Times New Roman" w:eastAsia="等线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Cell Counting Kit-8 (CCK-8) solution (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Beyotime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, China) was added to SU-DHL-8 culture medium in the lower chamber in vitro BBB model at 48 hours after treatment with PBS, MTX, and anti-CD19-Exo-MTX in the upper chamber. The plate was analyzed with a Victor microtiter plate reader (</w:t>
      </w:r>
      <w:proofErr w:type="spellStart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>FilterMax</w:t>
      </w:r>
      <w:proofErr w:type="spellEnd"/>
      <w:r w:rsidRPr="000B2F0E">
        <w:rPr>
          <w:rFonts w:ascii="Times New Roman" w:eastAsia="等线" w:hAnsi="Times New Roman" w:cs="Times New Roman" w:hint="eastAsia"/>
          <w:color w:val="000000" w:themeColor="text1"/>
          <w:sz w:val="24"/>
          <w:szCs w:val="24"/>
        </w:rPr>
        <w:t xml:space="preserve"> F5, Molecular Devices), and the absorbance of the well was measured at 450 nm.</w:t>
      </w:r>
    </w:p>
    <w:p w14:paraId="0F8DBB7F" w14:textId="77777777" w:rsidR="00611F41" w:rsidRPr="000B2F0E" w:rsidRDefault="00611F41" w:rsidP="00611F4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The complete blood count and Serum biochemistry assay</w:t>
      </w:r>
    </w:p>
    <w:p w14:paraId="4B5EA48B" w14:textId="0E32243B" w:rsidR="00611F41" w:rsidRPr="000B2F0E" w:rsidRDefault="00611F41" w:rsidP="00611F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To evaluate safety, a CNSL model was established using six-week-old female NOD-</w:t>
      </w:r>
      <w:proofErr w:type="spellStart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scid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mice, with treatments administered every two days for a total of three doses. </w:t>
      </w:r>
      <w:r w:rsidR="00734AB9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On </w:t>
      </w:r>
      <w:r w:rsidR="00734AB9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lastRenderedPageBreak/>
        <w:t>the day following the final administration, blood samples were collected prior to simultaneously euthanizing all mice. Subsequently, vital organs (heart, liver, spleen, lung, kidney, and intestine</w:t>
      </w:r>
      <w:r w:rsidR="00D46D51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)</w:t>
      </w:r>
      <w:r w:rsidR="00734AB9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were harvested.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The blood samples from mice in different treatment groups were collected, followed by biochemistry examinations of aspartate aminotransferase (AST), alanine aminotransferase (ALT), urea, creatinine, IL-6 and TNF-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according to the instructions of manufacturer. In addition, the complete blood count at the Wuhan </w:t>
      </w:r>
      <w:proofErr w:type="spellStart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Servicebio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Technology company.</w:t>
      </w:r>
    </w:p>
    <w:p w14:paraId="08DB4530" w14:textId="255B7A3C" w:rsidR="00611F41" w:rsidRPr="000B2F0E" w:rsidRDefault="00611F41" w:rsidP="00611F4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H&amp;E staining</w:t>
      </w:r>
    </w:p>
    <w:p w14:paraId="5EF9EA00" w14:textId="557A7DC2" w:rsidR="00611F41" w:rsidRPr="000B2F0E" w:rsidRDefault="00611F41" w:rsidP="00611F41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Mouse heart, liver, spleen, lung, kidney</w:t>
      </w:r>
      <w:r w:rsidR="001403E0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and 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intestine after different treatments were fixed with 10% paraformaldehyde and cut into slices with 4.0 </w:t>
      </w:r>
      <w:proofErr w:type="spellStart"/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μm</w:t>
      </w:r>
      <w:proofErr w:type="spellEnd"/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thickness in a cryostat. Finally, hematoxylin and eosin (H&amp;E,</w:t>
      </w:r>
      <w:r w:rsidRPr="000B2F0E">
        <w:rPr>
          <w:rFonts w:hint="eastAsia"/>
          <w:color w:val="000000" w:themeColor="text1"/>
        </w:rPr>
        <w:t xml:space="preserve"> 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60524ES60, Yesen) staining was performed following the instructions of manufacturer.</w:t>
      </w:r>
    </w:p>
    <w:p w14:paraId="3492D83E" w14:textId="77777777" w:rsidR="00611F41" w:rsidRPr="000B2F0E" w:rsidRDefault="00611F41" w:rsidP="00611F41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>TUNEL and Nissl staining</w:t>
      </w:r>
    </w:p>
    <w:p w14:paraId="25B502ED" w14:textId="1BAB060E" w:rsidR="00A0013C" w:rsidRPr="000B2F0E" w:rsidRDefault="00611F41" w:rsidP="0005174E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TUNEL kit (</w:t>
      </w:r>
      <w:proofErr w:type="spellStart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Beyotime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Biotechnology, Shanghai, China) was used to detect the apoptotic level of different groups of cells in vitro according to the instructions of manufacturer. The results were visualized by a Leica TCS SP8 confocal fluorescence microscope (Leica Microsystems, </w:t>
      </w:r>
      <w:proofErr w:type="spellStart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Biberach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, Germany). Nissl staining kit (</w:t>
      </w:r>
      <w:proofErr w:type="spellStart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Beyotime</w:t>
      </w:r>
      <w:proofErr w:type="spellEnd"/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Biotechnology, Shanghai, China) was used to detect Nissl bodies within hippocampus neuronal cell bodies according to the instructions</w:t>
      </w:r>
      <w:r w:rsidR="005C34F2"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of manufacturer</w:t>
      </w:r>
      <w:r w:rsidRPr="000B2F0E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. The histopathological changes of the </w:t>
      </w:r>
      <w:r w:rsidRPr="000B2F0E">
        <w:rPr>
          <w:rFonts w:ascii="Times New Roman" w:hAnsi="Times New Roman" w:cs="Times New Roman"/>
          <w:color w:val="000000" w:themeColor="text1"/>
          <w:sz w:val="24"/>
          <w:szCs w:val="24"/>
        </w:rPr>
        <w:t>hippocampus were visualized with an optical microscope (Olympus Optical Co. Ltd., Tokyo, Japan) at 400 × magnification.</w:t>
      </w:r>
    </w:p>
    <w:sectPr w:rsidR="00A0013C" w:rsidRPr="000B2F0E" w:rsidSect="0005174E"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1CBF9" w14:textId="77777777" w:rsidR="00322E7F" w:rsidRDefault="00322E7F" w:rsidP="00833E1D">
      <w:pPr>
        <w:rPr>
          <w:rFonts w:hint="eastAsia"/>
        </w:rPr>
      </w:pPr>
      <w:r>
        <w:separator/>
      </w:r>
    </w:p>
  </w:endnote>
  <w:endnote w:type="continuationSeparator" w:id="0">
    <w:p w14:paraId="13FC7096" w14:textId="77777777" w:rsidR="00322E7F" w:rsidRDefault="00322E7F" w:rsidP="00833E1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FDCFA2" w14:textId="77777777" w:rsidR="00322E7F" w:rsidRDefault="00322E7F" w:rsidP="00833E1D">
      <w:pPr>
        <w:rPr>
          <w:rFonts w:hint="eastAsia"/>
        </w:rPr>
      </w:pPr>
      <w:r>
        <w:separator/>
      </w:r>
    </w:p>
  </w:footnote>
  <w:footnote w:type="continuationSeparator" w:id="0">
    <w:p w14:paraId="30D8F70B" w14:textId="77777777" w:rsidR="00322E7F" w:rsidRDefault="00322E7F" w:rsidP="00833E1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61B0"/>
    <w:rsid w:val="0005174E"/>
    <w:rsid w:val="000B2F0E"/>
    <w:rsid w:val="001403E0"/>
    <w:rsid w:val="002F2648"/>
    <w:rsid w:val="00322E7F"/>
    <w:rsid w:val="003D61B0"/>
    <w:rsid w:val="004C06DA"/>
    <w:rsid w:val="005872BB"/>
    <w:rsid w:val="005C34F2"/>
    <w:rsid w:val="00611F41"/>
    <w:rsid w:val="00627CEB"/>
    <w:rsid w:val="0068589F"/>
    <w:rsid w:val="00693F32"/>
    <w:rsid w:val="006A31D4"/>
    <w:rsid w:val="00734AB9"/>
    <w:rsid w:val="007A3C5F"/>
    <w:rsid w:val="007A4DDD"/>
    <w:rsid w:val="007B4226"/>
    <w:rsid w:val="007D23DB"/>
    <w:rsid w:val="00833E1D"/>
    <w:rsid w:val="008F5064"/>
    <w:rsid w:val="0090717C"/>
    <w:rsid w:val="009E0475"/>
    <w:rsid w:val="00A0013C"/>
    <w:rsid w:val="00BC5299"/>
    <w:rsid w:val="00CA3759"/>
    <w:rsid w:val="00CB3837"/>
    <w:rsid w:val="00CE07A9"/>
    <w:rsid w:val="00CE50EC"/>
    <w:rsid w:val="00D46D51"/>
    <w:rsid w:val="00EA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9CB834"/>
  <w15:chartTrackingRefBased/>
  <w15:docId w15:val="{8EF403C0-CB87-4627-A0FF-5C633C718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E1D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D61B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61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61B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61B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61B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61B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61B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61B0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61B0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D61B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D61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D61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D61B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D61B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D61B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D61B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D61B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D61B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D61B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D61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61B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D61B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D61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D61B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D61B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D61B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D61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D61B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3D61B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33E1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833E1D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33E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833E1D"/>
    <w:rPr>
      <w:sz w:val="18"/>
      <w:szCs w:val="18"/>
    </w:rPr>
  </w:style>
  <w:style w:type="character" w:styleId="af2">
    <w:name w:val="line number"/>
    <w:basedOn w:val="a0"/>
    <w:uiPriority w:val="99"/>
    <w:semiHidden/>
    <w:unhideWhenUsed/>
    <w:rsid w:val="000517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678</Words>
  <Characters>3867</Characters>
  <Application>Microsoft Office Word</Application>
  <DocSecurity>0</DocSecurity>
  <Lines>32</Lines>
  <Paragraphs>9</Paragraphs>
  <ScaleCrop>false</ScaleCrop>
  <Company/>
  <LinksUpToDate>false</LinksUpToDate>
  <CharactersWithSpaces>4536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美芳 赵</dc:creator>
  <cp:keywords/>
  <dc:description/>
  <cp:lastModifiedBy>美芳 赵</cp:lastModifiedBy>
  <cp:revision>14</cp:revision>
  <dcterms:created xsi:type="dcterms:W3CDTF">2025-01-22T18:26:00Z</dcterms:created>
  <dcterms:modified xsi:type="dcterms:W3CDTF">2025-01-24T02:28:00Z</dcterms:modified>
</cp:coreProperties>
</file>