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3EBAB" w14:textId="77777777" w:rsidR="007F3311" w:rsidRPr="00CB07C2" w:rsidRDefault="007F3311" w:rsidP="007F3311">
      <w:pPr>
        <w:widowControl/>
        <w:tabs>
          <w:tab w:val="left" w:pos="958"/>
        </w:tabs>
        <w:spacing w:line="360" w:lineRule="auto"/>
        <w:ind w:firstLineChars="200" w:firstLine="482"/>
        <w:jc w:val="center"/>
        <w:rPr>
          <w:rFonts w:ascii="Times New Roman" w:eastAsia="楷体" w:hAnsi="Times New Roman" w:cs="Times New Roman"/>
          <w:b/>
          <w:bCs/>
          <w:sz w:val="24"/>
          <w:szCs w:val="28"/>
        </w:rPr>
      </w:pPr>
      <w:bookmarkStart w:id="0" w:name="_Hlk183017124"/>
      <w:r w:rsidRPr="00CB07C2">
        <w:rPr>
          <w:rFonts w:ascii="Times New Roman" w:eastAsia="楷体" w:hAnsi="Times New Roman" w:cs="Times New Roman"/>
          <w:b/>
          <w:bCs/>
          <w:sz w:val="24"/>
          <w:szCs w:val="28"/>
        </w:rPr>
        <w:t>Young Fibroblasts-</w:t>
      </w:r>
      <w:r w:rsidRPr="00CB07C2">
        <w:rPr>
          <w:rFonts w:ascii="Times New Roman" w:eastAsia="楷体" w:hAnsi="Times New Roman" w:cs="Times New Roman" w:hint="eastAsia"/>
          <w:b/>
          <w:bCs/>
          <w:sz w:val="24"/>
          <w:szCs w:val="28"/>
        </w:rPr>
        <w:t>D</w:t>
      </w:r>
      <w:r w:rsidRPr="00CB07C2">
        <w:rPr>
          <w:rFonts w:ascii="Times New Roman" w:eastAsia="楷体" w:hAnsi="Times New Roman" w:cs="Times New Roman"/>
          <w:b/>
          <w:bCs/>
          <w:sz w:val="24"/>
          <w:szCs w:val="28"/>
        </w:rPr>
        <w:t xml:space="preserve">erived Migrasomes Alleviate </w:t>
      </w:r>
      <w:r w:rsidRPr="00CB07C2">
        <w:rPr>
          <w:rFonts w:ascii="Times New Roman" w:eastAsia="楷体" w:hAnsi="Times New Roman" w:cs="Times New Roman" w:hint="eastAsia"/>
          <w:b/>
          <w:bCs/>
          <w:sz w:val="24"/>
          <w:szCs w:val="28"/>
        </w:rPr>
        <w:t>Keratinocyte</w:t>
      </w:r>
      <w:r w:rsidRPr="00CB07C2">
        <w:rPr>
          <w:rFonts w:ascii="Times New Roman" w:eastAsia="楷体" w:hAnsi="Times New Roman" w:cs="Times New Roman"/>
          <w:b/>
          <w:bCs/>
          <w:sz w:val="24"/>
          <w:szCs w:val="28"/>
        </w:rPr>
        <w:t xml:space="preserve"> Senescence and Enhance Wound Healing in Aged Skin</w:t>
      </w:r>
    </w:p>
    <w:p w14:paraId="4654D464" w14:textId="7CDF8323" w:rsidR="007F3311" w:rsidRPr="00CB07C2" w:rsidRDefault="007F3311" w:rsidP="007F3311">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Hanlin Tu</w:t>
      </w:r>
      <w:r w:rsidRPr="00CB07C2">
        <w:rPr>
          <w:rFonts w:ascii="Times New Roman" w:hAnsi="Times New Roman"/>
          <w:b/>
          <w:bCs/>
          <w:sz w:val="24"/>
          <w:szCs w:val="24"/>
          <w:vertAlign w:val="superscript"/>
        </w:rPr>
        <w:t>a</w:t>
      </w:r>
      <w:r w:rsidRPr="00CB07C2">
        <w:rPr>
          <w:rFonts w:ascii="Times New Roman" w:eastAsia="楷体" w:hAnsi="Times New Roman" w:cs="Times New Roman"/>
          <w:b/>
          <w:bCs/>
          <w:sz w:val="24"/>
          <w:szCs w:val="28"/>
          <w:vertAlign w:val="superscript"/>
        </w:rPr>
        <w:t>, 1</w:t>
      </w:r>
      <w:r w:rsidRPr="00CB07C2">
        <w:rPr>
          <w:rFonts w:ascii="Times New Roman" w:eastAsia="楷体" w:hAnsi="Times New Roman" w:cs="Times New Roman"/>
          <w:b/>
          <w:bCs/>
          <w:sz w:val="24"/>
          <w:szCs w:val="28"/>
        </w:rPr>
        <w:t>, Yingliang Shi</w:t>
      </w:r>
      <w:r w:rsidRPr="00CB07C2">
        <w:rPr>
          <w:rFonts w:ascii="Times New Roman" w:eastAsia="楷体" w:hAnsi="Times New Roman" w:cs="Times New Roman"/>
          <w:b/>
          <w:bCs/>
          <w:sz w:val="24"/>
          <w:szCs w:val="28"/>
          <w:vertAlign w:val="superscript"/>
        </w:rPr>
        <w:t>a, 1</w:t>
      </w:r>
      <w:r w:rsidRPr="00CB07C2">
        <w:rPr>
          <w:rFonts w:ascii="Times New Roman" w:eastAsia="楷体" w:hAnsi="Times New Roman" w:cs="Times New Roman"/>
          <w:b/>
          <w:bCs/>
          <w:sz w:val="24"/>
          <w:szCs w:val="28"/>
        </w:rPr>
        <w:t>, Yi Guo</w:t>
      </w:r>
      <w:r w:rsidRPr="00CB07C2">
        <w:rPr>
          <w:rFonts w:ascii="Times New Roman" w:eastAsia="楷体" w:hAnsi="Times New Roman" w:cs="Times New Roman"/>
          <w:b/>
          <w:bCs/>
          <w:sz w:val="24"/>
          <w:szCs w:val="28"/>
          <w:vertAlign w:val="superscript"/>
        </w:rPr>
        <w:t>a</w:t>
      </w:r>
      <w:r w:rsidRPr="00CB07C2">
        <w:rPr>
          <w:rFonts w:ascii="Times New Roman" w:eastAsia="楷体" w:hAnsi="Times New Roman" w:cs="Times New Roman"/>
          <w:b/>
          <w:bCs/>
          <w:sz w:val="24"/>
          <w:szCs w:val="28"/>
        </w:rPr>
        <w:t>, Z</w:t>
      </w:r>
      <w:r w:rsidR="00C757C2" w:rsidRPr="00CB07C2">
        <w:rPr>
          <w:rFonts w:ascii="Times New Roman" w:eastAsia="楷体" w:hAnsi="Times New Roman" w:cs="Times New Roman" w:hint="eastAsia"/>
          <w:b/>
          <w:bCs/>
          <w:sz w:val="24"/>
          <w:szCs w:val="28"/>
        </w:rPr>
        <w:t>h</w:t>
      </w:r>
      <w:r w:rsidRPr="00CB07C2">
        <w:rPr>
          <w:rFonts w:ascii="Times New Roman" w:eastAsia="楷体" w:hAnsi="Times New Roman" w:cs="Times New Roman"/>
          <w:b/>
          <w:bCs/>
          <w:sz w:val="24"/>
          <w:szCs w:val="28"/>
        </w:rPr>
        <w:t>ongyang Zou</w:t>
      </w:r>
      <w:r w:rsidRPr="00CB07C2">
        <w:rPr>
          <w:rFonts w:ascii="Times New Roman" w:eastAsia="楷体" w:hAnsi="Times New Roman" w:cs="Times New Roman"/>
          <w:b/>
          <w:bCs/>
          <w:sz w:val="24"/>
          <w:szCs w:val="28"/>
          <w:vertAlign w:val="superscript"/>
        </w:rPr>
        <w:t>a</w:t>
      </w:r>
      <w:r w:rsidRPr="00CB07C2">
        <w:rPr>
          <w:rFonts w:ascii="Times New Roman" w:eastAsia="楷体" w:hAnsi="Times New Roman" w:cs="Times New Roman"/>
          <w:b/>
          <w:bCs/>
          <w:sz w:val="24"/>
          <w:szCs w:val="28"/>
        </w:rPr>
        <w:t>, Yuyan He</w:t>
      </w:r>
      <w:r w:rsidRPr="00CB07C2">
        <w:rPr>
          <w:rFonts w:ascii="Times New Roman" w:eastAsia="楷体" w:hAnsi="Times New Roman" w:cs="Times New Roman"/>
          <w:b/>
          <w:bCs/>
          <w:sz w:val="24"/>
          <w:szCs w:val="28"/>
          <w:vertAlign w:val="superscript"/>
        </w:rPr>
        <w:t>a</w:t>
      </w:r>
      <w:r w:rsidRPr="00CB07C2">
        <w:rPr>
          <w:rFonts w:ascii="Times New Roman" w:eastAsia="楷体" w:hAnsi="Times New Roman" w:cs="Times New Roman"/>
          <w:b/>
          <w:bCs/>
          <w:sz w:val="24"/>
          <w:szCs w:val="28"/>
        </w:rPr>
        <w:t>, Jing Zhou</w:t>
      </w:r>
      <w:r w:rsidRPr="00CB07C2">
        <w:rPr>
          <w:rFonts w:ascii="Times New Roman" w:eastAsia="楷体" w:hAnsi="Times New Roman" w:cs="Times New Roman"/>
          <w:b/>
          <w:bCs/>
          <w:sz w:val="24"/>
          <w:szCs w:val="28"/>
          <w:vertAlign w:val="superscript"/>
        </w:rPr>
        <w:t>a</w:t>
      </w:r>
      <w:r w:rsidRPr="00CB07C2">
        <w:rPr>
          <w:rFonts w:ascii="Times New Roman" w:eastAsia="楷体" w:hAnsi="Times New Roman" w:cs="Times New Roman"/>
          <w:b/>
          <w:bCs/>
          <w:sz w:val="24"/>
          <w:szCs w:val="28"/>
        </w:rPr>
        <w:t>, Sangang He</w:t>
      </w:r>
      <w:r w:rsidRPr="00CB07C2">
        <w:rPr>
          <w:rFonts w:ascii="Times New Roman" w:hAnsi="Times New Roman"/>
          <w:b/>
          <w:bCs/>
          <w:sz w:val="24"/>
          <w:szCs w:val="24"/>
          <w:vertAlign w:val="superscript"/>
        </w:rPr>
        <w:t xml:space="preserve">a, b, </w:t>
      </w:r>
      <w:r w:rsidRPr="00CB07C2">
        <w:rPr>
          <w:rFonts w:ascii="Times New Roman" w:hAnsi="Times New Roman"/>
          <w:b/>
          <w:bCs/>
          <w:sz w:val="24"/>
          <w:szCs w:val="24"/>
        </w:rPr>
        <w:t>*</w:t>
      </w:r>
      <w:r w:rsidRPr="00CB07C2">
        <w:rPr>
          <w:rFonts w:ascii="Times New Roman" w:eastAsia="楷体" w:hAnsi="Times New Roman" w:cs="Times New Roman"/>
          <w:b/>
          <w:bCs/>
          <w:sz w:val="24"/>
          <w:szCs w:val="28"/>
        </w:rPr>
        <w:t>, Guoliang Sa</w:t>
      </w:r>
      <w:r w:rsidRPr="00CB07C2">
        <w:rPr>
          <w:rFonts w:ascii="Times New Roman" w:hAnsi="Times New Roman"/>
          <w:b/>
          <w:bCs/>
          <w:sz w:val="24"/>
          <w:szCs w:val="24"/>
          <w:vertAlign w:val="superscript"/>
        </w:rPr>
        <w:t xml:space="preserve">a, b, </w:t>
      </w:r>
      <w:r w:rsidRPr="00CB07C2">
        <w:rPr>
          <w:rFonts w:ascii="Times New Roman" w:hAnsi="Times New Roman"/>
          <w:b/>
          <w:bCs/>
          <w:sz w:val="24"/>
          <w:szCs w:val="24"/>
        </w:rPr>
        <w:t>*</w:t>
      </w:r>
    </w:p>
    <w:p w14:paraId="3F64CEEE" w14:textId="77777777" w:rsidR="007F3311" w:rsidRPr="00CB07C2" w:rsidRDefault="007F3311" w:rsidP="007F3311">
      <w:pPr>
        <w:widowControl/>
        <w:tabs>
          <w:tab w:val="left" w:pos="958"/>
        </w:tabs>
        <w:spacing w:line="360" w:lineRule="auto"/>
        <w:rPr>
          <w:rFonts w:ascii="Times New Roman" w:eastAsia="楷体" w:hAnsi="Times New Roman" w:cs="Times New Roman"/>
          <w:sz w:val="24"/>
          <w:szCs w:val="28"/>
        </w:rPr>
      </w:pPr>
      <w:r w:rsidRPr="00CB07C2">
        <w:rPr>
          <w:rFonts w:ascii="Times New Roman" w:eastAsia="楷体" w:hAnsi="Times New Roman" w:cs="Times New Roman"/>
          <w:sz w:val="24"/>
          <w:szCs w:val="28"/>
          <w:vertAlign w:val="superscript"/>
        </w:rPr>
        <w:t xml:space="preserve">a </w:t>
      </w:r>
      <w:r w:rsidRPr="00CB07C2">
        <w:rPr>
          <w:rFonts w:ascii="Times New Roman" w:eastAsia="楷体" w:hAnsi="Times New Roman" w:cs="Times New Roman"/>
          <w:sz w:val="24"/>
          <w:szCs w:val="28"/>
        </w:rPr>
        <w:t>State Key Laboratory of Oral &amp; Maxillofacial Reconstruction and Regeneration, Key Laboratory of Oral Biomedicine Ministry of Education, Hubei Key Laboratory of Stomatology, School &amp; Hospital of Stomatology, Wuhan University, Wuhan 430079, China</w:t>
      </w:r>
      <w:r w:rsidRPr="00CB07C2">
        <w:rPr>
          <w:rFonts w:ascii="Times New Roman" w:eastAsia="楷体" w:hAnsi="Times New Roman" w:cs="Times New Roman" w:hint="eastAsia"/>
          <w:sz w:val="24"/>
          <w:szCs w:val="28"/>
        </w:rPr>
        <w:t>.</w:t>
      </w:r>
    </w:p>
    <w:p w14:paraId="196348B2" w14:textId="77777777" w:rsidR="007F3311" w:rsidRPr="00CB07C2" w:rsidRDefault="007F3311" w:rsidP="007F3311">
      <w:pPr>
        <w:widowControl/>
        <w:tabs>
          <w:tab w:val="left" w:pos="958"/>
        </w:tabs>
        <w:spacing w:line="360" w:lineRule="auto"/>
        <w:rPr>
          <w:rFonts w:ascii="Times New Roman" w:eastAsia="楷体" w:hAnsi="Times New Roman" w:cs="Times New Roman"/>
          <w:sz w:val="24"/>
          <w:szCs w:val="28"/>
        </w:rPr>
      </w:pPr>
      <w:r w:rsidRPr="00CB07C2">
        <w:rPr>
          <w:rFonts w:ascii="Times New Roman" w:eastAsia="楷体" w:hAnsi="Times New Roman" w:cs="Times New Roman"/>
          <w:sz w:val="24"/>
          <w:szCs w:val="28"/>
          <w:vertAlign w:val="superscript"/>
        </w:rPr>
        <w:t xml:space="preserve">b </w:t>
      </w:r>
      <w:r w:rsidRPr="00CB07C2">
        <w:rPr>
          <w:rFonts w:ascii="Times New Roman" w:eastAsia="楷体" w:hAnsi="Times New Roman" w:cs="Times New Roman"/>
          <w:sz w:val="24"/>
          <w:szCs w:val="28"/>
        </w:rPr>
        <w:t>Department of Oral and Maxillofacial surgery, School and Hospital of Stomatology, Wuhan University, Wuhan, 430079</w:t>
      </w:r>
    </w:p>
    <w:p w14:paraId="10E88C0A" w14:textId="77777777" w:rsidR="007F3311" w:rsidRPr="00CB07C2" w:rsidRDefault="007F3311" w:rsidP="007F3311">
      <w:pPr>
        <w:widowControl/>
        <w:tabs>
          <w:tab w:val="left" w:pos="958"/>
        </w:tabs>
        <w:spacing w:line="360" w:lineRule="auto"/>
        <w:rPr>
          <w:rFonts w:ascii="Times New Roman" w:eastAsia="楷体" w:hAnsi="Times New Roman" w:cs="Times New Roman"/>
          <w:sz w:val="24"/>
          <w:szCs w:val="28"/>
        </w:rPr>
      </w:pPr>
      <w:r w:rsidRPr="00CB07C2">
        <w:rPr>
          <w:rFonts w:ascii="Times New Roman" w:eastAsia="楷体" w:hAnsi="Times New Roman" w:cs="Times New Roman"/>
          <w:sz w:val="24"/>
          <w:szCs w:val="28"/>
          <w:vertAlign w:val="superscript"/>
        </w:rPr>
        <w:t>1</w:t>
      </w:r>
      <w:r w:rsidRPr="00CB07C2">
        <w:rPr>
          <w:rFonts w:ascii="Times New Roman" w:eastAsia="楷体" w:hAnsi="Times New Roman" w:cs="Times New Roman"/>
          <w:sz w:val="24"/>
          <w:szCs w:val="28"/>
        </w:rPr>
        <w:t xml:space="preserve"> These authors contribute equally to this work.</w:t>
      </w:r>
    </w:p>
    <w:p w14:paraId="44511806" w14:textId="529199BD" w:rsidR="007F3311" w:rsidRPr="00CB07C2" w:rsidRDefault="007F3311" w:rsidP="007F3311">
      <w:pPr>
        <w:widowControl/>
        <w:tabs>
          <w:tab w:val="left" w:pos="958"/>
        </w:tabs>
        <w:spacing w:line="360" w:lineRule="auto"/>
        <w:rPr>
          <w:rFonts w:ascii="Times New Roman" w:eastAsia="楷体" w:hAnsi="Times New Roman" w:cs="Times New Roman"/>
          <w:sz w:val="24"/>
          <w:szCs w:val="28"/>
        </w:rPr>
      </w:pPr>
      <w:r w:rsidRPr="00CB07C2">
        <w:rPr>
          <w:rFonts w:ascii="Times New Roman" w:hAnsi="Times New Roman"/>
          <w:b/>
          <w:bCs/>
          <w:sz w:val="24"/>
          <w:szCs w:val="24"/>
        </w:rPr>
        <w:t xml:space="preserve">* </w:t>
      </w:r>
      <w:r w:rsidRPr="00CB07C2">
        <w:rPr>
          <w:rFonts w:ascii="Times New Roman" w:eastAsia="楷体" w:hAnsi="Times New Roman" w:cs="Times New Roman"/>
          <w:sz w:val="24"/>
          <w:szCs w:val="28"/>
        </w:rPr>
        <w:t>Corresponding author: Sangang He, Guoliang Sa.</w:t>
      </w:r>
    </w:p>
    <w:p w14:paraId="76138773" w14:textId="77777777" w:rsidR="007F3311" w:rsidRPr="00CB07C2" w:rsidRDefault="007F3311" w:rsidP="007F3311">
      <w:pPr>
        <w:widowControl/>
        <w:spacing w:line="360" w:lineRule="auto"/>
        <w:rPr>
          <w:rFonts w:ascii="Times New Roman" w:eastAsia="楷体" w:hAnsi="Times New Roman" w:cs="Times New Roman"/>
          <w:sz w:val="24"/>
          <w:szCs w:val="28"/>
        </w:rPr>
      </w:pPr>
      <w:r w:rsidRPr="00CB07C2">
        <w:rPr>
          <w:rFonts w:ascii="Times New Roman" w:eastAsia="楷体" w:hAnsi="Times New Roman" w:cs="Times New Roman"/>
          <w:sz w:val="24"/>
          <w:szCs w:val="28"/>
        </w:rPr>
        <w:t>E-mail addresses: sangang@whu.edu.cn (S. H); guoliang@whu.edu.cn (G. Sa).</w:t>
      </w:r>
    </w:p>
    <w:bookmarkEnd w:id="0"/>
    <w:p w14:paraId="51184095" w14:textId="51E8E6FB" w:rsidR="00382D3E" w:rsidRPr="00CB07C2" w:rsidRDefault="00382D3E" w:rsidP="00D01C25">
      <w:pPr>
        <w:spacing w:line="360" w:lineRule="auto"/>
        <w:rPr>
          <w:rFonts w:ascii="Times New Roman" w:hAnsi="Times New Roman" w:cs="Times New Roman"/>
          <w:noProof/>
          <w:sz w:val="24"/>
          <w:szCs w:val="24"/>
        </w:rPr>
      </w:pPr>
    </w:p>
    <w:p w14:paraId="2A832A67" w14:textId="6C5CE3E1" w:rsidR="005B4787" w:rsidRPr="00CB07C2" w:rsidRDefault="005B4787" w:rsidP="00D01C25">
      <w:pPr>
        <w:spacing w:line="360" w:lineRule="auto"/>
        <w:rPr>
          <w:rFonts w:ascii="Times New Roman" w:hAnsi="Times New Roman" w:cs="Times New Roman"/>
          <w:noProof/>
          <w:sz w:val="24"/>
          <w:szCs w:val="24"/>
        </w:rPr>
      </w:pPr>
    </w:p>
    <w:p w14:paraId="429F0E1F" w14:textId="6AED9DF1" w:rsidR="008424C1" w:rsidRPr="00CB07C2" w:rsidRDefault="008424C1" w:rsidP="00D01C25">
      <w:pPr>
        <w:spacing w:line="360" w:lineRule="auto"/>
        <w:rPr>
          <w:rFonts w:ascii="Times New Roman" w:hAnsi="Times New Roman" w:cs="Times New Roman"/>
          <w:noProof/>
          <w:sz w:val="24"/>
          <w:szCs w:val="24"/>
        </w:rPr>
      </w:pPr>
    </w:p>
    <w:p w14:paraId="38D108DC" w14:textId="31ABC478" w:rsidR="008424C1" w:rsidRPr="00CB07C2" w:rsidRDefault="008424C1" w:rsidP="00D01C25">
      <w:pPr>
        <w:spacing w:line="360" w:lineRule="auto"/>
        <w:rPr>
          <w:rFonts w:ascii="Times New Roman" w:hAnsi="Times New Roman" w:cs="Times New Roman"/>
          <w:noProof/>
          <w:sz w:val="24"/>
          <w:szCs w:val="24"/>
        </w:rPr>
      </w:pPr>
    </w:p>
    <w:p w14:paraId="259CED09" w14:textId="5A1F65EB" w:rsidR="008424C1" w:rsidRPr="00CB07C2" w:rsidRDefault="008424C1" w:rsidP="00D01C25">
      <w:pPr>
        <w:spacing w:line="360" w:lineRule="auto"/>
        <w:rPr>
          <w:rFonts w:ascii="Times New Roman" w:hAnsi="Times New Roman" w:cs="Times New Roman"/>
          <w:noProof/>
          <w:sz w:val="24"/>
          <w:szCs w:val="24"/>
        </w:rPr>
      </w:pPr>
    </w:p>
    <w:p w14:paraId="0195D279" w14:textId="44063E32" w:rsidR="008424C1" w:rsidRPr="00CB07C2" w:rsidRDefault="008424C1" w:rsidP="00D01C25">
      <w:pPr>
        <w:spacing w:line="360" w:lineRule="auto"/>
        <w:rPr>
          <w:rFonts w:ascii="Times New Roman" w:hAnsi="Times New Roman" w:cs="Times New Roman"/>
          <w:noProof/>
          <w:sz w:val="24"/>
          <w:szCs w:val="24"/>
        </w:rPr>
      </w:pPr>
    </w:p>
    <w:p w14:paraId="3E8CD1F1" w14:textId="1032E8FA" w:rsidR="008424C1" w:rsidRPr="00CB07C2" w:rsidRDefault="008424C1" w:rsidP="00D01C25">
      <w:pPr>
        <w:spacing w:line="360" w:lineRule="auto"/>
        <w:rPr>
          <w:rFonts w:ascii="Times New Roman" w:hAnsi="Times New Roman" w:cs="Times New Roman"/>
          <w:noProof/>
          <w:sz w:val="24"/>
          <w:szCs w:val="24"/>
        </w:rPr>
      </w:pPr>
    </w:p>
    <w:p w14:paraId="0C20821C" w14:textId="68A4F1DE" w:rsidR="008424C1" w:rsidRPr="00CB07C2" w:rsidRDefault="008424C1" w:rsidP="00D01C25">
      <w:pPr>
        <w:spacing w:line="360" w:lineRule="auto"/>
        <w:rPr>
          <w:rFonts w:ascii="Times New Roman" w:hAnsi="Times New Roman" w:cs="Times New Roman"/>
          <w:noProof/>
          <w:sz w:val="24"/>
          <w:szCs w:val="24"/>
        </w:rPr>
      </w:pPr>
    </w:p>
    <w:p w14:paraId="1ADFB5AE" w14:textId="0F16D89F" w:rsidR="008424C1" w:rsidRPr="00CB07C2" w:rsidRDefault="008424C1" w:rsidP="00D01C25">
      <w:pPr>
        <w:spacing w:line="360" w:lineRule="auto"/>
        <w:rPr>
          <w:rFonts w:ascii="Times New Roman" w:hAnsi="Times New Roman" w:cs="Times New Roman"/>
          <w:noProof/>
          <w:sz w:val="24"/>
          <w:szCs w:val="24"/>
        </w:rPr>
      </w:pPr>
    </w:p>
    <w:p w14:paraId="7A8104EE" w14:textId="380E6EF2" w:rsidR="008424C1" w:rsidRPr="00CB07C2" w:rsidRDefault="008424C1" w:rsidP="00D01C25">
      <w:pPr>
        <w:spacing w:line="360" w:lineRule="auto"/>
        <w:rPr>
          <w:rFonts w:ascii="Times New Roman" w:hAnsi="Times New Roman" w:cs="Times New Roman"/>
          <w:noProof/>
          <w:sz w:val="24"/>
          <w:szCs w:val="24"/>
        </w:rPr>
      </w:pPr>
    </w:p>
    <w:p w14:paraId="1CC2FE53" w14:textId="723CCC73" w:rsidR="008424C1" w:rsidRPr="00CB07C2" w:rsidRDefault="008424C1" w:rsidP="00D01C25">
      <w:pPr>
        <w:spacing w:line="360" w:lineRule="auto"/>
        <w:rPr>
          <w:rFonts w:ascii="Times New Roman" w:hAnsi="Times New Roman" w:cs="Times New Roman"/>
          <w:noProof/>
          <w:sz w:val="24"/>
          <w:szCs w:val="24"/>
        </w:rPr>
      </w:pPr>
    </w:p>
    <w:p w14:paraId="217C5A9B" w14:textId="3A33D662" w:rsidR="008424C1" w:rsidRPr="00CB07C2" w:rsidRDefault="008424C1" w:rsidP="00D01C25">
      <w:pPr>
        <w:spacing w:line="360" w:lineRule="auto"/>
        <w:rPr>
          <w:rFonts w:ascii="Times New Roman" w:hAnsi="Times New Roman" w:cs="Times New Roman"/>
          <w:noProof/>
          <w:sz w:val="24"/>
          <w:szCs w:val="24"/>
        </w:rPr>
      </w:pPr>
    </w:p>
    <w:p w14:paraId="71B431EF" w14:textId="621ADE7B" w:rsidR="008424C1" w:rsidRPr="00CB07C2" w:rsidRDefault="008424C1" w:rsidP="00D01C25">
      <w:pPr>
        <w:spacing w:line="360" w:lineRule="auto"/>
        <w:rPr>
          <w:rFonts w:ascii="Times New Roman" w:hAnsi="Times New Roman" w:cs="Times New Roman"/>
          <w:noProof/>
          <w:sz w:val="24"/>
          <w:szCs w:val="24"/>
        </w:rPr>
      </w:pPr>
    </w:p>
    <w:p w14:paraId="3BD60FF1" w14:textId="43194EA7" w:rsidR="008424C1" w:rsidRPr="00CB07C2" w:rsidRDefault="008424C1" w:rsidP="00D01C25">
      <w:pPr>
        <w:spacing w:line="360" w:lineRule="auto"/>
        <w:rPr>
          <w:rFonts w:ascii="Times New Roman" w:hAnsi="Times New Roman" w:cs="Times New Roman"/>
          <w:noProof/>
          <w:sz w:val="24"/>
          <w:szCs w:val="24"/>
        </w:rPr>
      </w:pPr>
    </w:p>
    <w:p w14:paraId="3CEB2AD2" w14:textId="4BFFFC82" w:rsidR="008424C1" w:rsidRPr="00CB07C2" w:rsidRDefault="008424C1" w:rsidP="00D01C25">
      <w:pPr>
        <w:spacing w:line="360" w:lineRule="auto"/>
        <w:rPr>
          <w:rFonts w:ascii="Times New Roman" w:hAnsi="Times New Roman" w:cs="Times New Roman"/>
          <w:noProof/>
          <w:sz w:val="24"/>
          <w:szCs w:val="24"/>
        </w:rPr>
      </w:pPr>
    </w:p>
    <w:p w14:paraId="3686DF45" w14:textId="44806424" w:rsidR="008424C1" w:rsidRPr="00CB07C2" w:rsidRDefault="008424C1" w:rsidP="00D01C25">
      <w:pPr>
        <w:spacing w:line="360" w:lineRule="auto"/>
        <w:rPr>
          <w:rFonts w:ascii="Times New Roman" w:hAnsi="Times New Roman" w:cs="Times New Roman"/>
          <w:noProof/>
          <w:sz w:val="24"/>
          <w:szCs w:val="24"/>
        </w:rPr>
      </w:pPr>
    </w:p>
    <w:p w14:paraId="0C8E9398" w14:textId="77777777" w:rsidR="008424C1" w:rsidRPr="00CB07C2" w:rsidRDefault="008424C1" w:rsidP="00D01C25">
      <w:pPr>
        <w:spacing w:line="360" w:lineRule="auto"/>
        <w:rPr>
          <w:rFonts w:ascii="Times New Roman" w:hAnsi="Times New Roman" w:cs="Times New Roman"/>
          <w:noProof/>
          <w:sz w:val="24"/>
          <w:szCs w:val="24"/>
        </w:rPr>
      </w:pPr>
    </w:p>
    <w:p w14:paraId="5E914E42" w14:textId="77777777" w:rsidR="00F12BD6" w:rsidRPr="00CB07C2" w:rsidRDefault="00F12BD6" w:rsidP="00F12BD6">
      <w:pPr>
        <w:widowControl/>
        <w:tabs>
          <w:tab w:val="left" w:pos="958"/>
        </w:tabs>
        <w:spacing w:line="360" w:lineRule="auto"/>
        <w:rPr>
          <w:rFonts w:ascii="Times New Roman" w:eastAsia="楷体" w:hAnsi="Times New Roman" w:cs="Times New Roman"/>
          <w:sz w:val="24"/>
          <w:szCs w:val="28"/>
        </w:rPr>
      </w:pPr>
      <w:bookmarkStart w:id="1" w:name="_Hlk175414000"/>
      <w:r w:rsidRPr="00CB07C2">
        <w:rPr>
          <w:rFonts w:ascii="Times New Roman" w:eastAsiaTheme="majorEastAsia" w:hAnsi="Times New Roman" w:cs="Times New Roman"/>
          <w:b/>
          <w:bCs/>
          <w:sz w:val="24"/>
          <w:szCs w:val="32"/>
        </w:rPr>
        <w:lastRenderedPageBreak/>
        <w:t>Materials and methods</w:t>
      </w:r>
    </w:p>
    <w:p w14:paraId="1B39D653" w14:textId="77777777" w:rsidR="006C3B08" w:rsidRPr="00CB07C2" w:rsidRDefault="006C3B08" w:rsidP="006C3B08">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Transmission Electron Microscopy (TEM)</w:t>
      </w:r>
    </w:p>
    <w:p w14:paraId="14DFF111" w14:textId="77777777" w:rsidR="006C3B08" w:rsidRPr="00CB07C2" w:rsidRDefault="006C3B08" w:rsidP="006C3B08">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Ultra-thin sections of skin samples and negatively stained migrasomes were observed using TEM. Skin samples were trimmed into 1 mm × 1 mm × 3 mm blocks with ophthalmic scissors and fixed in electron microscopy fixative (G1102, Servicebio, China). Samples were then fixed in 1% osmium tetroxide (18456, Ted Pella Inc, USA) at room temperature for 2 hours, dehydrated through a graded series of ethanol (30%, 50%, 70%, 80%, 95%, 100%, 100%), and embedded in acetone resin. Ultra-thin sections of the embedded specimens were prepared and placed on 150-mesh copper grids (WFHM-150, Servicebio, China) for observation with a transmission electron microscope (HT7700, HITACHI, Japan). Purified migrasomes were placed on 200-mesh copper grids for 5-10 minutes, excess liquid was absorbed with filter paper, stained with 2% uranyl acetate, and observed using the transmission electron microscope (HT7700, HITACHI, Japan).</w:t>
      </w:r>
    </w:p>
    <w:p w14:paraId="6E2FD484" w14:textId="77777777" w:rsidR="006C3B08" w:rsidRPr="00CB07C2" w:rsidRDefault="006C3B08" w:rsidP="006C3B08">
      <w:pPr>
        <w:widowControl/>
        <w:tabs>
          <w:tab w:val="left" w:pos="958"/>
        </w:tabs>
        <w:spacing w:line="360" w:lineRule="auto"/>
        <w:rPr>
          <w:rFonts w:ascii="Times New Roman" w:eastAsia="楷体" w:hAnsi="Times New Roman" w:cs="Times New Roman"/>
          <w:sz w:val="24"/>
          <w:szCs w:val="28"/>
        </w:rPr>
      </w:pPr>
    </w:p>
    <w:p w14:paraId="3BF8C6C3" w14:textId="77777777" w:rsidR="006C3B08" w:rsidRPr="00CB07C2" w:rsidRDefault="006C3B08" w:rsidP="006C3B08">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Scanning Electron Microscopy (SEM)</w:t>
      </w:r>
    </w:p>
    <w:p w14:paraId="51EDF597" w14:textId="5DDD20F2" w:rsidR="006C3B08" w:rsidRPr="00CB07C2" w:rsidRDefault="006C3B08" w:rsidP="006C3B08">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After cell culture</w:t>
      </w:r>
      <w:r w:rsidR="00201E05" w:rsidRPr="00CB07C2">
        <w:rPr>
          <w:rFonts w:ascii="Times New Roman" w:eastAsia="楷体" w:hAnsi="Times New Roman" w:cs="Times New Roman"/>
          <w:sz w:val="24"/>
          <w:szCs w:val="28"/>
        </w:rPr>
        <w:t>d</w:t>
      </w:r>
      <w:r w:rsidRPr="00CB07C2">
        <w:rPr>
          <w:rFonts w:ascii="Times New Roman" w:eastAsia="楷体" w:hAnsi="Times New Roman" w:cs="Times New Roman"/>
          <w:sz w:val="24"/>
          <w:szCs w:val="28"/>
        </w:rPr>
        <w:t xml:space="preserve"> on the cell slides, the medium was discarded, and samples were gently washed with PBS, then fixed in electron microscopy fixative at room temperature for 2 hours. This was followed by fixation in 1% osmium tetroxide for 2 hours. Samples were then dehydrated through a graded ethanol series (30%, 50%, 70%, 80%, 95%, 100%, 100%) for 15 minutes each, and subsequently treated with isoamyl acetate for 15 minutes. The samples were dried in a critical point dryer, gold spraying for about 30 seconds using an ion sputtering instrument (MC1000, Hitachi, Japan), and observed with a scanning electron microscope (SU8100, Hitachi, Japan).</w:t>
      </w:r>
    </w:p>
    <w:p w14:paraId="30F37806" w14:textId="77777777" w:rsidR="006C3B08" w:rsidRPr="00CB07C2" w:rsidRDefault="006C3B08" w:rsidP="006C3B08">
      <w:pPr>
        <w:widowControl/>
        <w:tabs>
          <w:tab w:val="left" w:pos="958"/>
        </w:tabs>
        <w:spacing w:line="360" w:lineRule="auto"/>
        <w:rPr>
          <w:rFonts w:ascii="Times New Roman" w:eastAsia="楷体" w:hAnsi="Times New Roman" w:cs="Times New Roman"/>
          <w:sz w:val="24"/>
          <w:szCs w:val="28"/>
        </w:rPr>
      </w:pPr>
    </w:p>
    <w:p w14:paraId="075053AD" w14:textId="77777777" w:rsidR="006C3B08" w:rsidRPr="00CB07C2" w:rsidRDefault="006C3B08" w:rsidP="006C3B08">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Induction of HaCaT and BJ cells senescence</w:t>
      </w:r>
    </w:p>
    <w:bookmarkEnd w:id="1"/>
    <w:p w14:paraId="2FA6D0FE" w14:textId="77777777" w:rsidR="006C3B08" w:rsidRPr="00CB07C2" w:rsidRDefault="006C3B08" w:rsidP="006C3B08">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HaCaT cells were treated with 600 μmol/L </w:t>
      </w:r>
      <w:bookmarkStart w:id="2" w:name="_Hlk180778014"/>
      <w:r w:rsidRPr="00CB07C2">
        <w:rPr>
          <w:rFonts w:ascii="Times New Roman" w:eastAsia="楷体" w:hAnsi="Times New Roman" w:cs="Times New Roman"/>
          <w:sz w:val="24"/>
          <w:szCs w:val="28"/>
        </w:rPr>
        <w:t>H</w:t>
      </w:r>
      <w:r w:rsidRPr="00CB07C2">
        <w:rPr>
          <w:rFonts w:ascii="Times New Roman" w:eastAsia="楷体" w:hAnsi="Times New Roman" w:cs="Times New Roman"/>
          <w:sz w:val="24"/>
          <w:szCs w:val="28"/>
          <w:vertAlign w:val="subscript"/>
        </w:rPr>
        <w:t>2</w:t>
      </w:r>
      <w:r w:rsidRPr="00CB07C2">
        <w:rPr>
          <w:rFonts w:ascii="Times New Roman" w:eastAsia="楷体" w:hAnsi="Times New Roman" w:cs="Times New Roman"/>
          <w:sz w:val="24"/>
          <w:szCs w:val="28"/>
        </w:rPr>
        <w:t>O</w:t>
      </w:r>
      <w:r w:rsidRPr="00CB07C2">
        <w:rPr>
          <w:rFonts w:ascii="Times New Roman" w:eastAsia="楷体" w:hAnsi="Times New Roman" w:cs="Times New Roman"/>
          <w:sz w:val="24"/>
          <w:szCs w:val="28"/>
          <w:vertAlign w:val="subscript"/>
        </w:rPr>
        <w:t>2</w:t>
      </w:r>
      <w:bookmarkEnd w:id="2"/>
      <w:r w:rsidRPr="00CB07C2">
        <w:rPr>
          <w:rFonts w:ascii="Times New Roman" w:eastAsia="楷体" w:hAnsi="Times New Roman" w:cs="Times New Roman"/>
          <w:sz w:val="24"/>
          <w:szCs w:val="28"/>
        </w:rPr>
        <w:t xml:space="preserve"> (H792072, Macklin, China) (diluted in serum-free medium) for 4 hours in the incubator to induce senescence. Cells were then cultured in fresh complete medium, and after 48 hours, relevant indicators were assessed for subsequent experiments. BJ cells were treated with 200 μmol/L H</w:t>
      </w:r>
      <w:r w:rsidRPr="00CB07C2">
        <w:rPr>
          <w:rFonts w:ascii="Times New Roman" w:eastAsia="楷体" w:hAnsi="Times New Roman" w:cs="Times New Roman"/>
          <w:sz w:val="24"/>
          <w:szCs w:val="28"/>
          <w:vertAlign w:val="subscript"/>
        </w:rPr>
        <w:t>2</w:t>
      </w:r>
      <w:r w:rsidRPr="00CB07C2">
        <w:rPr>
          <w:rFonts w:ascii="Times New Roman" w:eastAsia="楷体" w:hAnsi="Times New Roman" w:cs="Times New Roman"/>
          <w:sz w:val="24"/>
          <w:szCs w:val="28"/>
        </w:rPr>
        <w:t>O</w:t>
      </w:r>
      <w:r w:rsidRPr="00CB07C2">
        <w:rPr>
          <w:rFonts w:ascii="Times New Roman" w:eastAsia="楷体" w:hAnsi="Times New Roman" w:cs="Times New Roman"/>
          <w:sz w:val="24"/>
          <w:szCs w:val="28"/>
          <w:vertAlign w:val="subscript"/>
        </w:rPr>
        <w:t>2</w:t>
      </w:r>
      <w:r w:rsidRPr="00CB07C2">
        <w:rPr>
          <w:rFonts w:ascii="Times New Roman" w:eastAsia="楷体" w:hAnsi="Times New Roman" w:cs="Times New Roman"/>
          <w:sz w:val="24"/>
          <w:szCs w:val="28"/>
        </w:rPr>
        <w:t xml:space="preserve"> </w:t>
      </w:r>
      <w:r w:rsidRPr="00CB07C2">
        <w:rPr>
          <w:rFonts w:ascii="Times New Roman" w:eastAsia="楷体" w:hAnsi="Times New Roman" w:cs="Times New Roman"/>
          <w:sz w:val="24"/>
          <w:szCs w:val="28"/>
        </w:rPr>
        <w:lastRenderedPageBreak/>
        <w:t>(diluted in serum-free medium) for 12 hours, and after 48 hours, and the relevant indicators were evaluated for subsequent experiments.</w:t>
      </w:r>
    </w:p>
    <w:p w14:paraId="2DAC5C25" w14:textId="77777777" w:rsidR="006C3B08" w:rsidRPr="00CB07C2" w:rsidRDefault="006C3B08" w:rsidP="006C3B08">
      <w:pPr>
        <w:widowControl/>
        <w:tabs>
          <w:tab w:val="left" w:pos="958"/>
        </w:tabs>
        <w:spacing w:line="360" w:lineRule="auto"/>
        <w:ind w:firstLineChars="200" w:firstLine="482"/>
        <w:rPr>
          <w:rFonts w:ascii="Times New Roman" w:eastAsia="楷体" w:hAnsi="Times New Roman" w:cs="Times New Roman"/>
          <w:b/>
          <w:bCs/>
          <w:sz w:val="24"/>
          <w:szCs w:val="28"/>
        </w:rPr>
      </w:pPr>
    </w:p>
    <w:p w14:paraId="4857AFF0" w14:textId="77777777" w:rsidR="006C3B08" w:rsidRPr="00CB07C2" w:rsidRDefault="006C3B08" w:rsidP="006C3B08">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Senescence-Associated-β-Galactosidase (SA-β-gal) Staining</w:t>
      </w:r>
    </w:p>
    <w:p w14:paraId="67056260" w14:textId="4EFD6782" w:rsidR="006C3B08" w:rsidRPr="00CB07C2" w:rsidRDefault="006C3B08" w:rsidP="006C3B08">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Cells were fixed with fixative for 15 minutes and then stained with freshly prepared staining solution at 37°C for 24 hours, according to the SA-β-gal assay kit manual (C0602, Beyotime, China). Result was observed and then photographed through microscope (IX83, Olympus, Japan). </w:t>
      </w:r>
    </w:p>
    <w:p w14:paraId="7EFF2E20" w14:textId="77777777" w:rsidR="00353608" w:rsidRPr="00CB07C2" w:rsidRDefault="00353608" w:rsidP="0064369C">
      <w:pPr>
        <w:widowControl/>
        <w:tabs>
          <w:tab w:val="left" w:pos="958"/>
        </w:tabs>
        <w:spacing w:line="360" w:lineRule="auto"/>
        <w:rPr>
          <w:rFonts w:ascii="Times New Roman" w:eastAsia="楷体" w:hAnsi="Times New Roman" w:cs="Times New Roman"/>
          <w:sz w:val="24"/>
          <w:szCs w:val="28"/>
        </w:rPr>
      </w:pPr>
    </w:p>
    <w:p w14:paraId="1A586EF1"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Migrasomes internalization assay</w:t>
      </w:r>
    </w:p>
    <w:p w14:paraId="4DA4C3F4" w14:textId="77777777" w:rsidR="00924794" w:rsidRPr="00CB07C2" w:rsidRDefault="00924794" w:rsidP="00924794">
      <w:pPr>
        <w:widowControl/>
        <w:tabs>
          <w:tab w:val="left" w:pos="958"/>
        </w:tabs>
        <w:spacing w:line="360" w:lineRule="auto"/>
        <w:ind w:firstLineChars="150" w:firstLine="36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Migrasomes were stained with 5 μg/ml red </w:t>
      </w:r>
      <w:bookmarkStart w:id="3" w:name="_Hlk180695548"/>
      <w:r w:rsidRPr="00CB07C2">
        <w:rPr>
          <w:rFonts w:ascii="Times New Roman" w:eastAsia="楷体" w:hAnsi="Times New Roman" w:cs="Times New Roman"/>
          <w:sz w:val="24"/>
          <w:szCs w:val="28"/>
        </w:rPr>
        <w:t>wheat germ agglutinin</w:t>
      </w:r>
      <w:bookmarkEnd w:id="3"/>
      <w:r w:rsidRPr="00CB07C2">
        <w:rPr>
          <w:rFonts w:ascii="Times New Roman" w:eastAsia="楷体" w:hAnsi="Times New Roman" w:cs="Times New Roman"/>
          <w:sz w:val="24"/>
          <w:szCs w:val="28"/>
        </w:rPr>
        <w:t xml:space="preserve"> (WGA) (W7024, Thermo Scientific, USA) for 15 minutes label migrasomes. Then, the labeled migrasomes were added to senescent HaCaT cells and co-cultured for 4 hours. HaCaT cells were washed with PBS and fixed in 4% PFA for 15 minutes, and stained with phalloidin. After washing with PBS three times, stain the nuclei with DAPI and observe using a confocal microscope (FV1200, Olympus, Japan).</w:t>
      </w:r>
    </w:p>
    <w:p w14:paraId="44FE4E84"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p>
    <w:p w14:paraId="6B1706DA"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r w:rsidRPr="00CB07C2">
        <w:rPr>
          <w:rFonts w:ascii="Times New Roman" w:eastAsia="楷体" w:hAnsi="Times New Roman" w:cs="Times New Roman"/>
          <w:b/>
          <w:bCs/>
          <w:sz w:val="24"/>
          <w:szCs w:val="28"/>
        </w:rPr>
        <w:t>Western blotting</w:t>
      </w:r>
    </w:p>
    <w:p w14:paraId="6D6EBE6C" w14:textId="77777777"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Cells and migrasomes were lysed using Radioimmunoprecipitation (RIPA) lysis buffer (P0013B, Beyotime, China) containing 1% Phenylmethanesulfonylfluoride (PMSF) (ST506, Beyotime, China). Protein concentration was measured with the BCA Protein Assay Kit, and western blotting was performed according to previously reported protocols. </w:t>
      </w:r>
    </w:p>
    <w:p w14:paraId="4C8C1E5C" w14:textId="77777777"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For tissue samples, after being washed with PBS, the samples were placed into a centrifuge tube. Subsequently, metal grinding beads (F6621, Beyotime, China) and 1 mL of RIPA buffer containing 1% PMSF were added per 0.1 g of tissue. The tissue was then homogenized using a tissue homogenizer (OSE-TH-02, TIANGEN, China). Following homogenization, the resultant liquid was transferred to a fresh tube, subjected to sonication, and incubated on ice for 30 minutes. Western blotting was performed according to previously reported protocols.</w:t>
      </w:r>
    </w:p>
    <w:p w14:paraId="36758344"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p>
    <w:p w14:paraId="5539AB5B"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bookmarkStart w:id="4" w:name="_Hlk181440468"/>
      <w:r w:rsidRPr="00CB07C2">
        <w:rPr>
          <w:rFonts w:ascii="Times New Roman" w:eastAsia="楷体" w:hAnsi="Times New Roman" w:cs="Times New Roman"/>
          <w:b/>
          <w:bCs/>
          <w:sz w:val="24"/>
          <w:szCs w:val="28"/>
        </w:rPr>
        <w:t>Immunofluorescence staining</w:t>
      </w:r>
    </w:p>
    <w:bookmarkEnd w:id="4"/>
    <w:p w14:paraId="206FB23A" w14:textId="77777777" w:rsidR="00924794" w:rsidRPr="00CB07C2" w:rsidRDefault="00924794" w:rsidP="00924794">
      <w:pPr>
        <w:widowControl/>
        <w:tabs>
          <w:tab w:val="left" w:pos="958"/>
        </w:tabs>
        <w:spacing w:line="360" w:lineRule="auto"/>
        <w:ind w:firstLineChars="200" w:firstLine="480"/>
        <w:rPr>
          <w:rFonts w:ascii="Times New Roman" w:hAnsi="Times New Roman" w:cs="Times New Roman"/>
          <w:sz w:val="24"/>
        </w:rPr>
      </w:pPr>
      <w:r w:rsidRPr="00CB07C2">
        <w:rPr>
          <w:rFonts w:ascii="Times New Roman" w:eastAsia="楷体" w:hAnsi="Times New Roman" w:cs="Times New Roman"/>
          <w:sz w:val="24"/>
          <w:szCs w:val="28"/>
        </w:rPr>
        <w:t>Cells were first fixed at room temperature with 4% PFA for 15 minutes. The cells were then washed three times with PBS. Permeabilization was performed with 0.5% Triton X-100 (P0096, Beyotime, China) at room temperature for 10 minutes, followed by three washes with PBS. Then cell was blocked with 2% bovine serum albumin (BSA) (ST023, Beyotime, China) at 37°C for 1 hour, followed by overnight incubation with the primary antibody at 4°C. And goat anti-rabbit or anti-mouse conjugated to Alexa Fluor 594 or 488 was incubated at room temperature for 1 hour. The cells were then washed three times with PBS and stained with DAPI.</w:t>
      </w:r>
      <w:r w:rsidRPr="00CB07C2">
        <w:rPr>
          <w:rFonts w:ascii="Times New Roman" w:hAnsi="Times New Roman" w:cs="Times New Roman"/>
          <w:sz w:val="24"/>
        </w:rPr>
        <w:t xml:space="preserve"> </w:t>
      </w:r>
    </w:p>
    <w:p w14:paraId="781531AF" w14:textId="77777777"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As for tissue</w:t>
      </w:r>
      <w:r w:rsidRPr="00CB07C2">
        <w:rPr>
          <w:rFonts w:ascii="Times New Roman" w:hAnsi="Times New Roman" w:cs="Times New Roman"/>
        </w:rPr>
        <w:t xml:space="preserve"> </w:t>
      </w:r>
      <w:r w:rsidRPr="00CB07C2">
        <w:rPr>
          <w:rFonts w:ascii="Times New Roman" w:eastAsia="楷体" w:hAnsi="Times New Roman" w:cs="Times New Roman"/>
          <w:sz w:val="24"/>
          <w:szCs w:val="28"/>
        </w:rPr>
        <w:t>immunofluorescence staining, after deparaffinization, tissue sections were placed in 1×EDTA at 95 ℃ for antigen repair. The subsequent steps are the same as described above.</w:t>
      </w:r>
    </w:p>
    <w:p w14:paraId="602005E0"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p>
    <w:p w14:paraId="478E5397"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Transwell assays</w:t>
      </w:r>
    </w:p>
    <w:p w14:paraId="3A29B34E" w14:textId="77777777"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b/>
          <w:bCs/>
          <w:sz w:val="24"/>
          <w:szCs w:val="28"/>
        </w:rPr>
      </w:pPr>
      <w:r w:rsidRPr="00CB07C2">
        <w:rPr>
          <w:rFonts w:ascii="Times New Roman" w:eastAsia="楷体" w:hAnsi="Times New Roman" w:cs="Times New Roman"/>
          <w:sz w:val="24"/>
          <w:szCs w:val="28"/>
        </w:rPr>
        <w:t>We conducted a transwell assay using 24-well transwell inserts with an 8 μm pore size filter (14341, Labselect, China) and 24-well culture plates. Cells were suspended in low-serum medium (containing 1% FBS) and seeded into the upper chamber at a density of 1 × 10</w:t>
      </w:r>
      <w:r w:rsidRPr="00CB07C2">
        <w:rPr>
          <w:rFonts w:ascii="Times New Roman" w:eastAsia="楷体" w:hAnsi="Times New Roman" w:cs="Times New Roman"/>
          <w:sz w:val="24"/>
          <w:szCs w:val="28"/>
          <w:vertAlign w:val="superscript"/>
        </w:rPr>
        <w:t xml:space="preserve">5 </w:t>
      </w:r>
      <w:r w:rsidRPr="00CB07C2">
        <w:rPr>
          <w:rFonts w:ascii="Times New Roman" w:eastAsia="楷体" w:hAnsi="Times New Roman" w:cs="Times New Roman"/>
          <w:sz w:val="24"/>
          <w:szCs w:val="28"/>
        </w:rPr>
        <w:t>cells per well. The lower chamber was filled with 500 μL of complete medium (containing 10% FBS). After 24 hours, cells adhering to the upper surface of the filter membrane were removed with a cotton swab, and the cells on the underside of the filter membrane (migrated cells) were stained with crystal violet. Each group was tested in triplicate.</w:t>
      </w:r>
    </w:p>
    <w:p w14:paraId="15561FF1" w14:textId="77777777" w:rsidR="00924794" w:rsidRPr="00CB07C2" w:rsidRDefault="00924794" w:rsidP="00924794">
      <w:pPr>
        <w:widowControl/>
        <w:rPr>
          <w:rFonts w:ascii="Times New Roman" w:hAnsi="Times New Roman" w:cs="Times New Roman"/>
        </w:rPr>
      </w:pPr>
    </w:p>
    <w:p w14:paraId="241413BB"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 xml:space="preserve">Scratch assay </w:t>
      </w:r>
    </w:p>
    <w:p w14:paraId="3145A2BC" w14:textId="6885470A"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Cells</w:t>
      </w:r>
      <w:r w:rsidRPr="00CB07C2">
        <w:rPr>
          <w:rFonts w:ascii="Times New Roman" w:hAnsi="Times New Roman" w:cs="Times New Roman"/>
          <w:sz w:val="24"/>
        </w:rPr>
        <w:t xml:space="preserve"> </w:t>
      </w:r>
      <w:r w:rsidRPr="00CB07C2">
        <w:rPr>
          <w:rFonts w:ascii="Times New Roman" w:eastAsia="楷体" w:hAnsi="Times New Roman" w:cs="Times New Roman"/>
          <w:sz w:val="24"/>
          <w:szCs w:val="28"/>
        </w:rPr>
        <w:t>at a density of 3 × 10</w:t>
      </w:r>
      <w:r w:rsidRPr="00CB07C2">
        <w:rPr>
          <w:rFonts w:ascii="Times New Roman" w:eastAsia="楷体" w:hAnsi="Times New Roman" w:cs="Times New Roman"/>
          <w:sz w:val="24"/>
          <w:szCs w:val="28"/>
          <w:vertAlign w:val="superscript"/>
        </w:rPr>
        <w:t>5</w:t>
      </w:r>
      <w:r w:rsidRPr="00CB07C2">
        <w:rPr>
          <w:rFonts w:ascii="Times New Roman" w:eastAsia="楷体" w:hAnsi="Times New Roman" w:cs="Times New Roman"/>
          <w:sz w:val="24"/>
          <w:szCs w:val="28"/>
        </w:rPr>
        <w:t xml:space="preserve"> cells per well were seeded and incubated in 12-well plates at 37 °C. After cell attachment, a scratch was made in the monolayer cells using a 200 μ</w:t>
      </w:r>
      <w:r w:rsidR="00201E05" w:rsidRPr="00CB07C2">
        <w:rPr>
          <w:rFonts w:ascii="Times New Roman" w:eastAsia="楷体" w:hAnsi="Times New Roman" w:cs="Times New Roman"/>
          <w:sz w:val="24"/>
          <w:szCs w:val="28"/>
        </w:rPr>
        <w:t>L</w:t>
      </w:r>
      <w:r w:rsidRPr="00CB07C2">
        <w:rPr>
          <w:rFonts w:ascii="Times New Roman" w:eastAsia="楷体" w:hAnsi="Times New Roman" w:cs="Times New Roman"/>
          <w:sz w:val="24"/>
          <w:szCs w:val="28"/>
        </w:rPr>
        <w:t xml:space="preserve"> pipette tip. The wells were then washed with PBS to remove floating cells. Images of HaCaT cells were captured at 0 h, 12 h, and 24 h. The migration area rate was determined as the ratio of the closed area to the initial wound area. Migration area </w:t>
      </w:r>
      <w:r w:rsidRPr="00CB07C2">
        <w:rPr>
          <w:rFonts w:ascii="Times New Roman" w:eastAsia="楷体" w:hAnsi="Times New Roman" w:cs="Times New Roman"/>
          <w:sz w:val="24"/>
          <w:szCs w:val="28"/>
        </w:rPr>
        <w:lastRenderedPageBreak/>
        <w:t>(%) = (A1 – A0) / A1 × 100, where A1 represents the initial wound area and A0 represents the remaining wound area analyzed by ImageJ software. Each group was tested in triplicate.</w:t>
      </w:r>
    </w:p>
    <w:p w14:paraId="5780C9CE"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p>
    <w:p w14:paraId="02CAD6EE"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Reactive oxygen species (ROS) detection</w:t>
      </w:r>
    </w:p>
    <w:p w14:paraId="3AA41BF0" w14:textId="77777777"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The intracellular production of reactive oxygen species (ROS) in HaCaT cells was quantified utilizing the ROS kit (S0033S, Beyotime, China). Specifically, HaCaT cells from each group (n = 3 per group) were plated in dishes containing the appropriate medium. Subsequent to H</w:t>
      </w:r>
      <w:r w:rsidRPr="00CB07C2">
        <w:rPr>
          <w:rFonts w:ascii="Times New Roman" w:eastAsia="楷体" w:hAnsi="Times New Roman" w:cs="Times New Roman"/>
          <w:sz w:val="24"/>
          <w:szCs w:val="28"/>
          <w:vertAlign w:val="subscript"/>
        </w:rPr>
        <w:t>2</w:t>
      </w:r>
      <w:r w:rsidRPr="00CB07C2">
        <w:rPr>
          <w:rFonts w:ascii="Times New Roman" w:eastAsia="楷体" w:hAnsi="Times New Roman" w:cs="Times New Roman"/>
          <w:sz w:val="24"/>
          <w:szCs w:val="28"/>
        </w:rPr>
        <w:t>O</w:t>
      </w:r>
      <w:r w:rsidRPr="00CB07C2">
        <w:rPr>
          <w:rFonts w:ascii="Times New Roman" w:eastAsia="楷体" w:hAnsi="Times New Roman" w:cs="Times New Roman"/>
          <w:sz w:val="24"/>
          <w:szCs w:val="28"/>
          <w:vertAlign w:val="subscript"/>
        </w:rPr>
        <w:t xml:space="preserve">2 </w:t>
      </w:r>
      <w:r w:rsidRPr="00CB07C2">
        <w:rPr>
          <w:rFonts w:ascii="Times New Roman" w:eastAsia="楷体" w:hAnsi="Times New Roman" w:cs="Times New Roman"/>
          <w:sz w:val="24"/>
          <w:szCs w:val="28"/>
        </w:rPr>
        <w:t>stimulation, the cells were incubated with the migration medium for 24 hours. Thereafter, the cells were incubated with the ROS kit at 37°C for 30 minutes. Following this incubation, the cells were meticulously washed with serum-free DMEM and subsequently observed under a confocal microscope.</w:t>
      </w:r>
    </w:p>
    <w:p w14:paraId="44D097DD" w14:textId="77777777" w:rsidR="00924794" w:rsidRPr="00CB07C2" w:rsidRDefault="00924794" w:rsidP="00924794">
      <w:pPr>
        <w:widowControl/>
        <w:tabs>
          <w:tab w:val="left" w:pos="958"/>
        </w:tabs>
        <w:spacing w:line="360" w:lineRule="auto"/>
        <w:rPr>
          <w:rFonts w:ascii="Times New Roman" w:eastAsia="楷体" w:hAnsi="Times New Roman" w:cs="Times New Roman"/>
          <w:sz w:val="24"/>
          <w:szCs w:val="28"/>
        </w:rPr>
      </w:pPr>
    </w:p>
    <w:p w14:paraId="115EC351" w14:textId="77777777" w:rsidR="00924794" w:rsidRPr="00CB07C2" w:rsidRDefault="00924794" w:rsidP="00924794">
      <w:pPr>
        <w:widowControl/>
        <w:tabs>
          <w:tab w:val="left" w:pos="958"/>
        </w:tabs>
        <w:spacing w:line="360" w:lineRule="auto"/>
        <w:rPr>
          <w:rFonts w:ascii="Times New Roman" w:eastAsia="楷体" w:hAnsi="Times New Roman" w:cs="Times New Roman"/>
          <w:b/>
          <w:bCs/>
          <w:sz w:val="24"/>
          <w:szCs w:val="28"/>
        </w:rPr>
      </w:pPr>
      <w:r w:rsidRPr="00CB07C2">
        <w:rPr>
          <w:rFonts w:ascii="Times New Roman" w:eastAsia="楷体" w:hAnsi="Times New Roman" w:cs="Times New Roman"/>
          <w:b/>
          <w:bCs/>
          <w:sz w:val="24"/>
          <w:szCs w:val="28"/>
        </w:rPr>
        <w:t>Immunohistochemistry</w:t>
      </w:r>
    </w:p>
    <w:p w14:paraId="539D77E9" w14:textId="77777777" w:rsidR="00DD172F"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Skin tissues were fixed in 4% PFA for 24 hours and embedded in paraffin. Following dewaxing, 5 μm thick sections centered on the wound were prepared for HE and Masson staining. Antigen retrieval was conducted with 1× EDTA buffer (P005, Beyoime, China) at 95 °C for 15 minutes. Subsequent procedures followed standard immunohistochemical methods. </w:t>
      </w:r>
    </w:p>
    <w:p w14:paraId="6A78D5DE" w14:textId="3A6F1C4D" w:rsidR="00924794" w:rsidRPr="00CB07C2" w:rsidRDefault="00924794" w:rsidP="00924794">
      <w:pPr>
        <w:widowControl/>
        <w:tabs>
          <w:tab w:val="left" w:pos="958"/>
        </w:tabs>
        <w:spacing w:line="360" w:lineRule="auto"/>
        <w:ind w:firstLineChars="200" w:firstLine="480"/>
        <w:rPr>
          <w:rFonts w:ascii="Times New Roman" w:eastAsia="楷体" w:hAnsi="Times New Roman" w:cs="Times New Roman"/>
          <w:sz w:val="24"/>
          <w:szCs w:val="28"/>
        </w:rPr>
      </w:pPr>
      <w:r w:rsidRPr="00CB07C2">
        <w:rPr>
          <w:rFonts w:ascii="Times New Roman" w:eastAsia="楷体" w:hAnsi="Times New Roman" w:cs="Times New Roman"/>
          <w:sz w:val="24"/>
          <w:szCs w:val="28"/>
        </w:rPr>
        <w:t xml:space="preserve">  </w:t>
      </w:r>
    </w:p>
    <w:p w14:paraId="2FFC3E9B" w14:textId="686708CC" w:rsidR="00DD172F" w:rsidRPr="00CB07C2" w:rsidRDefault="00DD172F" w:rsidP="00DD172F">
      <w:pPr>
        <w:spacing w:line="360" w:lineRule="auto"/>
        <w:jc w:val="left"/>
        <w:rPr>
          <w:rFonts w:ascii="Times New Roman" w:hAnsi="Times New Roman" w:cs="Times New Roman"/>
          <w:b/>
          <w:sz w:val="24"/>
          <w:szCs w:val="24"/>
        </w:rPr>
      </w:pPr>
      <w:r w:rsidRPr="00CB07C2">
        <w:rPr>
          <w:rFonts w:ascii="Times New Roman" w:hAnsi="Times New Roman" w:cs="Times New Roman"/>
          <w:b/>
          <w:sz w:val="24"/>
          <w:szCs w:val="24"/>
        </w:rPr>
        <w:t>Antibodies used for Western blot,</w:t>
      </w:r>
      <w:r w:rsidRPr="00CB07C2">
        <w:rPr>
          <w:rFonts w:ascii="Times New Roman" w:hAnsi="Times New Roman" w:cs="Times New Roman"/>
          <w:bCs/>
          <w:sz w:val="24"/>
          <w:szCs w:val="24"/>
        </w:rPr>
        <w:t xml:space="preserve"> </w:t>
      </w:r>
      <w:r w:rsidRPr="00CB07C2">
        <w:rPr>
          <w:rFonts w:ascii="Times New Roman" w:hAnsi="Times New Roman" w:cs="Times New Roman"/>
          <w:b/>
          <w:sz w:val="24"/>
          <w:szCs w:val="24"/>
        </w:rPr>
        <w:t>IHC or IF</w:t>
      </w:r>
    </w:p>
    <w:p w14:paraId="3CF399FB" w14:textId="77777777" w:rsidR="00DD172F" w:rsidRPr="00CB07C2" w:rsidRDefault="00DD172F" w:rsidP="00DD172F">
      <w:pPr>
        <w:spacing w:line="360" w:lineRule="auto"/>
        <w:jc w:val="left"/>
        <w:rPr>
          <w:rFonts w:ascii="Times New Roman" w:hAnsi="Times New Roman" w:cs="Times New Roman"/>
          <w:b/>
          <w:sz w:val="24"/>
          <w:szCs w:val="24"/>
        </w:rPr>
      </w:pPr>
    </w:p>
    <w:tbl>
      <w:tblPr>
        <w:tblW w:w="8931" w:type="dxa"/>
        <w:tblBorders>
          <w:top w:val="single" w:sz="4" w:space="0" w:color="auto"/>
          <w:bottom w:val="single" w:sz="4" w:space="0" w:color="auto"/>
        </w:tblBorders>
        <w:tblLayout w:type="fixed"/>
        <w:tblLook w:val="00A0" w:firstRow="1" w:lastRow="0" w:firstColumn="1" w:lastColumn="0" w:noHBand="0" w:noVBand="0"/>
      </w:tblPr>
      <w:tblGrid>
        <w:gridCol w:w="2694"/>
        <w:gridCol w:w="1275"/>
        <w:gridCol w:w="3402"/>
        <w:gridCol w:w="1560"/>
      </w:tblGrid>
      <w:tr w:rsidR="00DD172F" w:rsidRPr="00CB07C2" w14:paraId="14675A05" w14:textId="77777777" w:rsidTr="001D6FDD">
        <w:trPr>
          <w:trHeight w:val="508"/>
        </w:trPr>
        <w:tc>
          <w:tcPr>
            <w:tcW w:w="2694" w:type="dxa"/>
            <w:tcBorders>
              <w:top w:val="single" w:sz="4" w:space="0" w:color="auto"/>
              <w:left w:val="nil"/>
              <w:bottom w:val="single" w:sz="4" w:space="0" w:color="auto"/>
              <w:right w:val="nil"/>
            </w:tcBorders>
            <w:hideMark/>
          </w:tcPr>
          <w:p w14:paraId="7AFA9B45" w14:textId="77777777" w:rsidR="00DD172F" w:rsidRPr="00CB07C2" w:rsidRDefault="00DD172F" w:rsidP="001D6FDD">
            <w:pPr>
              <w:widowControl/>
              <w:spacing w:after="240" w:line="360" w:lineRule="auto"/>
              <w:rPr>
                <w:rFonts w:ascii="Times New Roman" w:hAnsi="Times New Roman" w:cs="Times New Roman"/>
                <w:b/>
                <w:sz w:val="24"/>
                <w:szCs w:val="24"/>
              </w:rPr>
            </w:pPr>
            <w:r w:rsidRPr="00CB07C2">
              <w:rPr>
                <w:rFonts w:ascii="Times New Roman" w:hAnsi="Times New Roman" w:cs="Times New Roman"/>
                <w:b/>
                <w:sz w:val="24"/>
                <w:szCs w:val="24"/>
              </w:rPr>
              <w:t>antibody</w:t>
            </w:r>
          </w:p>
        </w:tc>
        <w:tc>
          <w:tcPr>
            <w:tcW w:w="1275" w:type="dxa"/>
            <w:tcBorders>
              <w:top w:val="single" w:sz="4" w:space="0" w:color="auto"/>
              <w:left w:val="nil"/>
              <w:bottom w:val="single" w:sz="4" w:space="0" w:color="auto"/>
              <w:right w:val="nil"/>
            </w:tcBorders>
            <w:hideMark/>
          </w:tcPr>
          <w:p w14:paraId="7B239389" w14:textId="77777777" w:rsidR="00DD172F" w:rsidRPr="00CB07C2" w:rsidRDefault="00DD172F" w:rsidP="001D6FDD">
            <w:pPr>
              <w:widowControl/>
              <w:spacing w:after="240" w:line="360" w:lineRule="auto"/>
              <w:rPr>
                <w:rFonts w:ascii="Times New Roman" w:hAnsi="Times New Roman" w:cs="Times New Roman"/>
                <w:b/>
                <w:sz w:val="24"/>
                <w:szCs w:val="24"/>
              </w:rPr>
            </w:pPr>
            <w:r w:rsidRPr="00CB07C2">
              <w:rPr>
                <w:rFonts w:ascii="Times New Roman" w:hAnsi="Times New Roman" w:cs="Times New Roman"/>
                <w:b/>
                <w:sz w:val="24"/>
                <w:szCs w:val="24"/>
              </w:rPr>
              <w:t>host</w:t>
            </w:r>
          </w:p>
        </w:tc>
        <w:tc>
          <w:tcPr>
            <w:tcW w:w="3402" w:type="dxa"/>
            <w:tcBorders>
              <w:top w:val="single" w:sz="4" w:space="0" w:color="auto"/>
              <w:left w:val="nil"/>
              <w:bottom w:val="single" w:sz="4" w:space="0" w:color="auto"/>
              <w:right w:val="nil"/>
            </w:tcBorders>
            <w:hideMark/>
          </w:tcPr>
          <w:p w14:paraId="1EDFD726" w14:textId="77777777" w:rsidR="00DD172F" w:rsidRPr="00CB07C2" w:rsidRDefault="00DD172F" w:rsidP="001D6FDD">
            <w:pPr>
              <w:widowControl/>
              <w:spacing w:after="240" w:line="360" w:lineRule="auto"/>
              <w:jc w:val="center"/>
              <w:rPr>
                <w:rFonts w:ascii="Times New Roman" w:hAnsi="Times New Roman" w:cs="Times New Roman"/>
                <w:b/>
                <w:sz w:val="24"/>
                <w:szCs w:val="24"/>
              </w:rPr>
            </w:pPr>
            <w:r w:rsidRPr="00CB07C2">
              <w:rPr>
                <w:rFonts w:ascii="Times New Roman" w:hAnsi="Times New Roman" w:cs="Times New Roman"/>
                <w:b/>
                <w:sz w:val="24"/>
                <w:szCs w:val="24"/>
              </w:rPr>
              <w:t>source</w:t>
            </w:r>
          </w:p>
        </w:tc>
        <w:tc>
          <w:tcPr>
            <w:tcW w:w="1560" w:type="dxa"/>
            <w:tcBorders>
              <w:top w:val="single" w:sz="4" w:space="0" w:color="auto"/>
              <w:left w:val="nil"/>
              <w:bottom w:val="single" w:sz="4" w:space="0" w:color="auto"/>
              <w:right w:val="nil"/>
            </w:tcBorders>
            <w:hideMark/>
          </w:tcPr>
          <w:p w14:paraId="0C4D8155" w14:textId="77777777" w:rsidR="00DD172F" w:rsidRPr="00CB07C2" w:rsidRDefault="00DD172F" w:rsidP="001D6FDD">
            <w:pPr>
              <w:widowControl/>
              <w:spacing w:after="240" w:line="360" w:lineRule="auto"/>
              <w:rPr>
                <w:rFonts w:ascii="Times New Roman" w:hAnsi="Times New Roman" w:cs="Times New Roman"/>
                <w:b/>
                <w:sz w:val="24"/>
                <w:szCs w:val="24"/>
              </w:rPr>
            </w:pPr>
            <w:r w:rsidRPr="00CB07C2">
              <w:rPr>
                <w:rFonts w:ascii="Times New Roman" w:hAnsi="Times New Roman" w:cs="Times New Roman"/>
                <w:b/>
                <w:sz w:val="24"/>
                <w:szCs w:val="24"/>
              </w:rPr>
              <w:t xml:space="preserve">application </w:t>
            </w:r>
          </w:p>
        </w:tc>
      </w:tr>
      <w:tr w:rsidR="00DD172F" w:rsidRPr="00CB07C2" w14:paraId="0DBD603D" w14:textId="77777777" w:rsidTr="001D6FDD">
        <w:trPr>
          <w:trHeight w:val="468"/>
        </w:trPr>
        <w:tc>
          <w:tcPr>
            <w:tcW w:w="2694" w:type="dxa"/>
            <w:tcBorders>
              <w:top w:val="nil"/>
              <w:left w:val="nil"/>
              <w:bottom w:val="nil"/>
              <w:right w:val="nil"/>
            </w:tcBorders>
            <w:hideMark/>
          </w:tcPr>
          <w:p w14:paraId="5BF537DF"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P21</w:t>
            </w:r>
          </w:p>
        </w:tc>
        <w:tc>
          <w:tcPr>
            <w:tcW w:w="1275" w:type="dxa"/>
            <w:tcBorders>
              <w:top w:val="nil"/>
              <w:left w:val="nil"/>
              <w:bottom w:val="nil"/>
              <w:right w:val="nil"/>
            </w:tcBorders>
            <w:hideMark/>
          </w:tcPr>
          <w:p w14:paraId="696D5FD8"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2402C8A6" w14:textId="77777777" w:rsidR="00DD172F" w:rsidRPr="00CB07C2" w:rsidRDefault="00DD172F" w:rsidP="001D6FDD">
            <w:pPr>
              <w:widowControl/>
              <w:spacing w:after="240" w:line="360" w:lineRule="auto"/>
              <w:jc w:val="center"/>
              <w:rPr>
                <w:rFonts w:ascii="Times New Roman" w:hAnsi="Times New Roman" w:cs="Times New Roman"/>
                <w:iCs/>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iCs/>
                <w:sz w:val="24"/>
                <w:szCs w:val="24"/>
              </w:rPr>
              <w:t xml:space="preserve"> (</w:t>
            </w:r>
            <w:r w:rsidRPr="00CB07C2">
              <w:rPr>
                <w:rFonts w:ascii="Times New Roman" w:eastAsia="楷体" w:hAnsi="Times New Roman" w:cs="Times New Roman"/>
                <w:sz w:val="24"/>
                <w:szCs w:val="24"/>
              </w:rPr>
              <w:t>10355-1-AP</w:t>
            </w:r>
            <w:r w:rsidRPr="00CB07C2">
              <w:rPr>
                <w:rFonts w:ascii="Times New Roman" w:hAnsi="Times New Roman" w:cs="Times New Roman"/>
                <w:iCs/>
                <w:sz w:val="24"/>
                <w:szCs w:val="24"/>
              </w:rPr>
              <w:t>)</w:t>
            </w:r>
          </w:p>
        </w:tc>
        <w:tc>
          <w:tcPr>
            <w:tcW w:w="1560" w:type="dxa"/>
            <w:tcBorders>
              <w:top w:val="nil"/>
              <w:left w:val="nil"/>
              <w:bottom w:val="nil"/>
              <w:right w:val="nil"/>
            </w:tcBorders>
            <w:hideMark/>
          </w:tcPr>
          <w:p w14:paraId="19D8405B"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w:t>
            </w:r>
            <w:r w:rsidRPr="00CB07C2">
              <w:rPr>
                <w:rFonts w:ascii="Times New Roman" w:hAnsi="Times New Roman" w:cs="Times New Roman"/>
                <w:bCs/>
                <w:sz w:val="24"/>
                <w:szCs w:val="24"/>
              </w:rPr>
              <w:t>：</w:t>
            </w:r>
            <w:r w:rsidRPr="00CB07C2">
              <w:rPr>
                <w:rFonts w:ascii="Times New Roman" w:hAnsi="Times New Roman" w:cs="Times New Roman"/>
                <w:bCs/>
                <w:sz w:val="24"/>
                <w:szCs w:val="24"/>
              </w:rPr>
              <w:t>1:1500</w:t>
            </w:r>
          </w:p>
          <w:p w14:paraId="18299171"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IHC: 1:50</w:t>
            </w:r>
          </w:p>
        </w:tc>
      </w:tr>
      <w:tr w:rsidR="00DD172F" w:rsidRPr="00CB07C2" w14:paraId="5E6A48C3" w14:textId="77777777" w:rsidTr="001D6FDD">
        <w:trPr>
          <w:trHeight w:val="468"/>
        </w:trPr>
        <w:tc>
          <w:tcPr>
            <w:tcW w:w="2694" w:type="dxa"/>
            <w:tcBorders>
              <w:top w:val="nil"/>
              <w:left w:val="nil"/>
              <w:bottom w:val="nil"/>
              <w:right w:val="nil"/>
            </w:tcBorders>
          </w:tcPr>
          <w:p w14:paraId="3521C2E0" w14:textId="77777777" w:rsidR="00DD172F" w:rsidRPr="00CB07C2" w:rsidRDefault="00DD172F" w:rsidP="001D6FDD">
            <w:pPr>
              <w:widowControl/>
              <w:spacing w:after="240" w:line="360" w:lineRule="auto"/>
              <w:rPr>
                <w:rFonts w:ascii="Times New Roman" w:eastAsia="楷体" w:hAnsi="Times New Roman" w:cs="Times New Roman"/>
                <w:sz w:val="24"/>
                <w:szCs w:val="24"/>
              </w:rPr>
            </w:pPr>
            <w:r w:rsidRPr="00CB07C2">
              <w:rPr>
                <w:rFonts w:ascii="Times New Roman" w:eastAsia="楷体" w:hAnsi="Times New Roman" w:cs="Times New Roman"/>
                <w:sz w:val="24"/>
                <w:szCs w:val="24"/>
              </w:rPr>
              <w:t>P16-INK4A</w:t>
            </w:r>
          </w:p>
        </w:tc>
        <w:tc>
          <w:tcPr>
            <w:tcW w:w="1275" w:type="dxa"/>
            <w:tcBorders>
              <w:top w:val="nil"/>
              <w:left w:val="nil"/>
              <w:bottom w:val="nil"/>
              <w:right w:val="nil"/>
            </w:tcBorders>
          </w:tcPr>
          <w:p w14:paraId="6B3DE67C"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tcPr>
          <w:p w14:paraId="40C01E74" w14:textId="77777777" w:rsidR="00DD172F" w:rsidRPr="00CB07C2" w:rsidRDefault="00DD172F" w:rsidP="001D6FDD">
            <w:pPr>
              <w:widowControl/>
              <w:spacing w:after="240" w:line="360" w:lineRule="auto"/>
              <w:jc w:val="center"/>
              <w:rPr>
                <w:rFonts w:ascii="Times New Roman" w:eastAsia="楷体" w:hAnsi="Times New Roman" w:cs="Times New Roman"/>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iCs/>
                <w:sz w:val="24"/>
                <w:szCs w:val="24"/>
              </w:rPr>
              <w:t xml:space="preserve"> (</w:t>
            </w:r>
            <w:r w:rsidRPr="00CB07C2">
              <w:rPr>
                <w:rFonts w:ascii="Times New Roman" w:eastAsia="楷体" w:hAnsi="Times New Roman" w:cs="Times New Roman"/>
                <w:sz w:val="24"/>
                <w:szCs w:val="24"/>
              </w:rPr>
              <w:t>10883-1-AP</w:t>
            </w:r>
            <w:r w:rsidRPr="00CB07C2">
              <w:rPr>
                <w:rFonts w:ascii="Times New Roman" w:hAnsi="Times New Roman" w:cs="Times New Roman"/>
                <w:iCs/>
                <w:sz w:val="24"/>
                <w:szCs w:val="24"/>
              </w:rPr>
              <w:t>)</w:t>
            </w:r>
          </w:p>
        </w:tc>
        <w:tc>
          <w:tcPr>
            <w:tcW w:w="1560" w:type="dxa"/>
            <w:tcBorders>
              <w:top w:val="nil"/>
              <w:left w:val="nil"/>
              <w:bottom w:val="nil"/>
              <w:right w:val="nil"/>
            </w:tcBorders>
          </w:tcPr>
          <w:p w14:paraId="255D2847"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p w14:paraId="01DEE0FF"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lastRenderedPageBreak/>
              <w:t>IHC: 1:50</w:t>
            </w:r>
          </w:p>
        </w:tc>
      </w:tr>
      <w:tr w:rsidR="00DD172F" w:rsidRPr="00CB07C2" w14:paraId="6E3957C8" w14:textId="77777777" w:rsidTr="001D6FDD">
        <w:trPr>
          <w:trHeight w:val="468"/>
        </w:trPr>
        <w:tc>
          <w:tcPr>
            <w:tcW w:w="2694" w:type="dxa"/>
            <w:tcBorders>
              <w:top w:val="nil"/>
              <w:left w:val="nil"/>
              <w:bottom w:val="nil"/>
              <w:right w:val="nil"/>
            </w:tcBorders>
          </w:tcPr>
          <w:p w14:paraId="2E764E8A" w14:textId="77777777" w:rsidR="00DD172F" w:rsidRPr="00CB07C2" w:rsidRDefault="00DD172F" w:rsidP="001D6FDD">
            <w:pPr>
              <w:widowControl/>
              <w:spacing w:after="240" w:line="360" w:lineRule="auto"/>
              <w:rPr>
                <w:rFonts w:ascii="Times New Roman" w:eastAsia="楷体" w:hAnsi="Times New Roman" w:cs="Times New Roman"/>
                <w:sz w:val="24"/>
                <w:szCs w:val="24"/>
              </w:rPr>
            </w:pPr>
            <w:r w:rsidRPr="00CB07C2">
              <w:rPr>
                <w:rFonts w:ascii="Times New Roman" w:eastAsia="楷体" w:hAnsi="Times New Roman" w:cs="Times New Roman"/>
                <w:sz w:val="24"/>
                <w:szCs w:val="24"/>
              </w:rPr>
              <w:lastRenderedPageBreak/>
              <w:t>Beta Galactosidase</w:t>
            </w:r>
          </w:p>
        </w:tc>
        <w:tc>
          <w:tcPr>
            <w:tcW w:w="1275" w:type="dxa"/>
            <w:tcBorders>
              <w:top w:val="nil"/>
              <w:left w:val="nil"/>
              <w:bottom w:val="nil"/>
              <w:right w:val="nil"/>
            </w:tcBorders>
          </w:tcPr>
          <w:p w14:paraId="0BAFCB9E"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tcPr>
          <w:p w14:paraId="72232AD0" w14:textId="77777777" w:rsidR="00DD172F" w:rsidRPr="00CB07C2" w:rsidRDefault="00DD172F" w:rsidP="001D6FDD">
            <w:pPr>
              <w:widowControl/>
              <w:spacing w:after="240" w:line="360" w:lineRule="auto"/>
              <w:jc w:val="center"/>
              <w:rPr>
                <w:rFonts w:ascii="Times New Roman" w:eastAsia="楷体" w:hAnsi="Times New Roman" w:cs="Times New Roman"/>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15518-1-AP</w:t>
            </w:r>
            <w:r w:rsidRPr="00CB07C2">
              <w:rPr>
                <w:rFonts w:ascii="Times New Roman" w:hAnsi="Times New Roman" w:cs="Times New Roman"/>
                <w:bCs/>
                <w:sz w:val="24"/>
                <w:szCs w:val="24"/>
              </w:rPr>
              <w:t>1)</w:t>
            </w:r>
          </w:p>
        </w:tc>
        <w:tc>
          <w:tcPr>
            <w:tcW w:w="1560" w:type="dxa"/>
            <w:tcBorders>
              <w:top w:val="nil"/>
              <w:left w:val="nil"/>
              <w:bottom w:val="nil"/>
              <w:right w:val="nil"/>
            </w:tcBorders>
          </w:tcPr>
          <w:p w14:paraId="4A2E532A"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IHC: 1:50</w:t>
            </w:r>
          </w:p>
        </w:tc>
      </w:tr>
      <w:tr w:rsidR="00DD172F" w:rsidRPr="00CB07C2" w14:paraId="333129F6" w14:textId="77777777" w:rsidTr="001D6FDD">
        <w:trPr>
          <w:trHeight w:val="383"/>
        </w:trPr>
        <w:tc>
          <w:tcPr>
            <w:tcW w:w="2694" w:type="dxa"/>
            <w:tcBorders>
              <w:top w:val="nil"/>
              <w:left w:val="nil"/>
              <w:bottom w:val="nil"/>
              <w:right w:val="nil"/>
            </w:tcBorders>
            <w:hideMark/>
          </w:tcPr>
          <w:p w14:paraId="28E99895"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PIGK</w:t>
            </w:r>
          </w:p>
        </w:tc>
        <w:tc>
          <w:tcPr>
            <w:tcW w:w="1275" w:type="dxa"/>
            <w:tcBorders>
              <w:top w:val="nil"/>
              <w:left w:val="nil"/>
              <w:bottom w:val="nil"/>
              <w:right w:val="nil"/>
            </w:tcBorders>
            <w:hideMark/>
          </w:tcPr>
          <w:p w14:paraId="248F4899"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27E0DF77" w14:textId="77777777" w:rsidR="00DD172F" w:rsidRPr="00CB07C2" w:rsidRDefault="00DD172F" w:rsidP="001D6FDD">
            <w:pPr>
              <w:widowControl/>
              <w:spacing w:after="240" w:line="360" w:lineRule="auto"/>
              <w:jc w:val="center"/>
              <w:rPr>
                <w:rFonts w:ascii="Times New Roman" w:hAnsi="Times New Roman" w:cs="Times New Roman"/>
                <w:iCs/>
                <w:sz w:val="24"/>
                <w:szCs w:val="24"/>
              </w:rPr>
            </w:pPr>
            <w:r w:rsidRPr="00CB07C2">
              <w:rPr>
                <w:rFonts w:ascii="Times New Roman" w:eastAsia="楷体" w:hAnsi="Times New Roman" w:cs="Times New Roman"/>
                <w:sz w:val="24"/>
                <w:szCs w:val="24"/>
              </w:rPr>
              <w:t>Abcam</w:t>
            </w:r>
            <w:r w:rsidRPr="00CB07C2">
              <w:rPr>
                <w:rFonts w:ascii="Times New Roman" w:hAnsi="Times New Roman" w:cs="Times New Roman"/>
                <w:iCs/>
                <w:sz w:val="24"/>
                <w:szCs w:val="24"/>
              </w:rPr>
              <w:t xml:space="preserve"> (</w:t>
            </w:r>
            <w:r w:rsidRPr="00CB07C2">
              <w:rPr>
                <w:rFonts w:ascii="Times New Roman" w:eastAsia="楷体" w:hAnsi="Times New Roman" w:cs="Times New Roman"/>
                <w:sz w:val="24"/>
                <w:szCs w:val="24"/>
              </w:rPr>
              <w:t>ab201693</w:t>
            </w:r>
          </w:p>
        </w:tc>
        <w:tc>
          <w:tcPr>
            <w:tcW w:w="1560" w:type="dxa"/>
            <w:tcBorders>
              <w:top w:val="nil"/>
              <w:left w:val="nil"/>
              <w:bottom w:val="nil"/>
              <w:right w:val="nil"/>
            </w:tcBorders>
            <w:hideMark/>
          </w:tcPr>
          <w:p w14:paraId="78E98F73"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tc>
      </w:tr>
      <w:tr w:rsidR="00DD172F" w:rsidRPr="00CB07C2" w14:paraId="19660BB0" w14:textId="77777777" w:rsidTr="001D6FDD">
        <w:trPr>
          <w:trHeight w:val="439"/>
        </w:trPr>
        <w:tc>
          <w:tcPr>
            <w:tcW w:w="2694" w:type="dxa"/>
            <w:tcBorders>
              <w:top w:val="nil"/>
              <w:left w:val="nil"/>
              <w:bottom w:val="nil"/>
              <w:right w:val="nil"/>
            </w:tcBorders>
            <w:hideMark/>
          </w:tcPr>
          <w:p w14:paraId="00238D86"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EOGT</w:t>
            </w:r>
          </w:p>
        </w:tc>
        <w:tc>
          <w:tcPr>
            <w:tcW w:w="1275" w:type="dxa"/>
            <w:tcBorders>
              <w:top w:val="nil"/>
              <w:left w:val="nil"/>
              <w:bottom w:val="nil"/>
              <w:right w:val="nil"/>
            </w:tcBorders>
            <w:hideMark/>
          </w:tcPr>
          <w:p w14:paraId="6EF90845"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62BF40EB" w14:textId="77777777" w:rsidR="00DD172F" w:rsidRPr="00CB07C2" w:rsidRDefault="00DD172F" w:rsidP="001D6FDD">
            <w:pPr>
              <w:widowControl/>
              <w:spacing w:after="240" w:line="360" w:lineRule="auto"/>
              <w:jc w:val="center"/>
              <w:rPr>
                <w:rFonts w:ascii="Times New Roman" w:hAnsi="Times New Roman" w:cs="Times New Roman"/>
                <w:iCs/>
                <w:sz w:val="24"/>
                <w:szCs w:val="24"/>
              </w:rPr>
            </w:pPr>
            <w:r w:rsidRPr="00CB07C2">
              <w:rPr>
                <w:rFonts w:ascii="Times New Roman" w:eastAsia="楷体" w:hAnsi="Times New Roman" w:cs="Times New Roman"/>
                <w:sz w:val="24"/>
                <w:szCs w:val="24"/>
              </w:rPr>
              <w:t>Abcam</w:t>
            </w:r>
            <w:r w:rsidRPr="00CB07C2">
              <w:rPr>
                <w:rFonts w:ascii="Times New Roman" w:hAnsi="Times New Roman" w:cs="Times New Roman"/>
                <w:iCs/>
                <w:sz w:val="24"/>
                <w:szCs w:val="24"/>
              </w:rPr>
              <w:t xml:space="preserve"> (</w:t>
            </w:r>
            <w:r w:rsidRPr="00CB07C2">
              <w:rPr>
                <w:rFonts w:ascii="Times New Roman" w:eastAsia="楷体" w:hAnsi="Times New Roman" w:cs="Times New Roman"/>
                <w:sz w:val="24"/>
                <w:szCs w:val="24"/>
              </w:rPr>
              <w:t>ab190693</w:t>
            </w:r>
            <w:r w:rsidRPr="00CB07C2">
              <w:rPr>
                <w:rFonts w:ascii="Times New Roman" w:hAnsi="Times New Roman" w:cs="Times New Roman"/>
                <w:iCs/>
                <w:sz w:val="24"/>
                <w:szCs w:val="24"/>
              </w:rPr>
              <w:t>)</w:t>
            </w:r>
          </w:p>
        </w:tc>
        <w:tc>
          <w:tcPr>
            <w:tcW w:w="1560" w:type="dxa"/>
            <w:tcBorders>
              <w:top w:val="nil"/>
              <w:left w:val="nil"/>
              <w:bottom w:val="nil"/>
              <w:right w:val="nil"/>
            </w:tcBorders>
            <w:hideMark/>
          </w:tcPr>
          <w:p w14:paraId="5E2A575A"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tc>
      </w:tr>
      <w:tr w:rsidR="00DD172F" w:rsidRPr="00CB07C2" w14:paraId="751C44AD" w14:textId="77777777" w:rsidTr="001D6FDD">
        <w:trPr>
          <w:trHeight w:val="352"/>
        </w:trPr>
        <w:tc>
          <w:tcPr>
            <w:tcW w:w="2694" w:type="dxa"/>
            <w:tcBorders>
              <w:top w:val="nil"/>
              <w:left w:val="nil"/>
              <w:bottom w:val="nil"/>
              <w:right w:val="nil"/>
            </w:tcBorders>
            <w:hideMark/>
          </w:tcPr>
          <w:p w14:paraId="7ADB194E"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TSPAN4</w:t>
            </w:r>
          </w:p>
        </w:tc>
        <w:tc>
          <w:tcPr>
            <w:tcW w:w="1275" w:type="dxa"/>
            <w:tcBorders>
              <w:top w:val="nil"/>
              <w:left w:val="nil"/>
              <w:bottom w:val="nil"/>
              <w:right w:val="nil"/>
            </w:tcBorders>
            <w:hideMark/>
          </w:tcPr>
          <w:p w14:paraId="4266B248"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78D25230"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Biorbyt</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orb41336</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37A7FA11"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p w14:paraId="4231371E"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IHC: 1:50</w:t>
            </w:r>
          </w:p>
        </w:tc>
      </w:tr>
      <w:tr w:rsidR="00DD172F" w:rsidRPr="00CB07C2" w14:paraId="288C0EFD" w14:textId="77777777" w:rsidTr="001D6FDD">
        <w:trPr>
          <w:trHeight w:val="395"/>
        </w:trPr>
        <w:tc>
          <w:tcPr>
            <w:tcW w:w="2694" w:type="dxa"/>
            <w:tcBorders>
              <w:top w:val="nil"/>
              <w:left w:val="nil"/>
              <w:bottom w:val="nil"/>
              <w:right w:val="nil"/>
            </w:tcBorders>
            <w:hideMark/>
          </w:tcPr>
          <w:p w14:paraId="58838553"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GAPHD</w:t>
            </w:r>
          </w:p>
        </w:tc>
        <w:tc>
          <w:tcPr>
            <w:tcW w:w="1275" w:type="dxa"/>
            <w:tcBorders>
              <w:top w:val="nil"/>
              <w:left w:val="nil"/>
              <w:bottom w:val="nil"/>
              <w:right w:val="nil"/>
            </w:tcBorders>
            <w:hideMark/>
          </w:tcPr>
          <w:p w14:paraId="489EB152"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Mouse</w:t>
            </w:r>
          </w:p>
        </w:tc>
        <w:tc>
          <w:tcPr>
            <w:tcW w:w="3402" w:type="dxa"/>
            <w:tcBorders>
              <w:top w:val="nil"/>
              <w:left w:val="nil"/>
              <w:bottom w:val="nil"/>
              <w:right w:val="nil"/>
            </w:tcBorders>
            <w:hideMark/>
          </w:tcPr>
          <w:p w14:paraId="0B056D69"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60004-1-AP</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6A4307B8"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1:10000</w:t>
            </w:r>
          </w:p>
        </w:tc>
      </w:tr>
      <w:tr w:rsidR="00DD172F" w:rsidRPr="00CB07C2" w14:paraId="6D020DEB" w14:textId="77777777" w:rsidTr="001D6FDD">
        <w:trPr>
          <w:trHeight w:val="451"/>
        </w:trPr>
        <w:tc>
          <w:tcPr>
            <w:tcW w:w="2694" w:type="dxa"/>
            <w:tcBorders>
              <w:top w:val="nil"/>
              <w:left w:val="nil"/>
              <w:bottom w:val="nil"/>
              <w:right w:val="nil"/>
            </w:tcBorders>
            <w:hideMark/>
          </w:tcPr>
          <w:p w14:paraId="2027BE07"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Beta Actin</w:t>
            </w:r>
          </w:p>
        </w:tc>
        <w:tc>
          <w:tcPr>
            <w:tcW w:w="1275" w:type="dxa"/>
            <w:tcBorders>
              <w:top w:val="nil"/>
              <w:left w:val="nil"/>
              <w:bottom w:val="nil"/>
              <w:right w:val="nil"/>
            </w:tcBorders>
            <w:hideMark/>
          </w:tcPr>
          <w:p w14:paraId="2FB1DC46"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Mouse</w:t>
            </w:r>
          </w:p>
        </w:tc>
        <w:tc>
          <w:tcPr>
            <w:tcW w:w="3402" w:type="dxa"/>
            <w:tcBorders>
              <w:top w:val="nil"/>
              <w:left w:val="nil"/>
              <w:bottom w:val="nil"/>
              <w:right w:val="nil"/>
            </w:tcBorders>
            <w:hideMark/>
          </w:tcPr>
          <w:p w14:paraId="555C3914"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66009-1-AP</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4E069153"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1:10000</w:t>
            </w:r>
          </w:p>
        </w:tc>
      </w:tr>
      <w:tr w:rsidR="00DD172F" w:rsidRPr="00CB07C2" w14:paraId="6F307C82" w14:textId="77777777" w:rsidTr="001D6FDD">
        <w:trPr>
          <w:trHeight w:val="364"/>
        </w:trPr>
        <w:tc>
          <w:tcPr>
            <w:tcW w:w="2694" w:type="dxa"/>
            <w:tcBorders>
              <w:top w:val="nil"/>
              <w:left w:val="nil"/>
              <w:bottom w:val="nil"/>
              <w:right w:val="nil"/>
            </w:tcBorders>
            <w:hideMark/>
          </w:tcPr>
          <w:p w14:paraId="02DCD860"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Vimentin</w:t>
            </w:r>
          </w:p>
        </w:tc>
        <w:tc>
          <w:tcPr>
            <w:tcW w:w="1275" w:type="dxa"/>
            <w:tcBorders>
              <w:top w:val="nil"/>
              <w:left w:val="nil"/>
              <w:bottom w:val="nil"/>
              <w:right w:val="nil"/>
            </w:tcBorders>
            <w:hideMark/>
          </w:tcPr>
          <w:p w14:paraId="6D6592D8"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6CBF5C9C"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Bioss</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BS-0756R</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0450AC0F"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IHC: 1:50</w:t>
            </w:r>
          </w:p>
          <w:p w14:paraId="25E577C5"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IF: 1:50</w:t>
            </w:r>
          </w:p>
        </w:tc>
      </w:tr>
      <w:tr w:rsidR="00DD172F" w:rsidRPr="00CB07C2" w14:paraId="4E5AD603" w14:textId="77777777" w:rsidTr="001D6FDD">
        <w:trPr>
          <w:trHeight w:val="421"/>
        </w:trPr>
        <w:tc>
          <w:tcPr>
            <w:tcW w:w="2694" w:type="dxa"/>
            <w:tcBorders>
              <w:top w:val="nil"/>
              <w:left w:val="nil"/>
              <w:bottom w:val="nil"/>
              <w:right w:val="nil"/>
            </w:tcBorders>
            <w:hideMark/>
          </w:tcPr>
          <w:p w14:paraId="32256D0E"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Ki-67</w:t>
            </w:r>
          </w:p>
        </w:tc>
        <w:tc>
          <w:tcPr>
            <w:tcW w:w="1275" w:type="dxa"/>
            <w:tcBorders>
              <w:top w:val="nil"/>
              <w:left w:val="nil"/>
              <w:bottom w:val="nil"/>
              <w:right w:val="nil"/>
            </w:tcBorders>
            <w:hideMark/>
          </w:tcPr>
          <w:p w14:paraId="60D5863B"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7A8B5E98"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27309-1-AP</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4FB8F344"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IHC: 1:50</w:t>
            </w:r>
          </w:p>
          <w:p w14:paraId="05594FE6"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IF: 1:50</w:t>
            </w:r>
          </w:p>
        </w:tc>
      </w:tr>
      <w:tr w:rsidR="00DD172F" w:rsidRPr="00CB07C2" w14:paraId="513B6B6C" w14:textId="77777777" w:rsidTr="001D6FDD">
        <w:trPr>
          <w:trHeight w:val="477"/>
        </w:trPr>
        <w:tc>
          <w:tcPr>
            <w:tcW w:w="2694" w:type="dxa"/>
            <w:tcBorders>
              <w:top w:val="nil"/>
              <w:left w:val="nil"/>
              <w:bottom w:val="nil"/>
              <w:right w:val="nil"/>
            </w:tcBorders>
            <w:hideMark/>
          </w:tcPr>
          <w:p w14:paraId="0DD1186B"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IL-6</w:t>
            </w:r>
          </w:p>
        </w:tc>
        <w:tc>
          <w:tcPr>
            <w:tcW w:w="1275" w:type="dxa"/>
            <w:tcBorders>
              <w:top w:val="nil"/>
              <w:left w:val="nil"/>
              <w:bottom w:val="nil"/>
              <w:right w:val="nil"/>
            </w:tcBorders>
            <w:hideMark/>
          </w:tcPr>
          <w:p w14:paraId="29A286DB"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hideMark/>
          </w:tcPr>
          <w:p w14:paraId="5B1C4C0F"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21865-1-AP</w:t>
            </w:r>
            <w:r w:rsidRPr="00CB07C2">
              <w:rPr>
                <w:rFonts w:ascii="Times New Roman" w:hAnsi="Times New Roman" w:cs="Times New Roman"/>
                <w:bCs/>
                <w:sz w:val="24"/>
                <w:szCs w:val="24"/>
              </w:rPr>
              <w:t>)</w:t>
            </w:r>
          </w:p>
        </w:tc>
        <w:tc>
          <w:tcPr>
            <w:tcW w:w="1560" w:type="dxa"/>
            <w:tcBorders>
              <w:top w:val="nil"/>
              <w:left w:val="nil"/>
              <w:bottom w:val="nil"/>
              <w:right w:val="nil"/>
            </w:tcBorders>
            <w:hideMark/>
          </w:tcPr>
          <w:p w14:paraId="679EC6BF"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tc>
      </w:tr>
      <w:tr w:rsidR="00DD172F" w:rsidRPr="00CB07C2" w14:paraId="593A2A5A" w14:textId="77777777" w:rsidTr="001D6FDD">
        <w:trPr>
          <w:trHeight w:val="477"/>
        </w:trPr>
        <w:tc>
          <w:tcPr>
            <w:tcW w:w="2694" w:type="dxa"/>
            <w:tcBorders>
              <w:top w:val="nil"/>
              <w:left w:val="nil"/>
              <w:bottom w:val="nil"/>
              <w:right w:val="nil"/>
            </w:tcBorders>
          </w:tcPr>
          <w:p w14:paraId="6F94E67F" w14:textId="77777777" w:rsidR="00DD172F" w:rsidRPr="00CB07C2" w:rsidRDefault="00DD172F" w:rsidP="001D6FDD">
            <w:pPr>
              <w:widowControl/>
              <w:spacing w:after="240" w:line="360" w:lineRule="auto"/>
              <w:rPr>
                <w:rFonts w:ascii="Times New Roman" w:eastAsia="楷体" w:hAnsi="Times New Roman" w:cs="Times New Roman"/>
                <w:sz w:val="24"/>
                <w:szCs w:val="24"/>
              </w:rPr>
            </w:pPr>
            <w:r w:rsidRPr="00CB07C2">
              <w:rPr>
                <w:rFonts w:ascii="Times New Roman" w:eastAsia="楷体" w:hAnsi="Times New Roman" w:cs="Times New Roman"/>
                <w:sz w:val="24"/>
                <w:szCs w:val="24"/>
              </w:rPr>
              <w:t>IL-1β</w:t>
            </w:r>
          </w:p>
        </w:tc>
        <w:tc>
          <w:tcPr>
            <w:tcW w:w="1275" w:type="dxa"/>
            <w:tcBorders>
              <w:top w:val="nil"/>
              <w:left w:val="nil"/>
              <w:bottom w:val="nil"/>
              <w:right w:val="nil"/>
            </w:tcBorders>
          </w:tcPr>
          <w:p w14:paraId="3E5B954A"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Rabbit</w:t>
            </w:r>
          </w:p>
        </w:tc>
        <w:tc>
          <w:tcPr>
            <w:tcW w:w="3402" w:type="dxa"/>
            <w:tcBorders>
              <w:top w:val="nil"/>
              <w:left w:val="nil"/>
              <w:bottom w:val="nil"/>
              <w:right w:val="nil"/>
            </w:tcBorders>
          </w:tcPr>
          <w:p w14:paraId="5A7B1B29" w14:textId="77777777" w:rsidR="00DD172F" w:rsidRPr="00CB07C2" w:rsidRDefault="00DD172F" w:rsidP="001D6FDD">
            <w:pPr>
              <w:widowControl/>
              <w:spacing w:after="240" w:line="360" w:lineRule="auto"/>
              <w:jc w:val="center"/>
              <w:rPr>
                <w:rFonts w:ascii="Times New Roman" w:eastAsia="楷体" w:hAnsi="Times New Roman" w:cs="Times New Roman"/>
                <w:sz w:val="24"/>
                <w:szCs w:val="24"/>
              </w:rPr>
            </w:pPr>
            <w:r w:rsidRPr="00CB07C2">
              <w:rPr>
                <w:rFonts w:ascii="Times New Roman" w:eastAsia="楷体" w:hAnsi="Times New Roman" w:cs="Times New Roman"/>
                <w:sz w:val="24"/>
                <w:szCs w:val="24"/>
              </w:rPr>
              <w:t>Proteintech</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16806-1-AP</w:t>
            </w:r>
            <w:r w:rsidRPr="00CB07C2">
              <w:rPr>
                <w:rFonts w:ascii="Times New Roman" w:hAnsi="Times New Roman" w:cs="Times New Roman"/>
                <w:bCs/>
                <w:sz w:val="24"/>
                <w:szCs w:val="24"/>
              </w:rPr>
              <w:t>)</w:t>
            </w:r>
          </w:p>
        </w:tc>
        <w:tc>
          <w:tcPr>
            <w:tcW w:w="1560" w:type="dxa"/>
            <w:tcBorders>
              <w:top w:val="nil"/>
              <w:left w:val="nil"/>
              <w:bottom w:val="nil"/>
              <w:right w:val="nil"/>
            </w:tcBorders>
          </w:tcPr>
          <w:p w14:paraId="3FCDE796"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tc>
      </w:tr>
      <w:tr w:rsidR="00DD172F" w:rsidRPr="00CB07C2" w14:paraId="2FB7D4E5" w14:textId="77777777" w:rsidTr="001D6FDD">
        <w:trPr>
          <w:trHeight w:val="346"/>
        </w:trPr>
        <w:tc>
          <w:tcPr>
            <w:tcW w:w="2694" w:type="dxa"/>
            <w:tcBorders>
              <w:top w:val="nil"/>
              <w:left w:val="nil"/>
              <w:bottom w:val="single" w:sz="4" w:space="0" w:color="auto"/>
              <w:right w:val="nil"/>
            </w:tcBorders>
            <w:hideMark/>
          </w:tcPr>
          <w:p w14:paraId="277795C4"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eastAsia="楷体" w:hAnsi="Times New Roman" w:cs="Times New Roman"/>
                <w:sz w:val="24"/>
                <w:szCs w:val="24"/>
              </w:rPr>
              <w:t>MMP-14</w:t>
            </w:r>
          </w:p>
        </w:tc>
        <w:tc>
          <w:tcPr>
            <w:tcW w:w="1275" w:type="dxa"/>
            <w:tcBorders>
              <w:top w:val="nil"/>
              <w:left w:val="nil"/>
              <w:bottom w:val="single" w:sz="4" w:space="0" w:color="auto"/>
              <w:right w:val="nil"/>
            </w:tcBorders>
            <w:hideMark/>
          </w:tcPr>
          <w:p w14:paraId="31B9363A"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 xml:space="preserve">Mouse </w:t>
            </w:r>
          </w:p>
        </w:tc>
        <w:tc>
          <w:tcPr>
            <w:tcW w:w="3402" w:type="dxa"/>
            <w:tcBorders>
              <w:top w:val="nil"/>
              <w:left w:val="nil"/>
              <w:bottom w:val="single" w:sz="4" w:space="0" w:color="auto"/>
              <w:right w:val="nil"/>
            </w:tcBorders>
            <w:hideMark/>
          </w:tcPr>
          <w:p w14:paraId="2962277D" w14:textId="77777777" w:rsidR="00DD172F" w:rsidRPr="00CB07C2" w:rsidRDefault="00DD172F" w:rsidP="001D6FDD">
            <w:pPr>
              <w:widowControl/>
              <w:spacing w:after="240" w:line="360" w:lineRule="auto"/>
              <w:jc w:val="center"/>
              <w:rPr>
                <w:rFonts w:ascii="Times New Roman" w:hAnsi="Times New Roman" w:cs="Times New Roman"/>
                <w:bCs/>
                <w:sz w:val="24"/>
                <w:szCs w:val="24"/>
              </w:rPr>
            </w:pPr>
            <w:r w:rsidRPr="00CB07C2">
              <w:rPr>
                <w:rFonts w:ascii="Times New Roman" w:eastAsia="楷体" w:hAnsi="Times New Roman" w:cs="Times New Roman"/>
                <w:sz w:val="24"/>
                <w:szCs w:val="24"/>
              </w:rPr>
              <w:t>R&amp;D System</w:t>
            </w:r>
            <w:r w:rsidRPr="00CB07C2">
              <w:rPr>
                <w:rFonts w:ascii="Times New Roman" w:hAnsi="Times New Roman" w:cs="Times New Roman"/>
                <w:bCs/>
                <w:sz w:val="24"/>
                <w:szCs w:val="24"/>
              </w:rPr>
              <w:t xml:space="preserve"> (</w:t>
            </w:r>
            <w:r w:rsidRPr="00CB07C2">
              <w:rPr>
                <w:rFonts w:ascii="Times New Roman" w:eastAsia="楷体" w:hAnsi="Times New Roman" w:cs="Times New Roman"/>
                <w:sz w:val="24"/>
                <w:szCs w:val="24"/>
              </w:rPr>
              <w:t>MAB9181</w:t>
            </w:r>
            <w:r w:rsidRPr="00CB07C2">
              <w:rPr>
                <w:rFonts w:ascii="Times New Roman" w:hAnsi="Times New Roman" w:cs="Times New Roman"/>
                <w:bCs/>
                <w:sz w:val="24"/>
                <w:szCs w:val="24"/>
              </w:rPr>
              <w:t>)</w:t>
            </w:r>
          </w:p>
        </w:tc>
        <w:tc>
          <w:tcPr>
            <w:tcW w:w="1560" w:type="dxa"/>
            <w:tcBorders>
              <w:top w:val="nil"/>
              <w:left w:val="nil"/>
              <w:bottom w:val="single" w:sz="4" w:space="0" w:color="auto"/>
              <w:right w:val="nil"/>
            </w:tcBorders>
            <w:hideMark/>
          </w:tcPr>
          <w:p w14:paraId="3591A6C6" w14:textId="77777777" w:rsidR="00DD172F" w:rsidRPr="00CB07C2" w:rsidRDefault="00DD172F" w:rsidP="001D6FDD">
            <w:pPr>
              <w:widowControl/>
              <w:spacing w:after="240" w:line="360" w:lineRule="auto"/>
              <w:rPr>
                <w:rFonts w:ascii="Times New Roman" w:hAnsi="Times New Roman" w:cs="Times New Roman"/>
                <w:bCs/>
                <w:sz w:val="24"/>
                <w:szCs w:val="24"/>
              </w:rPr>
            </w:pPr>
            <w:r w:rsidRPr="00CB07C2">
              <w:rPr>
                <w:rFonts w:ascii="Times New Roman" w:hAnsi="Times New Roman" w:cs="Times New Roman"/>
                <w:bCs/>
                <w:sz w:val="24"/>
                <w:szCs w:val="24"/>
              </w:rPr>
              <w:t>WB: 1:1000</w:t>
            </w:r>
          </w:p>
        </w:tc>
      </w:tr>
    </w:tbl>
    <w:p w14:paraId="10B371BC" w14:textId="77777777" w:rsidR="006C3B08" w:rsidRPr="00CB07C2" w:rsidRDefault="006C3B08" w:rsidP="00D01C25">
      <w:pPr>
        <w:spacing w:line="360" w:lineRule="auto"/>
        <w:rPr>
          <w:rFonts w:ascii="Times New Roman" w:hAnsi="Times New Roman" w:cs="Times New Roman"/>
          <w:b/>
          <w:bCs/>
          <w:noProof/>
          <w:sz w:val="24"/>
          <w:szCs w:val="24"/>
        </w:rPr>
      </w:pPr>
    </w:p>
    <w:p w14:paraId="1AF9C9F6" w14:textId="77777777" w:rsidR="00894245" w:rsidRPr="00CB07C2" w:rsidRDefault="00894245" w:rsidP="00D01C25">
      <w:pPr>
        <w:spacing w:line="360" w:lineRule="auto"/>
        <w:rPr>
          <w:rFonts w:ascii="Times New Roman" w:hAnsi="Times New Roman" w:cs="Times New Roman"/>
          <w:b/>
          <w:bCs/>
          <w:sz w:val="24"/>
          <w:szCs w:val="24"/>
        </w:rPr>
      </w:pPr>
    </w:p>
    <w:p w14:paraId="690C0EDE" w14:textId="77777777" w:rsidR="00894245" w:rsidRPr="00CB07C2" w:rsidRDefault="00894245" w:rsidP="00D01C25">
      <w:pPr>
        <w:spacing w:line="360" w:lineRule="auto"/>
        <w:rPr>
          <w:rFonts w:ascii="Times New Roman" w:hAnsi="Times New Roman" w:cs="Times New Roman"/>
          <w:b/>
          <w:bCs/>
          <w:sz w:val="24"/>
          <w:szCs w:val="24"/>
        </w:rPr>
      </w:pPr>
    </w:p>
    <w:p w14:paraId="2923CE6D" w14:textId="77777777" w:rsidR="00894245" w:rsidRPr="00CB07C2" w:rsidRDefault="00894245" w:rsidP="00D01C25">
      <w:pPr>
        <w:spacing w:line="360" w:lineRule="auto"/>
        <w:rPr>
          <w:rFonts w:ascii="Times New Roman" w:hAnsi="Times New Roman" w:cs="Times New Roman"/>
          <w:b/>
          <w:bCs/>
          <w:sz w:val="24"/>
          <w:szCs w:val="24"/>
        </w:rPr>
      </w:pPr>
    </w:p>
    <w:p w14:paraId="3349E062" w14:textId="77777777" w:rsidR="00894245" w:rsidRPr="00CB07C2" w:rsidRDefault="00894245" w:rsidP="00D01C25">
      <w:pPr>
        <w:spacing w:line="360" w:lineRule="auto"/>
        <w:rPr>
          <w:rFonts w:ascii="Times New Roman" w:hAnsi="Times New Roman" w:cs="Times New Roman"/>
          <w:b/>
          <w:bCs/>
          <w:sz w:val="24"/>
          <w:szCs w:val="24"/>
        </w:rPr>
      </w:pPr>
    </w:p>
    <w:p w14:paraId="7A0363A6" w14:textId="77777777" w:rsidR="00894245" w:rsidRPr="00CB07C2" w:rsidRDefault="00894245" w:rsidP="00D01C25">
      <w:pPr>
        <w:spacing w:line="360" w:lineRule="auto"/>
        <w:rPr>
          <w:rFonts w:ascii="Times New Roman" w:hAnsi="Times New Roman" w:cs="Times New Roman"/>
          <w:b/>
          <w:bCs/>
          <w:sz w:val="24"/>
          <w:szCs w:val="24"/>
        </w:rPr>
      </w:pPr>
    </w:p>
    <w:p w14:paraId="426F1620" w14:textId="77777777" w:rsidR="00894245" w:rsidRPr="00CB07C2" w:rsidRDefault="00894245" w:rsidP="00D01C25">
      <w:pPr>
        <w:spacing w:line="360" w:lineRule="auto"/>
        <w:rPr>
          <w:rFonts w:ascii="Times New Roman" w:hAnsi="Times New Roman" w:cs="Times New Roman"/>
          <w:b/>
          <w:bCs/>
          <w:sz w:val="24"/>
          <w:szCs w:val="24"/>
        </w:rPr>
      </w:pPr>
    </w:p>
    <w:p w14:paraId="3D6A9A9E" w14:textId="45878513" w:rsidR="00223CF8" w:rsidRPr="00CB07C2" w:rsidRDefault="00894245" w:rsidP="00D01C25">
      <w:pPr>
        <w:spacing w:line="360" w:lineRule="auto"/>
        <w:rPr>
          <w:rFonts w:ascii="Times New Roman" w:hAnsi="Times New Roman" w:cs="Times New Roman"/>
          <w:b/>
          <w:bCs/>
          <w:sz w:val="24"/>
          <w:szCs w:val="24"/>
        </w:rPr>
      </w:pPr>
      <w:r w:rsidRPr="00CB07C2">
        <w:rPr>
          <w:rFonts w:ascii="Times New Roman" w:hAnsi="Times New Roman" w:cs="Times New Roman"/>
          <w:b/>
          <w:bCs/>
          <w:noProof/>
          <w:sz w:val="24"/>
          <w:szCs w:val="24"/>
        </w:rPr>
        <w:lastRenderedPageBreak/>
        <w:drawing>
          <wp:anchor distT="0" distB="0" distL="114300" distR="114300" simplePos="0" relativeHeight="251663360" behindDoc="0" locked="0" layoutInCell="1" allowOverlap="1" wp14:anchorId="45B2A60D" wp14:editId="58667C2D">
            <wp:simplePos x="0" y="0"/>
            <wp:positionH relativeFrom="column">
              <wp:posOffset>914400</wp:posOffset>
            </wp:positionH>
            <wp:positionV relativeFrom="paragraph">
              <wp:posOffset>332740</wp:posOffset>
            </wp:positionV>
            <wp:extent cx="3169285" cy="7574915"/>
            <wp:effectExtent l="0" t="0" r="0" b="6985"/>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9285" cy="7574915"/>
                    </a:xfrm>
                    <a:prstGeom prst="rect">
                      <a:avLst/>
                    </a:prstGeom>
                  </pic:spPr>
                </pic:pic>
              </a:graphicData>
            </a:graphic>
            <wp14:sizeRelH relativeFrom="margin">
              <wp14:pctWidth>0</wp14:pctWidth>
            </wp14:sizeRelH>
            <wp14:sizeRelV relativeFrom="margin">
              <wp14:pctHeight>0</wp14:pctHeight>
            </wp14:sizeRelV>
          </wp:anchor>
        </w:drawing>
      </w:r>
      <w:r w:rsidR="005B4787" w:rsidRPr="00CB07C2">
        <w:rPr>
          <w:rFonts w:ascii="Times New Roman" w:hAnsi="Times New Roman" w:cs="Times New Roman"/>
          <w:b/>
          <w:bCs/>
          <w:sz w:val="24"/>
          <w:szCs w:val="24"/>
        </w:rPr>
        <w:t>Figures and Figure legends</w:t>
      </w:r>
    </w:p>
    <w:p w14:paraId="740116D3" w14:textId="0C12BA73" w:rsidR="00894245" w:rsidRPr="00CB07C2" w:rsidRDefault="00894245" w:rsidP="00D01C25">
      <w:pPr>
        <w:spacing w:line="360" w:lineRule="auto"/>
        <w:rPr>
          <w:rFonts w:ascii="Times New Roman" w:hAnsi="Times New Roman" w:cs="Times New Roman"/>
          <w:b/>
          <w:bCs/>
          <w:sz w:val="24"/>
          <w:szCs w:val="24"/>
        </w:rPr>
      </w:pPr>
    </w:p>
    <w:p w14:paraId="72C1D936" w14:textId="2CE8D75B" w:rsidR="00ED04F0" w:rsidRPr="00CB07C2" w:rsidRDefault="00ED04F0" w:rsidP="00D01C25">
      <w:pPr>
        <w:spacing w:line="360" w:lineRule="auto"/>
        <w:rPr>
          <w:rFonts w:ascii="Times New Roman" w:hAnsi="Times New Roman" w:cs="Times New Roman"/>
          <w:color w:val="FF0000"/>
          <w:sz w:val="24"/>
          <w:szCs w:val="24"/>
        </w:rPr>
      </w:pPr>
      <w:r w:rsidRPr="00CB07C2">
        <w:rPr>
          <w:rFonts w:ascii="Times New Roman" w:hAnsi="Times New Roman" w:cs="Times New Roman"/>
          <w:b/>
          <w:bCs/>
          <w:sz w:val="24"/>
          <w:szCs w:val="24"/>
        </w:rPr>
        <w:t xml:space="preserve">Supplementary </w:t>
      </w:r>
      <w:r w:rsidR="004E4385" w:rsidRPr="00CB07C2">
        <w:rPr>
          <w:rFonts w:ascii="Times New Roman" w:hAnsi="Times New Roman" w:cs="Times New Roman"/>
          <w:b/>
          <w:bCs/>
          <w:sz w:val="24"/>
          <w:szCs w:val="24"/>
        </w:rPr>
        <w:t xml:space="preserve">Figure 1. </w:t>
      </w:r>
      <w:r w:rsidR="004E4385" w:rsidRPr="00CB07C2">
        <w:rPr>
          <w:rFonts w:ascii="Times New Roman" w:hAnsi="Times New Roman" w:cs="Times New Roman"/>
          <w:sz w:val="24"/>
          <w:szCs w:val="24"/>
        </w:rPr>
        <w:t>Heatmap show</w:t>
      </w:r>
      <w:r w:rsidR="00B01CEB" w:rsidRPr="00CB07C2">
        <w:rPr>
          <w:rFonts w:ascii="Times New Roman" w:hAnsi="Times New Roman" w:cs="Times New Roman"/>
          <w:sz w:val="24"/>
          <w:szCs w:val="24"/>
        </w:rPr>
        <w:t>s</w:t>
      </w:r>
      <w:r w:rsidR="004E4385" w:rsidRPr="00CB07C2">
        <w:rPr>
          <w:rFonts w:ascii="Times New Roman" w:hAnsi="Times New Roman" w:cs="Times New Roman"/>
          <w:sz w:val="24"/>
          <w:szCs w:val="24"/>
        </w:rPr>
        <w:t xml:space="preserve"> genes shared between aging-related genes in the </w:t>
      </w:r>
      <w:r w:rsidR="004E4385" w:rsidRPr="00CB07C2">
        <w:rPr>
          <w:rFonts w:ascii="Times New Roman" w:hAnsi="Times New Roman" w:cs="Times New Roman"/>
          <w:color w:val="000000" w:themeColor="text1"/>
          <w:sz w:val="24"/>
          <w:szCs w:val="24"/>
        </w:rPr>
        <w:t>Aging Atlas</w:t>
      </w:r>
      <w:r w:rsidR="004E4385" w:rsidRPr="00CB07C2">
        <w:rPr>
          <w:rFonts w:ascii="Times New Roman" w:hAnsi="Times New Roman" w:cs="Times New Roman"/>
          <w:sz w:val="24"/>
          <w:szCs w:val="24"/>
        </w:rPr>
        <w:t xml:space="preserve"> database and</w:t>
      </w:r>
      <w:r w:rsidR="004E4385" w:rsidRPr="00CB07C2">
        <w:rPr>
          <w:rFonts w:ascii="Times New Roman" w:hAnsi="Times New Roman" w:cs="Times New Roman"/>
          <w:b/>
          <w:bCs/>
          <w:sz w:val="24"/>
          <w:szCs w:val="24"/>
        </w:rPr>
        <w:t xml:space="preserve"> </w:t>
      </w:r>
      <w:r w:rsidR="004E4385" w:rsidRPr="00CB07C2">
        <w:rPr>
          <w:rFonts w:ascii="Times New Roman" w:hAnsi="Times New Roman" w:cs="Times New Roman"/>
          <w:sz w:val="24"/>
          <w:szCs w:val="24"/>
        </w:rPr>
        <w:t xml:space="preserve">DEGs for each skin cell type. Only the ensembles of </w:t>
      </w:r>
      <w:r w:rsidR="005911EA" w:rsidRPr="00CB07C2">
        <w:rPr>
          <w:rFonts w:ascii="Times New Roman" w:hAnsi="Times New Roman" w:cs="Times New Roman"/>
          <w:noProof/>
          <w:sz w:val="24"/>
          <w:szCs w:val="24"/>
        </w:rPr>
        <w:lastRenderedPageBreak/>
        <w:drawing>
          <wp:anchor distT="0" distB="0" distL="114300" distR="114300" simplePos="0" relativeHeight="251664384" behindDoc="0" locked="0" layoutInCell="1" allowOverlap="1" wp14:anchorId="5FD23BCA" wp14:editId="3B770CDC">
            <wp:simplePos x="0" y="0"/>
            <wp:positionH relativeFrom="margin">
              <wp:posOffset>876300</wp:posOffset>
            </wp:positionH>
            <wp:positionV relativeFrom="paragraph">
              <wp:posOffset>373380</wp:posOffset>
            </wp:positionV>
            <wp:extent cx="3594735" cy="7277100"/>
            <wp:effectExtent l="0" t="0" r="5715"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94735" cy="7277100"/>
                    </a:xfrm>
                    <a:prstGeom prst="rect">
                      <a:avLst/>
                    </a:prstGeom>
                  </pic:spPr>
                </pic:pic>
              </a:graphicData>
            </a:graphic>
            <wp14:sizeRelH relativeFrom="margin">
              <wp14:pctWidth>0</wp14:pctWidth>
            </wp14:sizeRelH>
            <wp14:sizeRelV relativeFrom="margin">
              <wp14:pctHeight>0</wp14:pctHeight>
            </wp14:sizeRelV>
          </wp:anchor>
        </w:drawing>
      </w:r>
      <w:r w:rsidR="004E4385" w:rsidRPr="00CB07C2">
        <w:rPr>
          <w:rFonts w:ascii="Times New Roman" w:hAnsi="Times New Roman" w:cs="Times New Roman"/>
          <w:sz w:val="24"/>
          <w:szCs w:val="24"/>
        </w:rPr>
        <w:t>shared genes are shown, and the number statistics are shown below the heatmap.</w:t>
      </w:r>
      <w:r w:rsidR="00FC4843" w:rsidRPr="00CB07C2">
        <w:rPr>
          <w:rFonts w:ascii="Times New Roman" w:hAnsi="Times New Roman" w:cs="Times New Roman"/>
          <w:sz w:val="24"/>
          <w:szCs w:val="24"/>
        </w:rPr>
        <w:t xml:space="preserve"> </w:t>
      </w:r>
      <w:r w:rsidR="00FC4843" w:rsidRPr="00CB07C2">
        <w:rPr>
          <w:rFonts w:ascii="Times New Roman" w:hAnsi="Times New Roman" w:cs="Times New Roman"/>
          <w:color w:val="FF0000"/>
          <w:sz w:val="24"/>
          <w:szCs w:val="24"/>
        </w:rPr>
        <w:t xml:space="preserve"> </w:t>
      </w:r>
    </w:p>
    <w:p w14:paraId="1674B081" w14:textId="6135254B" w:rsidR="00ED04F0" w:rsidRPr="00CB07C2" w:rsidRDefault="00ED04F0" w:rsidP="00D01C25">
      <w:pPr>
        <w:spacing w:line="360" w:lineRule="auto"/>
        <w:rPr>
          <w:rFonts w:ascii="Times New Roman" w:hAnsi="Times New Roman" w:cs="Times New Roman"/>
          <w:sz w:val="24"/>
          <w:szCs w:val="24"/>
        </w:rPr>
      </w:pPr>
      <w:r w:rsidRPr="00CB07C2">
        <w:rPr>
          <w:rFonts w:ascii="Times New Roman" w:hAnsi="Times New Roman" w:cs="Times New Roman"/>
          <w:b/>
          <w:bCs/>
          <w:sz w:val="24"/>
          <w:szCs w:val="24"/>
        </w:rPr>
        <w:t>Supplementary Figure 2.</w:t>
      </w:r>
      <w:r w:rsidRPr="00CB07C2">
        <w:rPr>
          <w:rFonts w:ascii="Times New Roman" w:hAnsi="Times New Roman" w:cs="Times New Roman"/>
          <w:sz w:val="24"/>
          <w:szCs w:val="24"/>
        </w:rPr>
        <w:t xml:space="preserve"> Heatmap show</w:t>
      </w:r>
      <w:r w:rsidR="00B01CEB" w:rsidRPr="00CB07C2">
        <w:rPr>
          <w:rFonts w:ascii="Times New Roman" w:hAnsi="Times New Roman" w:cs="Times New Roman"/>
          <w:sz w:val="24"/>
          <w:szCs w:val="24"/>
        </w:rPr>
        <w:t>s</w:t>
      </w:r>
      <w:r w:rsidRPr="00CB07C2">
        <w:rPr>
          <w:rFonts w:ascii="Times New Roman" w:hAnsi="Times New Roman" w:cs="Times New Roman"/>
          <w:sz w:val="24"/>
          <w:szCs w:val="24"/>
        </w:rPr>
        <w:t xml:space="preserve"> genes shared between genes in the CSGene database and DEGs for each skin cell type. Only the ensembles of shared genes are shown, and the number statistics are shown below the heatmap.</w:t>
      </w:r>
      <w:r w:rsidR="0028076E" w:rsidRPr="00CB07C2">
        <w:rPr>
          <w:rFonts w:ascii="Times New Roman" w:hAnsi="Times New Roman" w:cs="Times New Roman"/>
          <w:sz w:val="24"/>
          <w:szCs w:val="24"/>
        </w:rPr>
        <w:t xml:space="preserve"> </w:t>
      </w:r>
    </w:p>
    <w:p w14:paraId="05C85491" w14:textId="38272F06" w:rsidR="00ED04F0" w:rsidRPr="00CB07C2" w:rsidRDefault="00ED04F0"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 xml:space="preserve"> </w:t>
      </w:r>
    </w:p>
    <w:p w14:paraId="6D6E2212" w14:textId="0D848857" w:rsidR="00ED04F0" w:rsidRPr="00CB07C2" w:rsidRDefault="00EE017B"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lastRenderedPageBreak/>
        <w:drawing>
          <wp:anchor distT="0" distB="0" distL="114300" distR="114300" simplePos="0" relativeHeight="251665408" behindDoc="0" locked="0" layoutInCell="1" allowOverlap="1" wp14:anchorId="0C2DC40D" wp14:editId="0AE39861">
            <wp:simplePos x="0" y="0"/>
            <wp:positionH relativeFrom="margin">
              <wp:posOffset>688975</wp:posOffset>
            </wp:positionH>
            <wp:positionV relativeFrom="paragraph">
              <wp:posOffset>0</wp:posOffset>
            </wp:positionV>
            <wp:extent cx="4138002" cy="6000750"/>
            <wp:effectExtent l="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38002" cy="6000750"/>
                    </a:xfrm>
                    <a:prstGeom prst="rect">
                      <a:avLst/>
                    </a:prstGeom>
                  </pic:spPr>
                </pic:pic>
              </a:graphicData>
            </a:graphic>
          </wp:anchor>
        </w:drawing>
      </w:r>
      <w:r w:rsidR="00ED04F0" w:rsidRPr="00CB07C2">
        <w:rPr>
          <w:rFonts w:ascii="Times New Roman" w:hAnsi="Times New Roman" w:cs="Times New Roman"/>
          <w:b/>
          <w:bCs/>
          <w:sz w:val="24"/>
          <w:szCs w:val="24"/>
        </w:rPr>
        <w:t xml:space="preserve">Supplementary Figure 3. </w:t>
      </w:r>
      <w:r w:rsidR="00ED04F0" w:rsidRPr="00CB07C2">
        <w:rPr>
          <w:rFonts w:ascii="Times New Roman" w:hAnsi="Times New Roman" w:cs="Times New Roman"/>
          <w:sz w:val="24"/>
          <w:szCs w:val="24"/>
        </w:rPr>
        <w:t>Heatmap show</w:t>
      </w:r>
      <w:r w:rsidR="00B01CEB" w:rsidRPr="00CB07C2">
        <w:rPr>
          <w:rFonts w:ascii="Times New Roman" w:hAnsi="Times New Roman" w:cs="Times New Roman"/>
          <w:sz w:val="24"/>
          <w:szCs w:val="24"/>
        </w:rPr>
        <w:t>s</w:t>
      </w:r>
      <w:r w:rsidR="00ED04F0" w:rsidRPr="00CB07C2">
        <w:rPr>
          <w:rFonts w:ascii="Times New Roman" w:hAnsi="Times New Roman" w:cs="Times New Roman"/>
          <w:sz w:val="24"/>
          <w:szCs w:val="24"/>
        </w:rPr>
        <w:t xml:space="preserve"> genes shared between genes in the CellAge database and DEGs for each skin cell type. Only the ensembles of shared genes are shown, and the number statistics are shown below the heatmap.</w:t>
      </w:r>
    </w:p>
    <w:p w14:paraId="6940A62E" w14:textId="0C97C293" w:rsidR="00ED04F0" w:rsidRPr="00CB07C2" w:rsidRDefault="00A524D0"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lastRenderedPageBreak/>
        <w:drawing>
          <wp:inline distT="0" distB="0" distL="0" distR="0" wp14:anchorId="35103D59" wp14:editId="0975122A">
            <wp:extent cx="5274310" cy="322516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225165"/>
                    </a:xfrm>
                    <a:prstGeom prst="rect">
                      <a:avLst/>
                    </a:prstGeom>
                  </pic:spPr>
                </pic:pic>
              </a:graphicData>
            </a:graphic>
          </wp:inline>
        </w:drawing>
      </w:r>
    </w:p>
    <w:p w14:paraId="3DC5A7EF" w14:textId="67A7CEE2" w:rsidR="009A063F" w:rsidRPr="00CB07C2" w:rsidRDefault="009A063F" w:rsidP="00D01C25">
      <w:pPr>
        <w:spacing w:line="360" w:lineRule="auto"/>
        <w:rPr>
          <w:rFonts w:ascii="Times New Roman" w:hAnsi="Times New Roman" w:cs="Times New Roman"/>
          <w:sz w:val="24"/>
          <w:szCs w:val="24"/>
        </w:rPr>
      </w:pPr>
      <w:r w:rsidRPr="00CB07C2">
        <w:rPr>
          <w:rFonts w:ascii="Times New Roman" w:hAnsi="Times New Roman" w:cs="Times New Roman"/>
          <w:b/>
          <w:bCs/>
          <w:sz w:val="24"/>
          <w:szCs w:val="24"/>
        </w:rPr>
        <w:t>Supplementary Figure 4.</w:t>
      </w:r>
      <w:r w:rsidRPr="00CB07C2">
        <w:rPr>
          <w:rFonts w:ascii="Times New Roman" w:hAnsi="Times New Roman" w:cs="Times New Roman"/>
          <w:sz w:val="24"/>
          <w:szCs w:val="24"/>
        </w:rPr>
        <w:t xml:space="preserve"> Scatterplots show the correlation between the </w:t>
      </w:r>
      <w:r w:rsidR="00456581" w:rsidRPr="00CB07C2">
        <w:rPr>
          <w:rFonts w:ascii="Times New Roman" w:hAnsi="Times New Roman" w:cs="Times New Roman"/>
          <w:sz w:val="24"/>
          <w:szCs w:val="24"/>
        </w:rPr>
        <w:t>six</w:t>
      </w:r>
      <w:r w:rsidRPr="00CB07C2">
        <w:rPr>
          <w:rFonts w:ascii="Times New Roman" w:hAnsi="Times New Roman" w:cs="Times New Roman"/>
          <w:sz w:val="24"/>
          <w:szCs w:val="24"/>
        </w:rPr>
        <w:t xml:space="preserve"> migrasome-related genes (TSPAN4, TSPAN9, CPQ, EOGT, NDST1, and PIGK) and aging-related genes in the Aging Atlas database respectively (see Methods for details). The trend lines represent the overall trend of all the scatter points in the corresponding plots, and the corresponding p-value</w:t>
      </w:r>
      <w:r w:rsidR="00353608" w:rsidRPr="00CB07C2">
        <w:rPr>
          <w:rFonts w:ascii="Times New Roman" w:hAnsi="Times New Roman" w:cs="Times New Roman" w:hint="eastAsia"/>
          <w:sz w:val="24"/>
          <w:szCs w:val="24"/>
        </w:rPr>
        <w:t xml:space="preserve"> and</w:t>
      </w:r>
      <w:r w:rsidR="00353608" w:rsidRPr="00CB07C2">
        <w:rPr>
          <w:rFonts w:ascii="Times New Roman" w:hAnsi="Times New Roman" w:cs="Times New Roman"/>
          <w:sz w:val="24"/>
          <w:szCs w:val="24"/>
        </w:rPr>
        <w:t xml:space="preserve"> </w:t>
      </w:r>
      <w:r w:rsidRPr="00CB07C2">
        <w:rPr>
          <w:rFonts w:ascii="Times New Roman" w:hAnsi="Times New Roman" w:cs="Times New Roman"/>
          <w:sz w:val="24"/>
          <w:szCs w:val="24"/>
        </w:rPr>
        <w:t>Spearman's correlation coefficient</w:t>
      </w:r>
      <w:r w:rsidR="00353608" w:rsidRPr="00CB07C2">
        <w:rPr>
          <w:rFonts w:ascii="Times New Roman" w:hAnsi="Times New Roman" w:cs="Times New Roman" w:hint="eastAsia"/>
          <w:sz w:val="24"/>
          <w:szCs w:val="24"/>
        </w:rPr>
        <w:t xml:space="preserve"> </w:t>
      </w:r>
      <w:r w:rsidRPr="00CB07C2">
        <w:rPr>
          <w:rFonts w:ascii="Times New Roman" w:hAnsi="Times New Roman" w:cs="Times New Roman"/>
          <w:sz w:val="24"/>
          <w:szCs w:val="24"/>
        </w:rPr>
        <w:t>are shown at the top of the plots.</w:t>
      </w:r>
    </w:p>
    <w:p w14:paraId="7492C612" w14:textId="0C98367F" w:rsidR="009A063F" w:rsidRPr="00CB07C2" w:rsidRDefault="009A063F" w:rsidP="00D01C25">
      <w:pPr>
        <w:spacing w:line="360" w:lineRule="auto"/>
        <w:rPr>
          <w:rFonts w:ascii="Times New Roman" w:hAnsi="Times New Roman" w:cs="Times New Roman"/>
          <w:sz w:val="24"/>
          <w:szCs w:val="24"/>
        </w:rPr>
      </w:pPr>
    </w:p>
    <w:p w14:paraId="466F5484" w14:textId="380A3681" w:rsidR="008C4E73" w:rsidRPr="00CB07C2" w:rsidRDefault="008C4E73" w:rsidP="00D01C25">
      <w:pPr>
        <w:spacing w:line="360" w:lineRule="auto"/>
        <w:rPr>
          <w:rFonts w:ascii="Times New Roman" w:hAnsi="Times New Roman" w:cs="Times New Roman"/>
          <w:sz w:val="24"/>
          <w:szCs w:val="24"/>
        </w:rPr>
      </w:pPr>
    </w:p>
    <w:p w14:paraId="7AD9B193" w14:textId="77777777" w:rsidR="008C4E73" w:rsidRPr="00CB07C2" w:rsidRDefault="008C4E73" w:rsidP="00D01C25">
      <w:pPr>
        <w:spacing w:line="360" w:lineRule="auto"/>
        <w:rPr>
          <w:rFonts w:ascii="Times New Roman" w:hAnsi="Times New Roman" w:cs="Times New Roman"/>
          <w:sz w:val="24"/>
          <w:szCs w:val="24"/>
        </w:rPr>
      </w:pPr>
    </w:p>
    <w:p w14:paraId="24CD0E41" w14:textId="77777777" w:rsidR="009A063F" w:rsidRPr="00CB07C2" w:rsidRDefault="009A063F" w:rsidP="00D01C25">
      <w:pPr>
        <w:spacing w:line="360" w:lineRule="auto"/>
        <w:rPr>
          <w:rFonts w:ascii="Times New Roman" w:hAnsi="Times New Roman" w:cs="Times New Roman"/>
          <w:sz w:val="24"/>
          <w:szCs w:val="24"/>
        </w:rPr>
      </w:pPr>
    </w:p>
    <w:p w14:paraId="7F10D933" w14:textId="6C794107" w:rsidR="00ED04F0" w:rsidRPr="00CB07C2" w:rsidRDefault="001171EA"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lastRenderedPageBreak/>
        <w:drawing>
          <wp:inline distT="0" distB="0" distL="0" distR="0" wp14:anchorId="02C09D16" wp14:editId="0D27A7FA">
            <wp:extent cx="5274310" cy="322516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225165"/>
                    </a:xfrm>
                    <a:prstGeom prst="rect">
                      <a:avLst/>
                    </a:prstGeom>
                  </pic:spPr>
                </pic:pic>
              </a:graphicData>
            </a:graphic>
          </wp:inline>
        </w:drawing>
      </w:r>
    </w:p>
    <w:p w14:paraId="7E9E4A3C" w14:textId="233AA061" w:rsidR="00574417" w:rsidRPr="00CB07C2" w:rsidRDefault="00574417" w:rsidP="00D01C25">
      <w:pPr>
        <w:spacing w:line="360" w:lineRule="auto"/>
        <w:rPr>
          <w:rFonts w:ascii="Times New Roman" w:hAnsi="Times New Roman" w:cs="Times New Roman"/>
          <w:sz w:val="24"/>
          <w:szCs w:val="24"/>
        </w:rPr>
      </w:pPr>
      <w:r w:rsidRPr="00CB07C2">
        <w:rPr>
          <w:rFonts w:ascii="Times New Roman" w:hAnsi="Times New Roman" w:cs="Times New Roman"/>
          <w:b/>
          <w:bCs/>
          <w:sz w:val="24"/>
          <w:szCs w:val="24"/>
        </w:rPr>
        <w:t>Supplementary Figure 5.</w:t>
      </w:r>
      <w:r w:rsidRPr="00CB07C2">
        <w:rPr>
          <w:rFonts w:ascii="Times New Roman" w:hAnsi="Times New Roman" w:cs="Times New Roman"/>
          <w:sz w:val="24"/>
          <w:szCs w:val="24"/>
        </w:rPr>
        <w:t xml:space="preserve"> Scatterplots show the correlation between the </w:t>
      </w:r>
      <w:r w:rsidR="00456581" w:rsidRPr="00CB07C2">
        <w:rPr>
          <w:rFonts w:ascii="Times New Roman" w:hAnsi="Times New Roman" w:cs="Times New Roman"/>
          <w:sz w:val="24"/>
          <w:szCs w:val="24"/>
        </w:rPr>
        <w:t>six</w:t>
      </w:r>
      <w:r w:rsidRPr="00CB07C2">
        <w:rPr>
          <w:rFonts w:ascii="Times New Roman" w:hAnsi="Times New Roman" w:cs="Times New Roman"/>
          <w:sz w:val="24"/>
          <w:szCs w:val="24"/>
        </w:rPr>
        <w:t xml:space="preserve"> migrasome-related genes (TSPAN4, TSPAN9, CPQ, EOGT, NDST1, and PIGK) and aging-related genes in the CSGene database respectively (see Methods for details). The trend lines represent the overall trend of all the scatter points in the corresponding plots, and the corresponding p-value</w:t>
      </w:r>
      <w:r w:rsidR="00353608" w:rsidRPr="00CB07C2">
        <w:rPr>
          <w:rFonts w:ascii="Times New Roman" w:hAnsi="Times New Roman" w:cs="Times New Roman"/>
          <w:sz w:val="24"/>
          <w:szCs w:val="24"/>
        </w:rPr>
        <w:t xml:space="preserve"> and</w:t>
      </w:r>
      <w:r w:rsidRPr="00CB07C2">
        <w:rPr>
          <w:rFonts w:ascii="Times New Roman" w:hAnsi="Times New Roman" w:cs="Times New Roman"/>
          <w:sz w:val="24"/>
          <w:szCs w:val="24"/>
        </w:rPr>
        <w:t xml:space="preserve"> Spearman's correlation coefficient are shown at the top of the plots</w:t>
      </w:r>
    </w:p>
    <w:p w14:paraId="163A0948" w14:textId="4B82D7FC" w:rsidR="008C4E73" w:rsidRPr="00CB07C2" w:rsidRDefault="008C4E73" w:rsidP="00D01C25">
      <w:pPr>
        <w:spacing w:line="360" w:lineRule="auto"/>
        <w:rPr>
          <w:rFonts w:ascii="Times New Roman" w:hAnsi="Times New Roman" w:cs="Times New Roman"/>
          <w:sz w:val="24"/>
          <w:szCs w:val="24"/>
        </w:rPr>
      </w:pPr>
    </w:p>
    <w:p w14:paraId="75A4CDAA" w14:textId="4E72DAE8" w:rsidR="008C4E73" w:rsidRPr="00CB07C2" w:rsidRDefault="008C4E73" w:rsidP="00D01C25">
      <w:pPr>
        <w:spacing w:line="360" w:lineRule="auto"/>
        <w:rPr>
          <w:rFonts w:ascii="Times New Roman" w:hAnsi="Times New Roman" w:cs="Times New Roman"/>
          <w:sz w:val="24"/>
          <w:szCs w:val="24"/>
        </w:rPr>
      </w:pPr>
    </w:p>
    <w:p w14:paraId="2744E2B4" w14:textId="18B9E6DD" w:rsidR="008C4E73" w:rsidRPr="00CB07C2" w:rsidRDefault="008C4E73" w:rsidP="00D01C25">
      <w:pPr>
        <w:spacing w:line="360" w:lineRule="auto"/>
        <w:rPr>
          <w:rFonts w:ascii="Times New Roman" w:hAnsi="Times New Roman" w:cs="Times New Roman"/>
          <w:sz w:val="24"/>
          <w:szCs w:val="24"/>
        </w:rPr>
      </w:pPr>
    </w:p>
    <w:p w14:paraId="2EDA6D19" w14:textId="77777777" w:rsidR="008C4E73" w:rsidRPr="00CB07C2" w:rsidRDefault="008C4E73" w:rsidP="00D01C25">
      <w:pPr>
        <w:spacing w:line="360" w:lineRule="auto"/>
        <w:rPr>
          <w:rFonts w:ascii="Times New Roman" w:hAnsi="Times New Roman" w:cs="Times New Roman"/>
          <w:sz w:val="24"/>
          <w:szCs w:val="24"/>
        </w:rPr>
      </w:pPr>
    </w:p>
    <w:p w14:paraId="49CDB1AC" w14:textId="2BFD5A8F" w:rsidR="004E4385" w:rsidRPr="00CB07C2" w:rsidRDefault="005166AD"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lastRenderedPageBreak/>
        <w:drawing>
          <wp:inline distT="0" distB="0" distL="0" distR="0" wp14:anchorId="3187F0F3" wp14:editId="45F43D12">
            <wp:extent cx="5274310" cy="322516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225165"/>
                    </a:xfrm>
                    <a:prstGeom prst="rect">
                      <a:avLst/>
                    </a:prstGeom>
                  </pic:spPr>
                </pic:pic>
              </a:graphicData>
            </a:graphic>
          </wp:inline>
        </w:drawing>
      </w:r>
    </w:p>
    <w:p w14:paraId="629D4FCB" w14:textId="1C1283D8" w:rsidR="005B4787" w:rsidRPr="00CB07C2" w:rsidRDefault="00574417" w:rsidP="00D01C25">
      <w:pPr>
        <w:spacing w:line="360" w:lineRule="auto"/>
        <w:rPr>
          <w:rFonts w:ascii="Times New Roman" w:hAnsi="Times New Roman" w:cs="Times New Roman"/>
          <w:noProof/>
          <w:sz w:val="24"/>
          <w:szCs w:val="24"/>
        </w:rPr>
      </w:pPr>
      <w:r w:rsidRPr="00CB07C2">
        <w:rPr>
          <w:rFonts w:ascii="Times New Roman" w:hAnsi="Times New Roman" w:cs="Times New Roman"/>
          <w:b/>
          <w:bCs/>
          <w:sz w:val="24"/>
          <w:szCs w:val="24"/>
        </w:rPr>
        <w:t xml:space="preserve">Supplentary </w:t>
      </w:r>
      <w:r w:rsidR="002B294D" w:rsidRPr="00CB07C2">
        <w:rPr>
          <w:rFonts w:ascii="Times New Roman" w:hAnsi="Times New Roman" w:cs="Times New Roman"/>
          <w:b/>
          <w:bCs/>
          <w:sz w:val="24"/>
          <w:szCs w:val="24"/>
        </w:rPr>
        <w:t xml:space="preserve">Figure </w:t>
      </w:r>
      <w:r w:rsidRPr="00CB07C2">
        <w:rPr>
          <w:rFonts w:ascii="Times New Roman" w:hAnsi="Times New Roman" w:cs="Times New Roman"/>
          <w:b/>
          <w:bCs/>
          <w:sz w:val="24"/>
          <w:szCs w:val="24"/>
        </w:rPr>
        <w:t>6</w:t>
      </w:r>
      <w:r w:rsidR="002B294D" w:rsidRPr="00CB07C2">
        <w:rPr>
          <w:rFonts w:ascii="Times New Roman" w:hAnsi="Times New Roman" w:cs="Times New Roman"/>
          <w:sz w:val="24"/>
          <w:szCs w:val="24"/>
        </w:rPr>
        <w:t xml:space="preserve">. </w:t>
      </w:r>
      <w:r w:rsidR="004E4385" w:rsidRPr="00CB07C2">
        <w:rPr>
          <w:rFonts w:ascii="Times New Roman" w:hAnsi="Times New Roman" w:cs="Times New Roman"/>
          <w:sz w:val="24"/>
          <w:szCs w:val="24"/>
        </w:rPr>
        <w:t xml:space="preserve">Scatterplots show the correlation between the </w:t>
      </w:r>
      <w:r w:rsidR="00456581" w:rsidRPr="00CB07C2">
        <w:rPr>
          <w:rFonts w:ascii="Times New Roman" w:hAnsi="Times New Roman" w:cs="Times New Roman"/>
          <w:sz w:val="24"/>
          <w:szCs w:val="24"/>
        </w:rPr>
        <w:t>six</w:t>
      </w:r>
      <w:r w:rsidR="004E4385" w:rsidRPr="00CB07C2">
        <w:rPr>
          <w:rFonts w:ascii="Times New Roman" w:hAnsi="Times New Roman" w:cs="Times New Roman"/>
          <w:sz w:val="24"/>
          <w:szCs w:val="24"/>
        </w:rPr>
        <w:t xml:space="preserve"> migrasome-related genes (</w:t>
      </w:r>
      <w:r w:rsidRPr="00CB07C2">
        <w:rPr>
          <w:rFonts w:ascii="Times New Roman" w:hAnsi="Times New Roman" w:cs="Times New Roman"/>
          <w:sz w:val="24"/>
          <w:szCs w:val="24"/>
        </w:rPr>
        <w:t>TSPAN4, TSPAN9, CPQ, EOGT, NDST1, and PIGK</w:t>
      </w:r>
      <w:r w:rsidR="004E4385" w:rsidRPr="00CB07C2">
        <w:rPr>
          <w:rFonts w:ascii="Times New Roman" w:hAnsi="Times New Roman" w:cs="Times New Roman"/>
          <w:sz w:val="24"/>
          <w:szCs w:val="24"/>
        </w:rPr>
        <w:t>) and aging-related genes in the CellAge database respectively (see Methods for details). The trend lines represent the overall trend of all the scatter points in the corresponding plots, and the corresponding p-value</w:t>
      </w:r>
      <w:r w:rsidR="00353608" w:rsidRPr="00CB07C2">
        <w:rPr>
          <w:rFonts w:ascii="Times New Roman" w:hAnsi="Times New Roman" w:cs="Times New Roman"/>
          <w:sz w:val="24"/>
          <w:szCs w:val="24"/>
        </w:rPr>
        <w:t xml:space="preserve"> and</w:t>
      </w:r>
      <w:r w:rsidR="004E4385" w:rsidRPr="00CB07C2">
        <w:rPr>
          <w:rFonts w:ascii="Times New Roman" w:hAnsi="Times New Roman" w:cs="Times New Roman"/>
          <w:sz w:val="24"/>
          <w:szCs w:val="24"/>
        </w:rPr>
        <w:t xml:space="preserve"> Spearman's correlation coefficient are shown at the top of the plots.</w:t>
      </w:r>
      <w:r w:rsidR="005B4787" w:rsidRPr="00CB07C2">
        <w:rPr>
          <w:rFonts w:ascii="Times New Roman" w:hAnsi="Times New Roman" w:cs="Times New Roman"/>
          <w:noProof/>
          <w:sz w:val="24"/>
          <w:szCs w:val="24"/>
        </w:rPr>
        <w:t xml:space="preserve"> </w:t>
      </w:r>
    </w:p>
    <w:p w14:paraId="57B87E19" w14:textId="3A425946" w:rsidR="00A22C42" w:rsidRPr="00CB07C2" w:rsidRDefault="00032C1D"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drawing>
          <wp:inline distT="0" distB="0" distL="0" distR="0" wp14:anchorId="40AF105F" wp14:editId="22BF273B">
            <wp:extent cx="5267325" cy="2400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0013" b="57217"/>
                    <a:stretch/>
                  </pic:blipFill>
                  <pic:spPr bwMode="auto">
                    <a:xfrm>
                      <a:off x="0" y="0"/>
                      <a:ext cx="5267325" cy="2400300"/>
                    </a:xfrm>
                    <a:prstGeom prst="rect">
                      <a:avLst/>
                    </a:prstGeom>
                    <a:noFill/>
                    <a:ln>
                      <a:noFill/>
                    </a:ln>
                    <a:extLst>
                      <a:ext uri="{53640926-AAD7-44D8-BBD7-CCE9431645EC}">
                        <a14:shadowObscured xmlns:a14="http://schemas.microsoft.com/office/drawing/2010/main"/>
                      </a:ext>
                    </a:extLst>
                  </pic:spPr>
                </pic:pic>
              </a:graphicData>
            </a:graphic>
          </wp:inline>
        </w:drawing>
      </w:r>
    </w:p>
    <w:p w14:paraId="1474E128" w14:textId="1F34FF95" w:rsidR="004E4385" w:rsidRPr="00CB07C2" w:rsidRDefault="00DE1E3C" w:rsidP="00D01C25">
      <w:pPr>
        <w:spacing w:line="360" w:lineRule="auto"/>
        <w:rPr>
          <w:rFonts w:ascii="Times New Roman" w:hAnsi="Times New Roman" w:cs="Times New Roman"/>
          <w:sz w:val="24"/>
          <w:szCs w:val="24"/>
        </w:rPr>
      </w:pPr>
      <w:r w:rsidRPr="00CB07C2">
        <w:rPr>
          <w:rFonts w:ascii="Times New Roman" w:hAnsi="Times New Roman" w:cs="Times New Roman"/>
          <w:b/>
          <w:bCs/>
          <w:sz w:val="24"/>
          <w:szCs w:val="24"/>
        </w:rPr>
        <w:t xml:space="preserve">Supplementary </w:t>
      </w:r>
      <w:r w:rsidR="00F6467F" w:rsidRPr="00CB07C2">
        <w:rPr>
          <w:rFonts w:ascii="Times New Roman" w:hAnsi="Times New Roman" w:cs="Times New Roman"/>
          <w:b/>
          <w:bCs/>
          <w:sz w:val="24"/>
          <w:szCs w:val="24"/>
        </w:rPr>
        <w:t>Figure</w:t>
      </w:r>
      <w:r w:rsidRPr="00CB07C2">
        <w:rPr>
          <w:rFonts w:ascii="Times New Roman" w:hAnsi="Times New Roman" w:cs="Times New Roman"/>
          <w:b/>
          <w:bCs/>
          <w:sz w:val="24"/>
          <w:szCs w:val="24"/>
        </w:rPr>
        <w:t xml:space="preserve"> 7</w:t>
      </w:r>
      <w:r w:rsidR="004E4385" w:rsidRPr="00CB07C2">
        <w:rPr>
          <w:rFonts w:ascii="Times New Roman" w:hAnsi="Times New Roman" w:cs="Times New Roman"/>
          <w:b/>
          <w:bCs/>
          <w:sz w:val="24"/>
          <w:szCs w:val="24"/>
        </w:rPr>
        <w:t>.</w:t>
      </w:r>
      <w:r w:rsidR="004E4385" w:rsidRPr="00CB07C2">
        <w:rPr>
          <w:rFonts w:ascii="Times New Roman" w:hAnsi="Times New Roman" w:cs="Times New Roman"/>
          <w:sz w:val="24"/>
          <w:szCs w:val="24"/>
        </w:rPr>
        <w:t xml:space="preserve"> </w:t>
      </w:r>
      <w:r w:rsidR="00260497" w:rsidRPr="00CB07C2">
        <w:rPr>
          <w:rFonts w:ascii="Times New Roman" w:hAnsi="Times New Roman" w:cs="Times New Roman"/>
          <w:sz w:val="24"/>
          <w:szCs w:val="24"/>
        </w:rPr>
        <w:t>H₂O₂</w:t>
      </w:r>
      <w:r w:rsidR="004E4385" w:rsidRPr="00CB07C2">
        <w:rPr>
          <w:rFonts w:ascii="Times New Roman" w:hAnsi="Times New Roman" w:cs="Times New Roman"/>
          <w:sz w:val="24"/>
          <w:szCs w:val="24"/>
        </w:rPr>
        <w:t xml:space="preserve"> induced BJ cell senescence.</w:t>
      </w:r>
    </w:p>
    <w:p w14:paraId="62EE6CD5" w14:textId="21CDAE56"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 xml:space="preserve">A. Representative images of </w:t>
      </w:r>
      <w:r w:rsidR="00E466EB" w:rsidRPr="00CB07C2">
        <w:rPr>
          <w:rFonts w:ascii="Times New Roman" w:hAnsi="Times New Roman" w:cs="Times New Roman"/>
          <w:sz w:val="24"/>
          <w:szCs w:val="24"/>
        </w:rPr>
        <w:t xml:space="preserve">SA-β-gal staining </w:t>
      </w:r>
      <w:r w:rsidRPr="00CB07C2">
        <w:rPr>
          <w:rFonts w:ascii="Times New Roman" w:hAnsi="Times New Roman" w:cs="Times New Roman"/>
          <w:sz w:val="24"/>
          <w:szCs w:val="24"/>
        </w:rPr>
        <w:t>in BJ cells treated with 200 μmol/L H₂O₂.</w:t>
      </w:r>
    </w:p>
    <w:p w14:paraId="46696215" w14:textId="27A77399"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B. Representative Western Blot images showing the expression of senescence markers P16 and P21 in BJ cells exposed to H₂O₂.</w:t>
      </w:r>
    </w:p>
    <w:p w14:paraId="3D22AFF9" w14:textId="44034451" w:rsidR="004E4385" w:rsidRPr="00CB07C2" w:rsidRDefault="00F033B5" w:rsidP="00D01C25">
      <w:pPr>
        <w:spacing w:line="360" w:lineRule="auto"/>
        <w:rPr>
          <w:rFonts w:ascii="Times New Roman" w:hAnsi="Times New Roman" w:cs="Times New Roman"/>
          <w:sz w:val="24"/>
          <w:szCs w:val="24"/>
        </w:rPr>
      </w:pPr>
      <w:r w:rsidRPr="00CB07C2">
        <w:rPr>
          <w:rFonts w:ascii="Times New Roman" w:hAnsi="Times New Roman" w:cs="Times New Roman"/>
          <w:noProof/>
          <w:sz w:val="24"/>
          <w:szCs w:val="24"/>
        </w:rPr>
        <w:lastRenderedPageBreak/>
        <w:drawing>
          <wp:inline distT="0" distB="0" distL="0" distR="0" wp14:anchorId="4C60B203" wp14:editId="5CF105CA">
            <wp:extent cx="5274310" cy="5095875"/>
            <wp:effectExtent l="0" t="0" r="254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rotWithShape="1">
                    <a:blip r:embed="rId13" cstate="print">
                      <a:extLst>
                        <a:ext uri="{28A0092B-C50C-407E-A947-70E740481C1C}">
                          <a14:useLocalDpi xmlns:a14="http://schemas.microsoft.com/office/drawing/2010/main" val="0"/>
                        </a:ext>
                      </a:extLst>
                    </a:blip>
                    <a:srcRect t="9231" b="21210"/>
                    <a:stretch/>
                  </pic:blipFill>
                  <pic:spPr bwMode="auto">
                    <a:xfrm>
                      <a:off x="0" y="0"/>
                      <a:ext cx="5274310" cy="5095875"/>
                    </a:xfrm>
                    <a:prstGeom prst="rect">
                      <a:avLst/>
                    </a:prstGeom>
                    <a:ln>
                      <a:noFill/>
                    </a:ln>
                    <a:extLst>
                      <a:ext uri="{53640926-AAD7-44D8-BBD7-CCE9431645EC}">
                        <a14:shadowObscured xmlns:a14="http://schemas.microsoft.com/office/drawing/2010/main"/>
                      </a:ext>
                    </a:extLst>
                  </pic:spPr>
                </pic:pic>
              </a:graphicData>
            </a:graphic>
          </wp:inline>
        </w:drawing>
      </w:r>
    </w:p>
    <w:p w14:paraId="158928F9" w14:textId="58B34DEA" w:rsidR="004E4385" w:rsidRPr="00CB07C2" w:rsidRDefault="00DE1E3C" w:rsidP="00D01C25">
      <w:pPr>
        <w:spacing w:line="360" w:lineRule="auto"/>
        <w:rPr>
          <w:rFonts w:ascii="Times New Roman" w:hAnsi="Times New Roman" w:cs="Times New Roman"/>
          <w:sz w:val="24"/>
          <w:szCs w:val="24"/>
        </w:rPr>
      </w:pPr>
      <w:r w:rsidRPr="00CB07C2">
        <w:rPr>
          <w:rFonts w:ascii="Times New Roman" w:hAnsi="Times New Roman" w:cs="Times New Roman"/>
          <w:b/>
          <w:bCs/>
          <w:sz w:val="24"/>
          <w:szCs w:val="24"/>
        </w:rPr>
        <w:t xml:space="preserve">Supplementary </w:t>
      </w:r>
      <w:r w:rsidR="00F6467F" w:rsidRPr="00CB07C2">
        <w:rPr>
          <w:rFonts w:ascii="Times New Roman" w:hAnsi="Times New Roman" w:cs="Times New Roman"/>
          <w:b/>
          <w:bCs/>
          <w:sz w:val="24"/>
          <w:szCs w:val="24"/>
        </w:rPr>
        <w:t>Figure</w:t>
      </w:r>
      <w:r w:rsidRPr="00CB07C2">
        <w:rPr>
          <w:rFonts w:ascii="Times New Roman" w:hAnsi="Times New Roman" w:cs="Times New Roman"/>
          <w:b/>
          <w:bCs/>
          <w:sz w:val="24"/>
          <w:szCs w:val="24"/>
        </w:rPr>
        <w:t xml:space="preserve"> </w:t>
      </w:r>
      <w:r w:rsidR="005A74D1" w:rsidRPr="00CB07C2">
        <w:rPr>
          <w:rFonts w:ascii="Times New Roman" w:hAnsi="Times New Roman" w:cs="Times New Roman"/>
          <w:b/>
          <w:bCs/>
          <w:sz w:val="24"/>
          <w:szCs w:val="24"/>
        </w:rPr>
        <w:t>8</w:t>
      </w:r>
      <w:r w:rsidR="004E4385" w:rsidRPr="00CB07C2">
        <w:rPr>
          <w:rFonts w:ascii="Times New Roman" w:hAnsi="Times New Roman" w:cs="Times New Roman"/>
          <w:b/>
          <w:bCs/>
          <w:sz w:val="24"/>
          <w:szCs w:val="24"/>
        </w:rPr>
        <w:t xml:space="preserve">. </w:t>
      </w:r>
      <w:r w:rsidR="004E4385" w:rsidRPr="00CB07C2">
        <w:rPr>
          <w:rFonts w:ascii="Times New Roman" w:hAnsi="Times New Roman" w:cs="Times New Roman"/>
          <w:sz w:val="24"/>
          <w:szCs w:val="24"/>
        </w:rPr>
        <w:t>H₂O₂ induced HaCaT cell senescence</w:t>
      </w:r>
      <w:r w:rsidR="00260497" w:rsidRPr="00CB07C2">
        <w:rPr>
          <w:rFonts w:ascii="Times New Roman" w:hAnsi="Times New Roman" w:cs="Times New Roman"/>
          <w:sz w:val="24"/>
          <w:szCs w:val="24"/>
        </w:rPr>
        <w:t>.</w:t>
      </w:r>
    </w:p>
    <w:p w14:paraId="49F5A855" w14:textId="31D8BC30"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A.</w:t>
      </w:r>
      <w:r w:rsidR="001D12A7" w:rsidRPr="00CB07C2">
        <w:rPr>
          <w:rFonts w:ascii="Times New Roman" w:hAnsi="Times New Roman" w:cs="Times New Roman"/>
          <w:sz w:val="24"/>
          <w:szCs w:val="24"/>
        </w:rPr>
        <w:t xml:space="preserve"> </w:t>
      </w:r>
      <w:r w:rsidRPr="00CB07C2">
        <w:rPr>
          <w:rFonts w:ascii="Times New Roman" w:hAnsi="Times New Roman" w:cs="Times New Roman"/>
          <w:sz w:val="24"/>
          <w:szCs w:val="24"/>
        </w:rPr>
        <w:t>Vimentin immunofluorescence staining of extracted fibroblasts</w:t>
      </w:r>
      <w:r w:rsidR="000D0409" w:rsidRPr="00CB07C2">
        <w:rPr>
          <w:rFonts w:ascii="Times New Roman" w:hAnsi="Times New Roman" w:cs="Times New Roman"/>
          <w:sz w:val="24"/>
          <w:szCs w:val="24"/>
        </w:rPr>
        <w:t>.</w:t>
      </w:r>
    </w:p>
    <w:p w14:paraId="7047907B" w14:textId="263455A0"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 xml:space="preserve">B. Representative images of SA-β-gal staining in HaCaT cells treated with </w:t>
      </w:r>
      <w:r w:rsidR="003547FE" w:rsidRPr="00CB07C2">
        <w:rPr>
          <w:rFonts w:ascii="Times New Roman" w:hAnsi="Times New Roman" w:cs="Times New Roman"/>
          <w:sz w:val="24"/>
          <w:szCs w:val="24"/>
        </w:rPr>
        <w:t>different concentration</w:t>
      </w:r>
      <w:r w:rsidR="00C743DB" w:rsidRPr="00CB07C2">
        <w:rPr>
          <w:rFonts w:ascii="Times New Roman" w:hAnsi="Times New Roman" w:cs="Times New Roman"/>
          <w:sz w:val="24"/>
          <w:szCs w:val="24"/>
        </w:rPr>
        <w:t>s</w:t>
      </w:r>
      <w:r w:rsidR="00201E05" w:rsidRPr="00CB07C2">
        <w:rPr>
          <w:rFonts w:ascii="Times New Roman" w:hAnsi="Times New Roman" w:cs="Times New Roman"/>
          <w:sz w:val="24"/>
          <w:szCs w:val="24"/>
        </w:rPr>
        <w:t xml:space="preserve"> of </w:t>
      </w:r>
      <w:r w:rsidR="003547FE" w:rsidRPr="00CB07C2">
        <w:rPr>
          <w:rFonts w:ascii="Times New Roman" w:hAnsi="Times New Roman" w:cs="Times New Roman"/>
          <w:sz w:val="24"/>
          <w:szCs w:val="24"/>
        </w:rPr>
        <w:t>H₂O₂</w:t>
      </w:r>
      <w:r w:rsidR="000D0409" w:rsidRPr="00CB07C2">
        <w:rPr>
          <w:rFonts w:ascii="Times New Roman" w:hAnsi="Times New Roman" w:cs="Times New Roman"/>
          <w:sz w:val="24"/>
          <w:szCs w:val="24"/>
        </w:rPr>
        <w:t>.</w:t>
      </w:r>
      <w:r w:rsidRPr="00CB07C2">
        <w:rPr>
          <w:rFonts w:ascii="Times New Roman" w:hAnsi="Times New Roman" w:cs="Times New Roman"/>
          <w:sz w:val="24"/>
          <w:szCs w:val="24"/>
        </w:rPr>
        <w:t xml:space="preserve"> </w:t>
      </w:r>
    </w:p>
    <w:p w14:paraId="047EA317" w14:textId="40C59438"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 xml:space="preserve">C. Representative Western Blot images showing the expression of senescence markers P16 and P21 in HaCaT cells exposed to </w:t>
      </w:r>
      <w:r w:rsidR="000D0409" w:rsidRPr="00CB07C2">
        <w:rPr>
          <w:rFonts w:ascii="Times New Roman" w:hAnsi="Times New Roman" w:cs="Times New Roman"/>
          <w:sz w:val="24"/>
          <w:szCs w:val="24"/>
        </w:rPr>
        <w:t>different concentration</w:t>
      </w:r>
      <w:r w:rsidR="00C743DB" w:rsidRPr="00CB07C2">
        <w:rPr>
          <w:rFonts w:ascii="Times New Roman" w:hAnsi="Times New Roman" w:cs="Times New Roman"/>
          <w:sz w:val="24"/>
          <w:szCs w:val="24"/>
        </w:rPr>
        <w:t>s</w:t>
      </w:r>
      <w:r w:rsidR="000D0409" w:rsidRPr="00CB07C2">
        <w:rPr>
          <w:rFonts w:ascii="Times New Roman" w:hAnsi="Times New Roman" w:cs="Times New Roman"/>
          <w:sz w:val="24"/>
          <w:szCs w:val="24"/>
        </w:rPr>
        <w:t xml:space="preserve"> </w:t>
      </w:r>
      <w:r w:rsidR="00201E05" w:rsidRPr="00CB07C2">
        <w:rPr>
          <w:rFonts w:ascii="Times New Roman" w:hAnsi="Times New Roman" w:cs="Times New Roman"/>
          <w:sz w:val="24"/>
          <w:szCs w:val="24"/>
        </w:rPr>
        <w:t xml:space="preserve">of </w:t>
      </w:r>
      <w:r w:rsidRPr="00CB07C2">
        <w:rPr>
          <w:rFonts w:ascii="Times New Roman" w:hAnsi="Times New Roman" w:cs="Times New Roman"/>
          <w:sz w:val="24"/>
          <w:szCs w:val="24"/>
        </w:rPr>
        <w:t>H₂O₂</w:t>
      </w:r>
      <w:r w:rsidR="000D0409" w:rsidRPr="00CB07C2">
        <w:rPr>
          <w:rFonts w:ascii="Times New Roman" w:hAnsi="Times New Roman" w:cs="Times New Roman"/>
          <w:sz w:val="24"/>
          <w:szCs w:val="24"/>
        </w:rPr>
        <w:t>.</w:t>
      </w:r>
    </w:p>
    <w:p w14:paraId="09436C1F" w14:textId="77777777" w:rsidR="004E4385" w:rsidRPr="00CB07C2"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D. Quantification of SA β-gal positive cells in HaCaT cells treated with different concentrations of H₂O₂. Experiments were repeated independently three times. Data were collected by randomly photographing 3 fields per group. Statistical analysis was performed using one-way ANOVA. Error bars indicate the mean ± SEM.</w:t>
      </w:r>
    </w:p>
    <w:p w14:paraId="5C2418E8" w14:textId="480420C7" w:rsidR="004E4385" w:rsidRPr="00D01C25" w:rsidRDefault="004E4385" w:rsidP="00D01C25">
      <w:pPr>
        <w:spacing w:line="360" w:lineRule="auto"/>
        <w:rPr>
          <w:rFonts w:ascii="Times New Roman" w:hAnsi="Times New Roman" w:cs="Times New Roman"/>
          <w:sz w:val="24"/>
          <w:szCs w:val="24"/>
        </w:rPr>
      </w:pPr>
      <w:r w:rsidRPr="00CB07C2">
        <w:rPr>
          <w:rFonts w:ascii="Times New Roman" w:hAnsi="Times New Roman" w:cs="Times New Roman"/>
          <w:sz w:val="24"/>
          <w:szCs w:val="24"/>
        </w:rPr>
        <w:t xml:space="preserve">E and F. Quantitative Western Blot analysis of senescence markers P16 and P21 in HaCaT cells exposed to H₂O₂ for 48 hours. Experiments were repeated independently </w:t>
      </w:r>
      <w:r w:rsidRPr="00CB07C2">
        <w:rPr>
          <w:rFonts w:ascii="Times New Roman" w:hAnsi="Times New Roman" w:cs="Times New Roman"/>
          <w:sz w:val="24"/>
          <w:szCs w:val="24"/>
        </w:rPr>
        <w:lastRenderedPageBreak/>
        <w:t>three times. Data were analyzed using one-way ANOVA. Error bars indicate the mean ± SEM.</w:t>
      </w:r>
    </w:p>
    <w:p w14:paraId="1A413432" w14:textId="527C109E" w:rsidR="0035590B" w:rsidRPr="00D01C25" w:rsidRDefault="0035590B" w:rsidP="00D01C25">
      <w:pPr>
        <w:spacing w:line="360" w:lineRule="auto"/>
        <w:rPr>
          <w:rFonts w:ascii="Times New Roman" w:hAnsi="Times New Roman" w:cs="Times New Roman"/>
          <w:sz w:val="24"/>
          <w:szCs w:val="24"/>
        </w:rPr>
      </w:pPr>
    </w:p>
    <w:p w14:paraId="7C966EE9" w14:textId="77777777" w:rsidR="0035590B" w:rsidRPr="00D01C25" w:rsidRDefault="0035590B" w:rsidP="00D01C25">
      <w:pPr>
        <w:spacing w:line="360" w:lineRule="auto"/>
        <w:rPr>
          <w:rFonts w:ascii="Times New Roman" w:hAnsi="Times New Roman" w:cs="Times New Roman"/>
          <w:sz w:val="24"/>
          <w:szCs w:val="24"/>
        </w:rPr>
      </w:pPr>
    </w:p>
    <w:sectPr w:rsidR="0035590B" w:rsidRPr="00D01C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337DB" w14:textId="77777777" w:rsidR="00366704" w:rsidRDefault="00366704" w:rsidP="004E4385">
      <w:r>
        <w:separator/>
      </w:r>
    </w:p>
  </w:endnote>
  <w:endnote w:type="continuationSeparator" w:id="0">
    <w:p w14:paraId="1C063711" w14:textId="77777777" w:rsidR="00366704" w:rsidRDefault="00366704" w:rsidP="004E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87863" w14:textId="77777777" w:rsidR="00366704" w:rsidRDefault="00366704" w:rsidP="004E4385">
      <w:r>
        <w:separator/>
      </w:r>
    </w:p>
  </w:footnote>
  <w:footnote w:type="continuationSeparator" w:id="0">
    <w:p w14:paraId="2C470C95" w14:textId="77777777" w:rsidR="00366704" w:rsidRDefault="00366704" w:rsidP="004E43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22"/>
    <w:rsid w:val="000249D3"/>
    <w:rsid w:val="00032C1D"/>
    <w:rsid w:val="00067815"/>
    <w:rsid w:val="000B0DE2"/>
    <w:rsid w:val="000D0409"/>
    <w:rsid w:val="001171EA"/>
    <w:rsid w:val="001B7416"/>
    <w:rsid w:val="001D12A7"/>
    <w:rsid w:val="001E01E0"/>
    <w:rsid w:val="00201E05"/>
    <w:rsid w:val="00203082"/>
    <w:rsid w:val="00223CF8"/>
    <w:rsid w:val="002259E4"/>
    <w:rsid w:val="00227841"/>
    <w:rsid w:val="00260497"/>
    <w:rsid w:val="00272C02"/>
    <w:rsid w:val="0028076E"/>
    <w:rsid w:val="002A71F4"/>
    <w:rsid w:val="002B294D"/>
    <w:rsid w:val="002E53C9"/>
    <w:rsid w:val="00325D62"/>
    <w:rsid w:val="00350963"/>
    <w:rsid w:val="00353608"/>
    <w:rsid w:val="003547FE"/>
    <w:rsid w:val="0035590B"/>
    <w:rsid w:val="00366704"/>
    <w:rsid w:val="00382D3E"/>
    <w:rsid w:val="003C7161"/>
    <w:rsid w:val="003D4553"/>
    <w:rsid w:val="003E3FF1"/>
    <w:rsid w:val="0040014B"/>
    <w:rsid w:val="00456581"/>
    <w:rsid w:val="00470F3F"/>
    <w:rsid w:val="004E4385"/>
    <w:rsid w:val="004F47FB"/>
    <w:rsid w:val="004F752A"/>
    <w:rsid w:val="005166AD"/>
    <w:rsid w:val="00564B15"/>
    <w:rsid w:val="00574417"/>
    <w:rsid w:val="005911EA"/>
    <w:rsid w:val="005A74D1"/>
    <w:rsid w:val="005B4787"/>
    <w:rsid w:val="005B58FB"/>
    <w:rsid w:val="00610D78"/>
    <w:rsid w:val="00627EE3"/>
    <w:rsid w:val="0064369C"/>
    <w:rsid w:val="00680C21"/>
    <w:rsid w:val="0069025F"/>
    <w:rsid w:val="006C3B08"/>
    <w:rsid w:val="00720AA5"/>
    <w:rsid w:val="007214D9"/>
    <w:rsid w:val="007D2907"/>
    <w:rsid w:val="007F3311"/>
    <w:rsid w:val="007F608F"/>
    <w:rsid w:val="007F6323"/>
    <w:rsid w:val="00802337"/>
    <w:rsid w:val="008424C1"/>
    <w:rsid w:val="0085379B"/>
    <w:rsid w:val="00894245"/>
    <w:rsid w:val="008C4E73"/>
    <w:rsid w:val="00920797"/>
    <w:rsid w:val="00924794"/>
    <w:rsid w:val="00983558"/>
    <w:rsid w:val="009A063F"/>
    <w:rsid w:val="00A22C42"/>
    <w:rsid w:val="00A2316C"/>
    <w:rsid w:val="00A524D0"/>
    <w:rsid w:val="00B01CEB"/>
    <w:rsid w:val="00B0632C"/>
    <w:rsid w:val="00B64054"/>
    <w:rsid w:val="00B706A6"/>
    <w:rsid w:val="00B83946"/>
    <w:rsid w:val="00B93522"/>
    <w:rsid w:val="00C6770E"/>
    <w:rsid w:val="00C70E86"/>
    <w:rsid w:val="00C743DB"/>
    <w:rsid w:val="00C757C2"/>
    <w:rsid w:val="00CB07C2"/>
    <w:rsid w:val="00D01C25"/>
    <w:rsid w:val="00DD172F"/>
    <w:rsid w:val="00DE1E3C"/>
    <w:rsid w:val="00E466EB"/>
    <w:rsid w:val="00ED04F0"/>
    <w:rsid w:val="00EE017B"/>
    <w:rsid w:val="00F033B5"/>
    <w:rsid w:val="00F05030"/>
    <w:rsid w:val="00F12BD6"/>
    <w:rsid w:val="00F20883"/>
    <w:rsid w:val="00F6467F"/>
    <w:rsid w:val="00F767C3"/>
    <w:rsid w:val="00FC4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63711"/>
  <w15:chartTrackingRefBased/>
  <w15:docId w15:val="{05E4C68E-F9E1-4943-AC98-6BA50AF5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43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E4385"/>
    <w:rPr>
      <w:sz w:val="18"/>
      <w:szCs w:val="18"/>
    </w:rPr>
  </w:style>
  <w:style w:type="paragraph" w:styleId="a5">
    <w:name w:val="footer"/>
    <w:basedOn w:val="a"/>
    <w:link w:val="a6"/>
    <w:uiPriority w:val="99"/>
    <w:unhideWhenUsed/>
    <w:rsid w:val="004E4385"/>
    <w:pPr>
      <w:tabs>
        <w:tab w:val="center" w:pos="4153"/>
        <w:tab w:val="right" w:pos="8306"/>
      </w:tabs>
      <w:snapToGrid w:val="0"/>
      <w:jc w:val="left"/>
    </w:pPr>
    <w:rPr>
      <w:sz w:val="18"/>
      <w:szCs w:val="18"/>
    </w:rPr>
  </w:style>
  <w:style w:type="character" w:customStyle="1" w:styleId="a6">
    <w:name w:val="页脚 字符"/>
    <w:basedOn w:val="a0"/>
    <w:link w:val="a5"/>
    <w:uiPriority w:val="99"/>
    <w:rsid w:val="004E4385"/>
    <w:rPr>
      <w:sz w:val="18"/>
      <w:szCs w:val="18"/>
    </w:rPr>
  </w:style>
  <w:style w:type="paragraph" w:styleId="a7">
    <w:name w:val="Revision"/>
    <w:hidden/>
    <w:uiPriority w:val="99"/>
    <w:semiHidden/>
    <w:rsid w:val="00353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561">
      <w:bodyDiv w:val="1"/>
      <w:marLeft w:val="0"/>
      <w:marRight w:val="0"/>
      <w:marTop w:val="0"/>
      <w:marBottom w:val="0"/>
      <w:divBdr>
        <w:top w:val="none" w:sz="0" w:space="0" w:color="auto"/>
        <w:left w:val="none" w:sz="0" w:space="0" w:color="auto"/>
        <w:bottom w:val="none" w:sz="0" w:space="0" w:color="auto"/>
        <w:right w:val="none" w:sz="0" w:space="0" w:color="auto"/>
      </w:divBdr>
    </w:div>
    <w:div w:id="105416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1761</Words>
  <Characters>10039</Characters>
  <Application>Microsoft Office Word</Application>
  <DocSecurity>0</DocSecurity>
  <Lines>83</Lines>
  <Paragraphs>23</Paragraphs>
  <ScaleCrop>false</ScaleCrop>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2025-02-04T13:19:00Z</dcterms:created>
  <dcterms:modified xsi:type="dcterms:W3CDTF">2025-02-04T17:18:00Z</dcterms:modified>
</cp:coreProperties>
</file>