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59258">
      <w:pPr>
        <w:pStyle w:val="2"/>
      </w:pPr>
      <w:r>
        <w:t>Multifunctional Glycyrrhizic Acid-Loaded Nanoplatform Combining Ferroptosis Induction and HMGB1 Blockade for Enhanced Tumor Immunotherapy</w:t>
      </w:r>
    </w:p>
    <w:p w14:paraId="133BED5F">
      <w:pPr>
        <w:rPr>
          <w:rFonts w:ascii="Times New Roman" w:hAnsi="Times New Roman" w:cs="Times New Roman"/>
          <w:sz w:val="24"/>
        </w:rPr>
      </w:pPr>
      <w:r>
        <w:rPr>
          <w:rFonts w:ascii="Times New Roman Italic" w:hAnsi="Times New Roman Italic" w:cs="Times New Roman Italic"/>
          <w:i/>
          <w:iCs/>
          <w:sz w:val="24"/>
        </w:rPr>
        <w:t>Xuan Sha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</w:t>
      </w:r>
      <w:r>
        <w:rPr>
          <w:rFonts w:hint="eastAsia" w:ascii="Times New Roman Italic" w:hAnsi="Times New Roman Italic" w:cs="Times New Roman Italic"/>
          <w:i/>
          <w:iCs/>
          <w:sz w:val="24"/>
          <w:vertAlign w:val="superscript"/>
        </w:rPr>
        <w:t xml:space="preserve">, 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#</w:t>
      </w:r>
      <w:r>
        <w:rPr>
          <w:rFonts w:ascii="Times New Roman Italic" w:hAnsi="Times New Roman Italic" w:cs="Times New Roman Italic"/>
          <w:i/>
          <w:iCs/>
          <w:sz w:val="24"/>
        </w:rPr>
        <w:t xml:space="preserve">, </w:t>
      </w:r>
      <w:r>
        <w:rPr>
          <w:rFonts w:hint="default" w:ascii="Times New Roman Italic" w:hAnsi="Times New Roman Italic" w:cs="Times New Roman Italic"/>
          <w:i/>
          <w:iCs/>
          <w:sz w:val="24"/>
          <w:lang w:val="en-US"/>
        </w:rPr>
        <w:t>Chuanbing Wang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</w:t>
      </w:r>
      <w:r>
        <w:rPr>
          <w:rFonts w:hint="eastAsia" w:ascii="Times New Roman Italic" w:hAnsi="Times New Roman Italic" w:cs="Times New Roman Italic"/>
          <w:i/>
          <w:iCs/>
          <w:sz w:val="24"/>
          <w:vertAlign w:val="superscript"/>
        </w:rPr>
        <w:t xml:space="preserve">, 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#</w:t>
      </w:r>
      <w:r>
        <w:rPr>
          <w:rFonts w:hint="default" w:ascii="Times New Roman Italic" w:hAnsi="Times New Roman Italic" w:cs="Times New Roman Italic"/>
          <w:i/>
          <w:iCs/>
          <w:sz w:val="24"/>
          <w:lang w:val="en-US"/>
        </w:rPr>
        <w:t xml:space="preserve">, </w:t>
      </w:r>
      <w:bookmarkStart w:id="0" w:name="_GoBack"/>
      <w:bookmarkEnd w:id="0"/>
      <w:r>
        <w:rPr>
          <w:rFonts w:ascii="Times New Roman Italic" w:hAnsi="Times New Roman Italic" w:cs="Times New Roman Italic"/>
          <w:i/>
          <w:iCs/>
          <w:sz w:val="24"/>
        </w:rPr>
        <w:t>Yang Liu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</w:t>
      </w:r>
      <w:r>
        <w:rPr>
          <w:rFonts w:hint="eastAsia" w:ascii="Times New Roman Italic" w:hAnsi="Times New Roman Italic" w:cs="Times New Roman Italic"/>
          <w:i/>
          <w:iCs/>
          <w:sz w:val="24"/>
          <w:vertAlign w:val="superscript"/>
        </w:rPr>
        <w:t xml:space="preserve">, 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#</w:t>
      </w:r>
      <w:r>
        <w:rPr>
          <w:rFonts w:ascii="Times New Roman Italic" w:hAnsi="Times New Roman Italic" w:cs="Times New Roman Italic"/>
          <w:i/>
          <w:iCs/>
          <w:sz w:val="24"/>
        </w:rPr>
        <w:t>, Nan Zhong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</w:t>
      </w:r>
      <w:r>
        <w:rPr>
          <w:rFonts w:ascii="Times New Roman Italic" w:hAnsi="Times New Roman Italic" w:cs="Times New Roman Italic"/>
          <w:i/>
          <w:iCs/>
          <w:sz w:val="24"/>
        </w:rPr>
        <w:t>, Yishi Lu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</w:t>
      </w:r>
      <w:r>
        <w:rPr>
          <w:rFonts w:ascii="Times New Roman Italic" w:hAnsi="Times New Roman Italic" w:cs="Times New Roman Italic"/>
          <w:i/>
          <w:iCs/>
          <w:sz w:val="24"/>
        </w:rPr>
        <w:t>, Qi Zhang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2</w:t>
      </w:r>
      <w:r>
        <w:rPr>
          <w:rFonts w:ascii="Times New Roman Italic" w:hAnsi="Times New Roman Italic" w:cs="Times New Roman Italic"/>
          <w:i/>
          <w:iCs/>
          <w:sz w:val="24"/>
        </w:rPr>
        <w:t>, Shangyu Lu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3</w:t>
      </w:r>
      <w:r>
        <w:rPr>
          <w:rFonts w:ascii="Times New Roman Italic" w:hAnsi="Times New Roman Italic" w:cs="Times New Roman Italic"/>
          <w:i/>
          <w:iCs/>
          <w:sz w:val="24"/>
        </w:rPr>
        <w:t>, Doudou He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</w:t>
      </w:r>
      <w:r>
        <w:rPr>
          <w:rFonts w:ascii="Times New Roman Italic" w:hAnsi="Times New Roman Italic" w:cs="Times New Roman Italic"/>
          <w:i/>
          <w:iCs/>
          <w:sz w:val="24"/>
        </w:rPr>
        <w:t>, Yingying Jin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</w:t>
      </w:r>
      <w:r>
        <w:rPr>
          <w:rFonts w:ascii="Times New Roman Italic" w:hAnsi="Times New Roman Italic" w:cs="Times New Roman Italic"/>
          <w:i/>
          <w:iCs/>
          <w:sz w:val="24"/>
        </w:rPr>
        <w:t>, Yuxia Tang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1,*</w:t>
      </w:r>
      <w:r>
        <w:rPr>
          <w:rFonts w:ascii="Times New Roman Italic" w:hAnsi="Times New Roman Italic" w:cs="Times New Roman Italic"/>
          <w:i/>
          <w:iCs/>
          <w:sz w:val="24"/>
        </w:rPr>
        <w:t>, Shouju Wang</w:t>
      </w: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1,*</w:t>
      </w:r>
      <w:r>
        <w:rPr>
          <w:rFonts w:ascii="Times New Roman" w:hAnsi="Times New Roman" w:cs="Times New Roman"/>
          <w:sz w:val="24"/>
        </w:rPr>
        <w:t xml:space="preserve"> </w:t>
      </w:r>
    </w:p>
    <w:p w14:paraId="7D0E2036">
      <w:pPr>
        <w:rPr>
          <w:rFonts w:ascii="Times New Roman" w:hAnsi="Times New Roman" w:cs="Times New Roman"/>
          <w:sz w:val="24"/>
        </w:rPr>
      </w:pPr>
    </w:p>
    <w:p w14:paraId="21F6BB7E">
      <w:pPr>
        <w:rPr>
          <w:rFonts w:ascii="Times New Roman Italic" w:hAnsi="Times New Roman Italic" w:cs="Times New Roman Italic"/>
          <w:i/>
          <w:iCs/>
          <w:sz w:val="24"/>
        </w:rPr>
      </w:pP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1</w:t>
      </w:r>
      <w:r>
        <w:rPr>
          <w:rFonts w:ascii="Times New Roman Italic" w:hAnsi="Times New Roman Italic" w:cs="Times New Roman Italic"/>
          <w:i/>
          <w:iCs/>
          <w:sz w:val="24"/>
        </w:rPr>
        <w:t>Laboratory of Molecular Imaging, Department of Radiology, The First Affiliated Hospital of Nanjing Medical University, Nanjing, China</w:t>
      </w:r>
    </w:p>
    <w:p w14:paraId="11839EA1">
      <w:pPr>
        <w:rPr>
          <w:rFonts w:ascii="Times New Roman Italic" w:hAnsi="Times New Roman Italic" w:cs="Times New Roman Italic"/>
          <w:i/>
          <w:iCs/>
          <w:sz w:val="24"/>
        </w:rPr>
      </w:pP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2</w:t>
      </w:r>
      <w:r>
        <w:rPr>
          <w:rFonts w:ascii="Times New Roman Italic" w:hAnsi="Times New Roman Italic" w:cs="Times New Roman Italic"/>
          <w:i/>
          <w:iCs/>
          <w:sz w:val="24"/>
        </w:rPr>
        <w:t>Department of Ultrasound, The First Affiliated Hospital of Nanjing Medical University, Nanjing, China</w:t>
      </w:r>
    </w:p>
    <w:p w14:paraId="01692F67">
      <w:pPr>
        <w:rPr>
          <w:rFonts w:ascii="Times New Roman Italic" w:hAnsi="Times New Roman Italic" w:cs="Times New Roman Italic"/>
          <w:i/>
          <w:iCs/>
          <w:sz w:val="24"/>
        </w:rPr>
      </w:pP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3</w:t>
      </w:r>
      <w:r>
        <w:rPr>
          <w:rFonts w:ascii="Times New Roman Italic" w:hAnsi="Times New Roman Italic" w:cs="Times New Roman Italic"/>
          <w:i/>
          <w:iCs/>
          <w:sz w:val="24"/>
        </w:rPr>
        <w:t>Department of Interventional Radiology, The First Affiliated Hospital of Nanjing Medical University, Nanjing, China</w:t>
      </w:r>
    </w:p>
    <w:p w14:paraId="3B4C3CA3">
      <w:pPr>
        <w:rPr>
          <w:rFonts w:ascii="Times New Roman" w:hAnsi="Times New Roman" w:cs="Times New Roman"/>
          <w:sz w:val="24"/>
        </w:rPr>
      </w:pPr>
      <w:r>
        <w:rPr>
          <w:rFonts w:ascii="Times New Roman Italic" w:hAnsi="Times New Roman Italic" w:cs="Times New Roman Italic"/>
          <w:i/>
          <w:iCs/>
          <w:sz w:val="24"/>
          <w:vertAlign w:val="superscript"/>
        </w:rPr>
        <w:t>#</w:t>
      </w:r>
      <w:r>
        <w:rPr>
          <w:rFonts w:ascii="Times New Roman" w:hAnsi="Times New Roman" w:cs="Times New Roman"/>
          <w:sz w:val="24"/>
        </w:rPr>
        <w:t>These authors contributed equally to this work</w:t>
      </w:r>
      <w:r>
        <w:rPr>
          <w:rFonts w:hint="eastAsia" w:ascii="Times New Roman" w:hAnsi="Times New Roman" w:cs="Times New Roman"/>
          <w:sz w:val="24"/>
        </w:rPr>
        <w:t>.</w:t>
      </w:r>
    </w:p>
    <w:p w14:paraId="76BF183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*Corresponding author.</w:t>
      </w:r>
    </w:p>
    <w:p w14:paraId="3C97294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E-mail addresses: </w:t>
      </w:r>
      <w:r>
        <w:fldChar w:fldCharType="begin"/>
      </w:r>
      <w:r>
        <w:instrText xml:space="preserve"> HYPERLINK "mailto:wangshouju@njmu.edu.cn"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4"/>
        </w:rPr>
        <w:t>wangshouju@njmu.edu.cn</w:t>
      </w:r>
      <w:r>
        <w:rPr>
          <w:rStyle w:val="5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(Shouju Wang), </w:t>
      </w:r>
      <w:r>
        <w:fldChar w:fldCharType="begin"/>
      </w:r>
      <w:r>
        <w:instrText xml:space="preserve"> HYPERLINK "mailto:tangyuxia5@163.com"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4"/>
        </w:rPr>
        <w:t>tangyuxia5@163.com</w:t>
      </w:r>
      <w:r>
        <w:rPr>
          <w:rStyle w:val="5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(Yuxia Tang)</w:t>
      </w:r>
    </w:p>
    <w:p w14:paraId="22051725">
      <w:pPr>
        <w:rPr>
          <w:rFonts w:hint="default"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1638193">
      <w:pPr>
        <w:jc w:val="center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drawing>
          <wp:inline distT="0" distB="0" distL="114300" distR="114300">
            <wp:extent cx="4472940" cy="1947545"/>
            <wp:effectExtent l="0" t="0" r="22860" b="8255"/>
            <wp:docPr id="3" name="图片 3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294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81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Times New Roman Bold" w:hAnsi="Times New Roman Bold" w:cs="Times New Roman Bold"/>
          <w:b/>
          <w:bCs/>
          <w:sz w:val="28"/>
          <w:szCs w:val="28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S1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TEM images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of DMOS NPs.</w:t>
      </w:r>
    </w:p>
    <w:p w14:paraId="2DEE550C">
      <w:pPr>
        <w:jc w:val="both"/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03209207">
      <w:pPr>
        <w:jc w:val="both"/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5E76AFCE">
      <w:pPr>
        <w:jc w:val="both"/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292012A6">
      <w:pPr>
        <w:jc w:val="both"/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0550F34E">
      <w:pPr>
        <w:jc w:val="both"/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379DB13E">
      <w:pPr>
        <w:jc w:val="both"/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6D62BD5E">
      <w:pPr>
        <w:jc w:val="center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drawing>
          <wp:inline distT="0" distB="0" distL="114300" distR="114300">
            <wp:extent cx="5271770" cy="1701800"/>
            <wp:effectExtent l="0" t="0" r="11430" b="0"/>
            <wp:docPr id="4" name="图片 4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37492">
      <w:pPr>
        <w:rPr>
          <w:rFonts w:hint="eastAsia" w:ascii="Times New Roman Bold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2.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t>High-resolution XPS spectra of (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a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t>) Fe 2p, (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b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t>) Si 2p and (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c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t>) S 2p in DMOS@FeOOH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 NPs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t>.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br w:type="page"/>
      </w:r>
    </w:p>
    <w:p w14:paraId="0D3EC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drawing>
          <wp:inline distT="0" distB="0" distL="114300" distR="114300">
            <wp:extent cx="2672080" cy="2194560"/>
            <wp:effectExtent l="0" t="0" r="0" b="0"/>
            <wp:docPr id="5" name="图片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D5E85">
      <w:pPr>
        <w:jc w:val="center"/>
        <w:rPr>
          <w:rFonts w:ascii="Times New Roman Bold" w:hAnsi="Times New Roman Bold" w:cs="Times New Roman Bold"/>
          <w:b/>
          <w:bCs/>
          <w:sz w:val="28"/>
          <w:szCs w:val="28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3.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XRD pattern of different NPs.</w:t>
      </w:r>
      <w:r>
        <w:rPr>
          <w:rFonts w:ascii="Times New Roman Bold" w:hAnsi="Times New Roman Bold" w:cs="Times New Roman Bold"/>
          <w:b/>
          <w:bCs/>
          <w:sz w:val="28"/>
          <w:szCs w:val="28"/>
        </w:rPr>
        <w:t xml:space="preserve"> </w:t>
      </w:r>
    </w:p>
    <w:p w14:paraId="0567ECA4">
      <w:pPr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4A6127E5">
      <w:pPr>
        <w:jc w:val="center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drawing>
          <wp:inline distT="0" distB="0" distL="114300" distR="114300">
            <wp:extent cx="2691765" cy="2268220"/>
            <wp:effectExtent l="0" t="0" r="0" b="0"/>
            <wp:docPr id="6" name="图片 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226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0EBE9">
      <w:pPr>
        <w:jc w:val="center"/>
        <w:rPr>
          <w:rFonts w:ascii="Times New Roman Bold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4.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 The standard curve of GA.</w:t>
      </w:r>
    </w:p>
    <w:p w14:paraId="6A44A094">
      <w:pPr>
        <w:jc w:val="center"/>
        <w:rPr>
          <w:rFonts w:ascii="Times New Roman Bold" w:hAnsi="Times New Roman Bold" w:cs="Times New Roman Bold"/>
          <w:b/>
          <w:bCs/>
          <w:sz w:val="24"/>
          <w:szCs w:val="24"/>
        </w:rPr>
      </w:pPr>
    </w:p>
    <w:p w14:paraId="7047365B">
      <w:pPr>
        <w:jc w:val="center"/>
        <w:rPr>
          <w:rFonts w:ascii="Times New Roman Bold" w:hAnsi="Times New Roman Bold" w:cs="Times New Roman Bold"/>
          <w:b/>
          <w:bCs/>
          <w:sz w:val="24"/>
          <w:szCs w:val="24"/>
        </w:rPr>
      </w:pPr>
    </w:p>
    <w:p w14:paraId="2BBF2068">
      <w:pPr>
        <w:jc w:val="center"/>
        <w:rPr>
          <w:rFonts w:hint="eastAsia" w:ascii="Times New Roman Bold" w:hAnsi="Times New Roman Bold" w:cs="Times New Roman Bold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 w:eastAsiaTheme="minorEastAsia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3093085" cy="2339340"/>
            <wp:effectExtent l="0" t="0" r="0" b="22860"/>
            <wp:docPr id="1" name="图片 1" descr="稳定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稳定性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B1D90">
      <w:pPr>
        <w:jc w:val="center"/>
        <w:rPr>
          <w:rFonts w:hint="eastAsia" w:ascii="Times New Roman Bold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>5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.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t>The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t xml:space="preserve">stability of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GA-DMOS@FeOOH</w:t>
      </w: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t xml:space="preserve"> NPs over a span of 7 days in serum.</w:t>
      </w:r>
    </w:p>
    <w:p w14:paraId="5DDB4478">
      <w:pPr>
        <w:rPr>
          <w:rFonts w:hint="eastAsia" w:ascii="Times New Roman Bold" w:hAnsi="Times New Roman Bold" w:cs="Times New Roman Bold"/>
          <w:b/>
          <w:bCs/>
          <w:sz w:val="24"/>
          <w:szCs w:val="24"/>
          <w:lang w:val="en-US" w:eastAsia="zh-CN"/>
        </w:rPr>
      </w:pPr>
      <w:r>
        <w:rPr>
          <w:rFonts w:hint="eastAsia" w:ascii="Times New Roman Bold" w:hAnsi="Times New Roman Bold" w:cs="Times New Roman Bold"/>
          <w:b/>
          <w:bCs/>
          <w:sz w:val="24"/>
          <w:szCs w:val="24"/>
        </w:rPr>
        <w:br w:type="page"/>
      </w:r>
    </w:p>
    <w:p w14:paraId="7CCAD7EE">
      <w:pPr>
        <w:jc w:val="both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drawing>
          <wp:inline distT="0" distB="0" distL="114300" distR="114300">
            <wp:extent cx="5268595" cy="5358765"/>
            <wp:effectExtent l="0" t="0" r="14605" b="635"/>
            <wp:docPr id="8" name="图片 8" descr=" 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 Figure S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35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24E21"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6. The assessment of cellular uptake behavior of Cy5-DMOS@FeOOH NPs in 3T3 and 4T1 cells with CLSM imaging (a) and FCM analysis (b). Scale bar: 25 µm.</w:t>
      </w:r>
    </w:p>
    <w:p w14:paraId="7B4C0DF1">
      <w:pPr>
        <w:rPr>
          <w:rFonts w:ascii="Times New Roman Bold" w:hAnsi="Times New Roman Bold" w:cs="Times New Roman Bold"/>
          <w:b/>
          <w:bCs/>
          <w:sz w:val="24"/>
          <w:szCs w:val="24"/>
        </w:rPr>
      </w:pPr>
    </w:p>
    <w:p w14:paraId="60DBD0FE">
      <w:pPr>
        <w:rPr>
          <w:rFonts w:hint="eastAsia" w:ascii="Times New Roman Bold" w:hAnsi="Times New Roman Bold" w:cs="Times New Roman Bold" w:eastAsiaTheme="minorEastAsia"/>
          <w:b/>
          <w:bCs/>
          <w:sz w:val="28"/>
          <w:szCs w:val="28"/>
          <w:lang w:eastAsia="zh-CN"/>
        </w:rPr>
      </w:pPr>
      <w:r>
        <w:rPr>
          <w:rFonts w:hint="eastAsia" w:ascii="Times New Roman Bold" w:hAnsi="Times New Roman Bold" w:cs="Times New Roman Bold" w:eastAsiaTheme="minorEastAsia"/>
          <w:b/>
          <w:bCs/>
          <w:sz w:val="28"/>
          <w:szCs w:val="28"/>
          <w:lang w:eastAsia="zh-CN"/>
        </w:rPr>
        <w:br w:type="page"/>
      </w:r>
    </w:p>
    <w:p w14:paraId="45CE5CC1">
      <w:pPr>
        <w:jc w:val="both"/>
        <w:rPr>
          <w:rFonts w:hint="default" w:ascii="Times New Roman Bold" w:hAnsi="Times New Roman Bold" w:cs="Times New Roman Bold" w:eastAsiaTheme="minorEastAsia"/>
          <w:b/>
          <w:bCs/>
          <w:sz w:val="28"/>
          <w:szCs w:val="28"/>
          <w:lang w:val="en-US" w:eastAsia="zh-CN"/>
        </w:rPr>
      </w:pPr>
      <w:r>
        <w:rPr>
          <w:rFonts w:hint="default" w:ascii="Times New Roman Bold" w:hAnsi="Times New Roman Bold" w:cs="Times New Roman Bold" w:eastAsiaTheme="minorEastAsia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73040" cy="3981450"/>
            <wp:effectExtent l="0" t="0" r="10160" b="6350"/>
            <wp:docPr id="2" name="图片 2" descr="Figure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81904">
      <w:pPr>
        <w:jc w:val="both"/>
        <w:rPr>
          <w:rFonts w:ascii="Times New Roman Bold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S7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.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 FCM gating strategy to determine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 T lymphocytes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,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MDSC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s and DCs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.</w:t>
      </w:r>
    </w:p>
    <w:p w14:paraId="61EC2687">
      <w:pPr>
        <w:jc w:val="both"/>
        <w:rPr>
          <w:rFonts w:ascii="Times New Roman Bold" w:hAnsi="Times New Roman Bold" w:cs="Times New Roman Bold"/>
          <w:b/>
          <w:bCs/>
          <w:sz w:val="24"/>
          <w:szCs w:val="24"/>
        </w:rPr>
      </w:pPr>
    </w:p>
    <w:p w14:paraId="25AF5994">
      <w:pPr>
        <w:jc w:val="both"/>
        <w:rPr>
          <w:rFonts w:ascii="Times New Roman Bold" w:hAnsi="Times New Roman Bold" w:cs="Times New Roman Bold"/>
          <w:b/>
          <w:bCs/>
          <w:sz w:val="24"/>
          <w:szCs w:val="24"/>
        </w:rPr>
      </w:pPr>
    </w:p>
    <w:p w14:paraId="629BCA3A">
      <w:pPr>
        <w:jc w:val="both"/>
        <w:rPr>
          <w:rFonts w:ascii="Times New Roman Bold" w:hAnsi="Times New Roman Bold" w:cs="Times New Roman Bold"/>
          <w:b/>
          <w:bCs/>
          <w:sz w:val="24"/>
          <w:szCs w:val="24"/>
        </w:rPr>
      </w:pPr>
    </w:p>
    <w:p w14:paraId="22D6CDA5">
      <w:pPr>
        <w:jc w:val="both"/>
        <w:rPr>
          <w:rFonts w:ascii="Times New Roman Bold" w:hAnsi="Times New Roman Bold" w:cs="Times New Roman Bold"/>
          <w:b/>
          <w:bCs/>
          <w:sz w:val="24"/>
          <w:szCs w:val="24"/>
        </w:rPr>
      </w:pPr>
    </w:p>
    <w:p w14:paraId="495ECDC7"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drawing>
          <wp:inline distT="0" distB="0" distL="114300" distR="114300">
            <wp:extent cx="5269230" cy="2563495"/>
            <wp:effectExtent l="0" t="0" r="13970" b="1905"/>
            <wp:docPr id="9" name="图片 9" descr="Figure S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C5E3F"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Figure S8. Detection of (a) IFN-</w:t>
      </w:r>
      <w:r>
        <w:rPr>
          <w:rFonts w:hint="eastAsia" w:ascii="PingFang SC" w:hAnsi="PingFang SC" w:eastAsia="PingFang SC" w:cs="PingFang SC"/>
          <w:b/>
          <w:bCs/>
          <w:sz w:val="24"/>
          <w:szCs w:val="24"/>
          <w:lang w:val="en-US"/>
        </w:rPr>
        <w:t>γ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 and (b) IL-10 levels in the tumor homogenates after different treatments by ELISA.</w:t>
      </w:r>
    </w:p>
    <w:p w14:paraId="1403745F">
      <w:pPr>
        <w:jc w:val="both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drawing>
          <wp:inline distT="0" distB="0" distL="114300" distR="114300">
            <wp:extent cx="5270500" cy="4652010"/>
            <wp:effectExtent l="0" t="0" r="12700" b="21590"/>
            <wp:docPr id="7" name="图片 7" descr="Figure 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332D2">
      <w:pPr>
        <w:jc w:val="both"/>
        <w:rPr>
          <w:rFonts w:ascii="Times New Roman Bold" w:hAnsi="Times New Roman Bold" w:cs="Times New Roman Bold"/>
          <w:b/>
          <w:bCs/>
          <w:sz w:val="24"/>
          <w:szCs w:val="24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9.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The flow cytometry analysis of PMN-MDSC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s,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CD8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vertAlign w:val="superscript"/>
          <w:lang w:val="en-US"/>
        </w:rPr>
        <w:t>+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 T cell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 xml:space="preserve">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and DCs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expression in spleen after different treatments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 xml:space="preserve"> and quantitative analysis </w:t>
      </w:r>
      <w:r>
        <w:rPr>
          <w:rFonts w:ascii="Times New Roman Bold" w:hAnsi="Times New Roman Bold" w:cs="Times New Roman Bold"/>
          <w:b/>
          <w:bCs/>
          <w:sz w:val="24"/>
          <w:szCs w:val="24"/>
        </w:rPr>
        <w:t>(n = 3).</w:t>
      </w:r>
    </w:p>
    <w:p w14:paraId="20E90F4F">
      <w:pPr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33960205">
      <w:pPr>
        <w:rPr>
          <w:rFonts w:ascii="Times New Roman Bold" w:hAnsi="Times New Roman Bold" w:cs="Times New Roman Bold"/>
          <w:b/>
          <w:bCs/>
          <w:sz w:val="28"/>
          <w:szCs w:val="28"/>
        </w:rPr>
      </w:pPr>
    </w:p>
    <w:p w14:paraId="3BAFF3E3">
      <w:pPr>
        <w:jc w:val="both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drawing>
          <wp:inline distT="0" distB="0" distL="114300" distR="114300">
            <wp:extent cx="5267325" cy="1792605"/>
            <wp:effectExtent l="0" t="0" r="15875" b="10795"/>
            <wp:docPr id="12" name="图片 12" descr="Figure 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 S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79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CEF5F">
      <w:pPr>
        <w:jc w:val="both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ascii="Times New Roman Bold" w:hAnsi="Times New Roman Bold" w:cs="Times New Roman Bold"/>
          <w:b/>
          <w:bCs/>
          <w:sz w:val="24"/>
          <w:szCs w:val="24"/>
        </w:rPr>
        <w:t>Figure S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10. Immunohistochemical staining (KI67, GPX4, SLC7A11, LPO) and immunofluorescence staining (TUNEL, HMGB1) of tumor sections from different groups.</w:t>
      </w: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t xml:space="preserve"> </w:t>
      </w:r>
    </w:p>
    <w:p w14:paraId="1F04CFC6">
      <w:pPr>
        <w:jc w:val="center"/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8"/>
          <w:lang w:val="en-US"/>
        </w:rPr>
        <w:drawing>
          <wp:inline distT="0" distB="0" distL="114300" distR="114300">
            <wp:extent cx="3225800" cy="2696210"/>
            <wp:effectExtent l="0" t="0" r="0" b="0"/>
            <wp:docPr id="13" name="图片 13" descr="Figure 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ure S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A928">
      <w:pPr>
        <w:jc w:val="both"/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US"/>
        </w:rPr>
        <w:t>Figure S11. Body weights of 4T1 tumor-bearing mice under different treatments (n = 5).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DDC1293"/>
    <w:rsid w:val="0A7E17A0"/>
    <w:rsid w:val="0EFBFA65"/>
    <w:rsid w:val="0EFED311"/>
    <w:rsid w:val="11BEB25D"/>
    <w:rsid w:val="14B51400"/>
    <w:rsid w:val="169C4376"/>
    <w:rsid w:val="16F9BBA4"/>
    <w:rsid w:val="16FFBEF6"/>
    <w:rsid w:val="17FFBDED"/>
    <w:rsid w:val="1ADBA58E"/>
    <w:rsid w:val="1D7FCE87"/>
    <w:rsid w:val="1EB240C0"/>
    <w:rsid w:val="1EFE1E92"/>
    <w:rsid w:val="1F7F9FFB"/>
    <w:rsid w:val="1FA68E8E"/>
    <w:rsid w:val="1FAFC5F0"/>
    <w:rsid w:val="1FB56197"/>
    <w:rsid w:val="1FDE8BAD"/>
    <w:rsid w:val="1FDFB376"/>
    <w:rsid w:val="1FF6DF39"/>
    <w:rsid w:val="2DEE5AD8"/>
    <w:rsid w:val="2EF48FCA"/>
    <w:rsid w:val="2FBBB416"/>
    <w:rsid w:val="2FBE1D43"/>
    <w:rsid w:val="2FBF1B02"/>
    <w:rsid w:val="2FE72DA3"/>
    <w:rsid w:val="2FF72F4C"/>
    <w:rsid w:val="2FFE8F41"/>
    <w:rsid w:val="31DF641A"/>
    <w:rsid w:val="31FEBB5E"/>
    <w:rsid w:val="35E45336"/>
    <w:rsid w:val="36D8E570"/>
    <w:rsid w:val="37A540E7"/>
    <w:rsid w:val="37B580BD"/>
    <w:rsid w:val="37DA6C26"/>
    <w:rsid w:val="38E79B5E"/>
    <w:rsid w:val="39AD47E1"/>
    <w:rsid w:val="3A5AF00D"/>
    <w:rsid w:val="3A7E053A"/>
    <w:rsid w:val="3AFD0F11"/>
    <w:rsid w:val="3B7F628D"/>
    <w:rsid w:val="3B8BE1C4"/>
    <w:rsid w:val="3CD0FE1D"/>
    <w:rsid w:val="3DFF119C"/>
    <w:rsid w:val="3DFF3858"/>
    <w:rsid w:val="3EBE9B33"/>
    <w:rsid w:val="3ECE2BCB"/>
    <w:rsid w:val="3ECF2271"/>
    <w:rsid w:val="3EE2A46D"/>
    <w:rsid w:val="3EF7C1E7"/>
    <w:rsid w:val="3EFA3B40"/>
    <w:rsid w:val="3F5B8C68"/>
    <w:rsid w:val="3F77D1F1"/>
    <w:rsid w:val="3F9F9DE5"/>
    <w:rsid w:val="3FAE25F9"/>
    <w:rsid w:val="3FB78FB3"/>
    <w:rsid w:val="3FBD23C0"/>
    <w:rsid w:val="3FEFDF16"/>
    <w:rsid w:val="3FF1500F"/>
    <w:rsid w:val="3FF6B3C8"/>
    <w:rsid w:val="3FF96E8E"/>
    <w:rsid w:val="3FFECE7C"/>
    <w:rsid w:val="3FFF7536"/>
    <w:rsid w:val="3FFF8781"/>
    <w:rsid w:val="3FFF9187"/>
    <w:rsid w:val="3FFFF39A"/>
    <w:rsid w:val="43DFE4EC"/>
    <w:rsid w:val="4B76A4B3"/>
    <w:rsid w:val="4B7E39B6"/>
    <w:rsid w:val="4B7F87A3"/>
    <w:rsid w:val="4BD79897"/>
    <w:rsid w:val="4BE4438D"/>
    <w:rsid w:val="4C77A10B"/>
    <w:rsid w:val="4DD82C67"/>
    <w:rsid w:val="4EF35A9E"/>
    <w:rsid w:val="4F7FEBFC"/>
    <w:rsid w:val="4FE9AB4D"/>
    <w:rsid w:val="4FF3C662"/>
    <w:rsid w:val="52E8D42D"/>
    <w:rsid w:val="52ED225E"/>
    <w:rsid w:val="56CEA935"/>
    <w:rsid w:val="57CFFAFE"/>
    <w:rsid w:val="57FA76BF"/>
    <w:rsid w:val="59FF1FBA"/>
    <w:rsid w:val="5A7F0FD8"/>
    <w:rsid w:val="5B7CD563"/>
    <w:rsid w:val="5B7FAF04"/>
    <w:rsid w:val="5BAEBF16"/>
    <w:rsid w:val="5BBE64A4"/>
    <w:rsid w:val="5BDBBF5F"/>
    <w:rsid w:val="5BFBF834"/>
    <w:rsid w:val="5BFFA5EF"/>
    <w:rsid w:val="5CFE6211"/>
    <w:rsid w:val="5D7BD1B3"/>
    <w:rsid w:val="5DDBA705"/>
    <w:rsid w:val="5DDEB4ED"/>
    <w:rsid w:val="5DFF5004"/>
    <w:rsid w:val="5E67FDE3"/>
    <w:rsid w:val="5EAEECF7"/>
    <w:rsid w:val="5ED76B30"/>
    <w:rsid w:val="5EE93D04"/>
    <w:rsid w:val="5EF4C0AC"/>
    <w:rsid w:val="5F5AE402"/>
    <w:rsid w:val="5F8F8480"/>
    <w:rsid w:val="5FB30532"/>
    <w:rsid w:val="5FFA197F"/>
    <w:rsid w:val="5FFF75D1"/>
    <w:rsid w:val="60BBD60D"/>
    <w:rsid w:val="63ED9AA9"/>
    <w:rsid w:val="63EEDC4C"/>
    <w:rsid w:val="657E3401"/>
    <w:rsid w:val="65F58FE2"/>
    <w:rsid w:val="66FF8B29"/>
    <w:rsid w:val="6777DC1A"/>
    <w:rsid w:val="679F829C"/>
    <w:rsid w:val="67F3EBAF"/>
    <w:rsid w:val="67F4E88B"/>
    <w:rsid w:val="69DE2B24"/>
    <w:rsid w:val="6AFF0008"/>
    <w:rsid w:val="6BAF7783"/>
    <w:rsid w:val="6BFF2AA3"/>
    <w:rsid w:val="6C37CF28"/>
    <w:rsid w:val="6CBB2A6D"/>
    <w:rsid w:val="6CFFB5E2"/>
    <w:rsid w:val="6D5BD6FC"/>
    <w:rsid w:val="6D798EC6"/>
    <w:rsid w:val="6EBB16A7"/>
    <w:rsid w:val="6EEFE369"/>
    <w:rsid w:val="6EFD3249"/>
    <w:rsid w:val="6F96D5FE"/>
    <w:rsid w:val="6FBC936D"/>
    <w:rsid w:val="6FDC9F38"/>
    <w:rsid w:val="6FE4BF86"/>
    <w:rsid w:val="6FEF5119"/>
    <w:rsid w:val="6FEF57B9"/>
    <w:rsid w:val="6FEF5A5E"/>
    <w:rsid w:val="6FF76414"/>
    <w:rsid w:val="6FFE77F7"/>
    <w:rsid w:val="6FFEAE9F"/>
    <w:rsid w:val="6FFF12A1"/>
    <w:rsid w:val="731FDCAD"/>
    <w:rsid w:val="73DF77C5"/>
    <w:rsid w:val="73E75698"/>
    <w:rsid w:val="73ED1F4D"/>
    <w:rsid w:val="73F445AC"/>
    <w:rsid w:val="73F5CA02"/>
    <w:rsid w:val="73FFFBD7"/>
    <w:rsid w:val="74BB785E"/>
    <w:rsid w:val="74FE8D53"/>
    <w:rsid w:val="751AC0BF"/>
    <w:rsid w:val="752FAFC2"/>
    <w:rsid w:val="75876E19"/>
    <w:rsid w:val="75F96F0F"/>
    <w:rsid w:val="75FBC39C"/>
    <w:rsid w:val="761F3AF0"/>
    <w:rsid w:val="765D107F"/>
    <w:rsid w:val="76BF2DAF"/>
    <w:rsid w:val="76EBD664"/>
    <w:rsid w:val="76FB6D89"/>
    <w:rsid w:val="777EEFFA"/>
    <w:rsid w:val="779BB1CA"/>
    <w:rsid w:val="77BD3146"/>
    <w:rsid w:val="77DF973D"/>
    <w:rsid w:val="77ED4E5F"/>
    <w:rsid w:val="77EDA488"/>
    <w:rsid w:val="77EF91D9"/>
    <w:rsid w:val="77EFCA5F"/>
    <w:rsid w:val="77FD190A"/>
    <w:rsid w:val="77FD6462"/>
    <w:rsid w:val="77FFD1E2"/>
    <w:rsid w:val="78BB5CEA"/>
    <w:rsid w:val="794EEA4C"/>
    <w:rsid w:val="796E0A86"/>
    <w:rsid w:val="797B5E08"/>
    <w:rsid w:val="79B9588C"/>
    <w:rsid w:val="79BFE87B"/>
    <w:rsid w:val="79E5D977"/>
    <w:rsid w:val="79FF8C32"/>
    <w:rsid w:val="7A6B28F5"/>
    <w:rsid w:val="7AE8E82B"/>
    <w:rsid w:val="7B368373"/>
    <w:rsid w:val="7B45EB46"/>
    <w:rsid w:val="7B55F49D"/>
    <w:rsid w:val="7B7BAFBA"/>
    <w:rsid w:val="7BD3654A"/>
    <w:rsid w:val="7BDE165E"/>
    <w:rsid w:val="7BEF968E"/>
    <w:rsid w:val="7BF714F2"/>
    <w:rsid w:val="7BFF6145"/>
    <w:rsid w:val="7BFF7856"/>
    <w:rsid w:val="7CAB59CF"/>
    <w:rsid w:val="7CFDFC36"/>
    <w:rsid w:val="7D04A13C"/>
    <w:rsid w:val="7D2BE1BD"/>
    <w:rsid w:val="7D5F3597"/>
    <w:rsid w:val="7D7DA9A3"/>
    <w:rsid w:val="7DB7DFF1"/>
    <w:rsid w:val="7DBD9822"/>
    <w:rsid w:val="7DDD0822"/>
    <w:rsid w:val="7DDEBF30"/>
    <w:rsid w:val="7DF69565"/>
    <w:rsid w:val="7DF73FAF"/>
    <w:rsid w:val="7DFB89E5"/>
    <w:rsid w:val="7DFBC366"/>
    <w:rsid w:val="7DFDAA85"/>
    <w:rsid w:val="7DFF906E"/>
    <w:rsid w:val="7E56306D"/>
    <w:rsid w:val="7E5C21BA"/>
    <w:rsid w:val="7E776012"/>
    <w:rsid w:val="7E7F4746"/>
    <w:rsid w:val="7E9FAAB0"/>
    <w:rsid w:val="7EB15A3D"/>
    <w:rsid w:val="7EB7A4EE"/>
    <w:rsid w:val="7EDDFBFB"/>
    <w:rsid w:val="7EE3468E"/>
    <w:rsid w:val="7EF9A70D"/>
    <w:rsid w:val="7EFBDE30"/>
    <w:rsid w:val="7EFF6F41"/>
    <w:rsid w:val="7EFF82BC"/>
    <w:rsid w:val="7EFF87CB"/>
    <w:rsid w:val="7F3FDB44"/>
    <w:rsid w:val="7F57ED77"/>
    <w:rsid w:val="7F5FC33B"/>
    <w:rsid w:val="7F79D538"/>
    <w:rsid w:val="7F7BDCB2"/>
    <w:rsid w:val="7F7F3DBD"/>
    <w:rsid w:val="7F9A1CF8"/>
    <w:rsid w:val="7F9EED01"/>
    <w:rsid w:val="7FA7D1F1"/>
    <w:rsid w:val="7FAB6DEE"/>
    <w:rsid w:val="7FB394E7"/>
    <w:rsid w:val="7FB7C610"/>
    <w:rsid w:val="7FB84833"/>
    <w:rsid w:val="7FBE7F12"/>
    <w:rsid w:val="7FBF69B5"/>
    <w:rsid w:val="7FBFA9FD"/>
    <w:rsid w:val="7FBFEFCF"/>
    <w:rsid w:val="7FC6DC40"/>
    <w:rsid w:val="7FCFC052"/>
    <w:rsid w:val="7FD3609D"/>
    <w:rsid w:val="7FDAB8E3"/>
    <w:rsid w:val="7FE3428E"/>
    <w:rsid w:val="7FEBB1F3"/>
    <w:rsid w:val="7FF3EDB1"/>
    <w:rsid w:val="7FF43812"/>
    <w:rsid w:val="7FF717A0"/>
    <w:rsid w:val="7FFAFFA4"/>
    <w:rsid w:val="7FFB2AD5"/>
    <w:rsid w:val="7FFB435C"/>
    <w:rsid w:val="7FFB70C4"/>
    <w:rsid w:val="7FFD3C3F"/>
    <w:rsid w:val="7FFDA08B"/>
    <w:rsid w:val="7FFE18ED"/>
    <w:rsid w:val="7FFEB8B3"/>
    <w:rsid w:val="7FFEE66E"/>
    <w:rsid w:val="7FFF7AED"/>
    <w:rsid w:val="7FFF831D"/>
    <w:rsid w:val="7FFFB74E"/>
    <w:rsid w:val="8E5749DA"/>
    <w:rsid w:val="8EFB4D01"/>
    <w:rsid w:val="8EFF46F9"/>
    <w:rsid w:val="92FEF45F"/>
    <w:rsid w:val="94FD78EB"/>
    <w:rsid w:val="9B7D0C97"/>
    <w:rsid w:val="9BCDA1E8"/>
    <w:rsid w:val="9BEF8C4F"/>
    <w:rsid w:val="9C7F8BAF"/>
    <w:rsid w:val="9EFFD627"/>
    <w:rsid w:val="9F77D27B"/>
    <w:rsid w:val="9FDFDB83"/>
    <w:rsid w:val="9FFF6F91"/>
    <w:rsid w:val="A19A3A07"/>
    <w:rsid w:val="A5FD5B6E"/>
    <w:rsid w:val="A63BBF80"/>
    <w:rsid w:val="A7E6F027"/>
    <w:rsid w:val="A7F3B0AE"/>
    <w:rsid w:val="A87E42AD"/>
    <w:rsid w:val="A8ED3F7B"/>
    <w:rsid w:val="ADDFDE51"/>
    <w:rsid w:val="AEB72C9B"/>
    <w:rsid w:val="AEF6D069"/>
    <w:rsid w:val="AEFD14A2"/>
    <w:rsid w:val="AEFF7501"/>
    <w:rsid w:val="AF4B7886"/>
    <w:rsid w:val="AFAB431F"/>
    <w:rsid w:val="AFC51DC9"/>
    <w:rsid w:val="AFDD9D6A"/>
    <w:rsid w:val="AFED8327"/>
    <w:rsid w:val="AFEFE7D2"/>
    <w:rsid w:val="AFF5BBB6"/>
    <w:rsid w:val="AFFFBACF"/>
    <w:rsid w:val="B1DFBF3E"/>
    <w:rsid w:val="B1F8F191"/>
    <w:rsid w:val="B3EDC9F7"/>
    <w:rsid w:val="B42F5742"/>
    <w:rsid w:val="B4EF7178"/>
    <w:rsid w:val="B5E7B5B5"/>
    <w:rsid w:val="B5EDB5F8"/>
    <w:rsid w:val="B6C69110"/>
    <w:rsid w:val="B6CF2D3B"/>
    <w:rsid w:val="B6EF6444"/>
    <w:rsid w:val="B77FD1A1"/>
    <w:rsid w:val="B7BFB946"/>
    <w:rsid w:val="B7DB2B87"/>
    <w:rsid w:val="B7F7A758"/>
    <w:rsid w:val="B7FB3242"/>
    <w:rsid w:val="B7FD93F1"/>
    <w:rsid w:val="B8E36B65"/>
    <w:rsid w:val="B9DF5B18"/>
    <w:rsid w:val="BA1F56CD"/>
    <w:rsid w:val="BA63C808"/>
    <w:rsid w:val="BB782F00"/>
    <w:rsid w:val="BBB3EE05"/>
    <w:rsid w:val="BBDB84EC"/>
    <w:rsid w:val="BBF7510F"/>
    <w:rsid w:val="BBFF7F0F"/>
    <w:rsid w:val="BD7E8C4B"/>
    <w:rsid w:val="BDAC43A3"/>
    <w:rsid w:val="BEB38AD9"/>
    <w:rsid w:val="BECFFB17"/>
    <w:rsid w:val="BEDFEADE"/>
    <w:rsid w:val="BEFA7C0E"/>
    <w:rsid w:val="BEFF22B1"/>
    <w:rsid w:val="BF394D5B"/>
    <w:rsid w:val="BFBFB7EF"/>
    <w:rsid w:val="BFDBEEF7"/>
    <w:rsid w:val="BFDDC4BA"/>
    <w:rsid w:val="BFF538A8"/>
    <w:rsid w:val="BFF70E67"/>
    <w:rsid w:val="BFFE38CB"/>
    <w:rsid w:val="BFFE4F52"/>
    <w:rsid w:val="C2ED379B"/>
    <w:rsid w:val="CBBFC9C1"/>
    <w:rsid w:val="CBCDEA22"/>
    <w:rsid w:val="CCC715B7"/>
    <w:rsid w:val="CDEB7D13"/>
    <w:rsid w:val="CF91935D"/>
    <w:rsid w:val="CFDF05D0"/>
    <w:rsid w:val="CFEDCBBC"/>
    <w:rsid w:val="CFF7E5B1"/>
    <w:rsid w:val="CFFB6B94"/>
    <w:rsid w:val="D1BBA57C"/>
    <w:rsid w:val="D337AA42"/>
    <w:rsid w:val="D493576C"/>
    <w:rsid w:val="D549A8FA"/>
    <w:rsid w:val="D5FD27C8"/>
    <w:rsid w:val="D75F9016"/>
    <w:rsid w:val="D77E5DE5"/>
    <w:rsid w:val="D7B79E1A"/>
    <w:rsid w:val="D7B976F9"/>
    <w:rsid w:val="D7BDE51D"/>
    <w:rsid w:val="D7FB4568"/>
    <w:rsid w:val="DAF0BDE0"/>
    <w:rsid w:val="DB6BC7CD"/>
    <w:rsid w:val="DBCEE68F"/>
    <w:rsid w:val="DBEFB109"/>
    <w:rsid w:val="DBF7D121"/>
    <w:rsid w:val="DBFBF81A"/>
    <w:rsid w:val="DC3FAA59"/>
    <w:rsid w:val="DCF7CB8E"/>
    <w:rsid w:val="DDAFF623"/>
    <w:rsid w:val="DDBFB782"/>
    <w:rsid w:val="DDDC1293"/>
    <w:rsid w:val="DE3ABAA4"/>
    <w:rsid w:val="DE77C629"/>
    <w:rsid w:val="DEB721F3"/>
    <w:rsid w:val="DEFF818F"/>
    <w:rsid w:val="DF3DF39D"/>
    <w:rsid w:val="DF5E347C"/>
    <w:rsid w:val="DF67F833"/>
    <w:rsid w:val="DF9D09CA"/>
    <w:rsid w:val="DFAF9E4D"/>
    <w:rsid w:val="DFBA4D3F"/>
    <w:rsid w:val="DFEDEF6F"/>
    <w:rsid w:val="DFF9BBF1"/>
    <w:rsid w:val="DFFD74E2"/>
    <w:rsid w:val="DFFFA10D"/>
    <w:rsid w:val="E2BF15CA"/>
    <w:rsid w:val="E3FB66B3"/>
    <w:rsid w:val="E3FFA014"/>
    <w:rsid w:val="E4762D34"/>
    <w:rsid w:val="E4FC798A"/>
    <w:rsid w:val="E5767479"/>
    <w:rsid w:val="E5E9ADB3"/>
    <w:rsid w:val="E5FDFA55"/>
    <w:rsid w:val="E674426C"/>
    <w:rsid w:val="E7F50543"/>
    <w:rsid w:val="E7F5AF06"/>
    <w:rsid w:val="E7FD218D"/>
    <w:rsid w:val="E7FFFF4B"/>
    <w:rsid w:val="E9D870F5"/>
    <w:rsid w:val="EA6B95C8"/>
    <w:rsid w:val="EA74EBBD"/>
    <w:rsid w:val="EAA98C34"/>
    <w:rsid w:val="EB5F155E"/>
    <w:rsid w:val="EB6D3BC0"/>
    <w:rsid w:val="EBBF6E1F"/>
    <w:rsid w:val="EBDF3165"/>
    <w:rsid w:val="EBE73A6D"/>
    <w:rsid w:val="EBFA67E1"/>
    <w:rsid w:val="EBFCC6DB"/>
    <w:rsid w:val="ED3CAB42"/>
    <w:rsid w:val="ED512249"/>
    <w:rsid w:val="ED6ACB11"/>
    <w:rsid w:val="EDF5129F"/>
    <w:rsid w:val="EDFF6AE9"/>
    <w:rsid w:val="EE662767"/>
    <w:rsid w:val="EF3BF504"/>
    <w:rsid w:val="EF7FF9A1"/>
    <w:rsid w:val="EF97B7BC"/>
    <w:rsid w:val="EF97EFF8"/>
    <w:rsid w:val="EF9F5CF4"/>
    <w:rsid w:val="EFDDA2BC"/>
    <w:rsid w:val="EFDEEFF0"/>
    <w:rsid w:val="EFDFD1E2"/>
    <w:rsid w:val="EFEE51F9"/>
    <w:rsid w:val="EFF6228E"/>
    <w:rsid w:val="EFF7C83B"/>
    <w:rsid w:val="EFFBBDE7"/>
    <w:rsid w:val="EFFDC397"/>
    <w:rsid w:val="EFFF9408"/>
    <w:rsid w:val="EFFFA251"/>
    <w:rsid w:val="EFFFBCD3"/>
    <w:rsid w:val="EFFFF150"/>
    <w:rsid w:val="F03E8C63"/>
    <w:rsid w:val="F19D1952"/>
    <w:rsid w:val="F1F1D52A"/>
    <w:rsid w:val="F1FF6153"/>
    <w:rsid w:val="F2FD3C6C"/>
    <w:rsid w:val="F374ADC1"/>
    <w:rsid w:val="F37FF594"/>
    <w:rsid w:val="F39EFC4F"/>
    <w:rsid w:val="F3AFE211"/>
    <w:rsid w:val="F3C322BC"/>
    <w:rsid w:val="F3C5A638"/>
    <w:rsid w:val="F5AFFAAD"/>
    <w:rsid w:val="F5D4EA20"/>
    <w:rsid w:val="F5FFE75E"/>
    <w:rsid w:val="F6393580"/>
    <w:rsid w:val="F67FCF50"/>
    <w:rsid w:val="F6DB4969"/>
    <w:rsid w:val="F7572253"/>
    <w:rsid w:val="F75A0718"/>
    <w:rsid w:val="F77F11C5"/>
    <w:rsid w:val="F7954ED6"/>
    <w:rsid w:val="F7BF2587"/>
    <w:rsid w:val="F7DFC0B0"/>
    <w:rsid w:val="F7E208FC"/>
    <w:rsid w:val="F7E5B2AA"/>
    <w:rsid w:val="F7E7E669"/>
    <w:rsid w:val="F7FB61A6"/>
    <w:rsid w:val="F7FEBB09"/>
    <w:rsid w:val="F7FFD768"/>
    <w:rsid w:val="F8EDDC8C"/>
    <w:rsid w:val="F95FEE05"/>
    <w:rsid w:val="FA919708"/>
    <w:rsid w:val="FADF3396"/>
    <w:rsid w:val="FAE44511"/>
    <w:rsid w:val="FAFFCAD7"/>
    <w:rsid w:val="FB755442"/>
    <w:rsid w:val="FB9D217E"/>
    <w:rsid w:val="FBD371CF"/>
    <w:rsid w:val="FBDB5801"/>
    <w:rsid w:val="FBDF920A"/>
    <w:rsid w:val="FBF69C42"/>
    <w:rsid w:val="FCDDC71E"/>
    <w:rsid w:val="FCEE32B7"/>
    <w:rsid w:val="FCFAFBF6"/>
    <w:rsid w:val="FD6DD1A4"/>
    <w:rsid w:val="FD77DB50"/>
    <w:rsid w:val="FD7E5E6B"/>
    <w:rsid w:val="FD9BA343"/>
    <w:rsid w:val="FD9FB8B3"/>
    <w:rsid w:val="FDA74CCF"/>
    <w:rsid w:val="FDADA820"/>
    <w:rsid w:val="FDBD11ED"/>
    <w:rsid w:val="FDDF1902"/>
    <w:rsid w:val="FDEE31EC"/>
    <w:rsid w:val="FDEF8869"/>
    <w:rsid w:val="FDFE7332"/>
    <w:rsid w:val="FDFF138E"/>
    <w:rsid w:val="FDFF417D"/>
    <w:rsid w:val="FE3730EC"/>
    <w:rsid w:val="FE7E9446"/>
    <w:rsid w:val="FE7FB4A5"/>
    <w:rsid w:val="FEBD9A85"/>
    <w:rsid w:val="FEDC07F2"/>
    <w:rsid w:val="FEE52F2C"/>
    <w:rsid w:val="FEEF7A90"/>
    <w:rsid w:val="FEFB398F"/>
    <w:rsid w:val="FEFD8D6D"/>
    <w:rsid w:val="FEFF1E98"/>
    <w:rsid w:val="FF1EB0D7"/>
    <w:rsid w:val="FF5C4D70"/>
    <w:rsid w:val="FF5EDCE0"/>
    <w:rsid w:val="FF726047"/>
    <w:rsid w:val="FF74537C"/>
    <w:rsid w:val="FF77E636"/>
    <w:rsid w:val="FF7B73E1"/>
    <w:rsid w:val="FF7D74D2"/>
    <w:rsid w:val="FF7E96A7"/>
    <w:rsid w:val="FF7FC408"/>
    <w:rsid w:val="FF8F8D84"/>
    <w:rsid w:val="FF9DBB06"/>
    <w:rsid w:val="FFAA60A1"/>
    <w:rsid w:val="FFAE3F96"/>
    <w:rsid w:val="FFAFEEF8"/>
    <w:rsid w:val="FFB788C0"/>
    <w:rsid w:val="FFBED5F1"/>
    <w:rsid w:val="FFCD59D6"/>
    <w:rsid w:val="FFCE51F6"/>
    <w:rsid w:val="FFCF0688"/>
    <w:rsid w:val="FFD77060"/>
    <w:rsid w:val="FFE9F5A2"/>
    <w:rsid w:val="FFEA7B0E"/>
    <w:rsid w:val="FFEDA918"/>
    <w:rsid w:val="FFEE7A1C"/>
    <w:rsid w:val="FFF1514C"/>
    <w:rsid w:val="FFFB6B78"/>
    <w:rsid w:val="FFFB6BED"/>
    <w:rsid w:val="FFFCD7CB"/>
    <w:rsid w:val="FFFD1CFB"/>
    <w:rsid w:val="FFFD55C5"/>
    <w:rsid w:val="FFFD8D8A"/>
    <w:rsid w:val="FFFE39B8"/>
    <w:rsid w:val="FFFE43D2"/>
    <w:rsid w:val="FFFEC252"/>
    <w:rsid w:val="FFFEFAD1"/>
    <w:rsid w:val="FFFF94B8"/>
    <w:rsid w:val="FFFFE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after="156" w:afterLines="50"/>
    </w:pPr>
    <w:rPr>
      <w:rFonts w:ascii="Times New Roman Bold" w:hAnsi="Times New Roman Bold" w:cs="Times New Roman Bold"/>
      <w:b/>
      <w:bCs/>
      <w:sz w:val="32"/>
      <w:szCs w:val="32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2024-11-20T04:25:00Z</dcterms:created>
  <dc:creator>沙萱</dc:creator>
  <cp:lastModifiedBy>沙萱</cp:lastModifiedBy>
  <dcterms:modified xsi:type="dcterms:W3CDTF">2025-02-26T14:17:10Z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2052-6.15.1.8935</vt:lpwstr>
  </property>
  <property fmtid="{D5CDD505-2E9C-101B-9397-08002B2CF9AE}" pid="3" name="ICV">
    <vt:lpwstr>B0B331C8C7E19771AB9A34677FA24CC7_41</vt:lpwstr>
  </property>
</Properties>
</file>