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
          <w:bCs/>
          <w:i/>
          <w:iCs/>
          <w:sz w:val="28"/>
          <w:szCs w:val="28"/>
        </w:rPr>
      </w:pPr>
      <w:r>
        <w:rPr>
          <w:rFonts w:ascii="Times New Roman" w:hAnsi="Times New Roman" w:cs="Times New Roman"/>
          <w:b/>
          <w:bCs/>
          <w:i/>
          <w:iCs/>
          <w:sz w:val="28"/>
          <w:szCs w:val="28"/>
        </w:rPr>
        <w:t>Supplementary Material</w:t>
      </w:r>
    </w:p>
    <w:p>
      <w:pPr>
        <w:spacing w:line="480" w:lineRule="auto"/>
        <w:rPr>
          <w:rFonts w:ascii="Times New Roman" w:hAnsi="Times New Roman" w:cs="Times New Roman"/>
          <w:b/>
          <w:bCs/>
          <w:i/>
          <w:iCs/>
          <w:sz w:val="28"/>
          <w:szCs w:val="28"/>
        </w:rPr>
      </w:pPr>
    </w:p>
    <w:p>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Dual-Modality Immune Nano-Activator Harnessing Mn²⁺ and Quercetin to Potentiate the cGAS-STING Pathway for Advanced Cancer Metalloimmunotherapy</w:t>
      </w:r>
    </w:p>
    <w:p>
      <w:pPr>
        <w:spacing w:line="480" w:lineRule="auto"/>
        <w:rPr>
          <w:rFonts w:ascii="Times New Roman" w:hAnsi="Times New Roman" w:cs="Times New Roman"/>
          <w:i/>
          <w:kern w:val="0"/>
          <w:szCs w:val="21"/>
          <w:vertAlign w:val="superscript"/>
        </w:rPr>
      </w:pPr>
      <w:r>
        <w:rPr>
          <w:rFonts w:ascii="Times New Roman" w:hAnsi="Times New Roman" w:cs="Times New Roman"/>
          <w:i/>
          <w:kern w:val="0"/>
          <w:szCs w:val="21"/>
          <w:lang w:eastAsia="en-US"/>
        </w:rPr>
        <w:t>Shanshan Ma</w:t>
      </w:r>
      <w:r>
        <w:rPr>
          <w:rFonts w:ascii="Times New Roman" w:hAnsi="Times New Roman" w:cs="Times New Roman"/>
          <w:i/>
          <w:kern w:val="0"/>
          <w:szCs w:val="21"/>
        </w:rPr>
        <w:t xml:space="preserve"> </w:t>
      </w:r>
      <w:r>
        <w:rPr>
          <w:rFonts w:ascii="Times New Roman" w:hAnsi="Times New Roman" w:cs="Times New Roman"/>
          <w:i/>
          <w:kern w:val="0"/>
          <w:szCs w:val="21"/>
          <w:vertAlign w:val="superscript"/>
        </w:rPr>
        <w:t>a,1</w:t>
      </w:r>
      <w:r>
        <w:rPr>
          <w:rFonts w:ascii="Times New Roman" w:hAnsi="Times New Roman" w:cs="Times New Roman"/>
          <w:i/>
          <w:kern w:val="0"/>
          <w:szCs w:val="21"/>
        </w:rPr>
        <w:t xml:space="preserve">, Xuequan Zhang </w:t>
      </w:r>
      <w:r>
        <w:rPr>
          <w:rFonts w:ascii="Times New Roman" w:hAnsi="Times New Roman" w:cs="Times New Roman"/>
          <w:i/>
          <w:kern w:val="0"/>
          <w:szCs w:val="21"/>
          <w:vertAlign w:val="superscript"/>
        </w:rPr>
        <w:t>b,1</w:t>
      </w:r>
      <w:r>
        <w:rPr>
          <w:rFonts w:ascii="Times New Roman" w:hAnsi="Times New Roman" w:cs="Times New Roman"/>
          <w:i/>
          <w:kern w:val="0"/>
          <w:szCs w:val="21"/>
        </w:rPr>
        <w:t xml:space="preserve">, Xiaoqi Zhu </w:t>
      </w:r>
      <w:r>
        <w:rPr>
          <w:rFonts w:ascii="Times New Roman" w:hAnsi="Times New Roman" w:cs="Times New Roman"/>
          <w:i/>
          <w:kern w:val="0"/>
          <w:szCs w:val="21"/>
          <w:vertAlign w:val="superscript"/>
        </w:rPr>
        <w:t>a,1</w:t>
      </w:r>
      <w:r>
        <w:rPr>
          <w:rFonts w:ascii="Times New Roman" w:hAnsi="Times New Roman" w:cs="Times New Roman"/>
          <w:i/>
          <w:kern w:val="0"/>
          <w:szCs w:val="21"/>
        </w:rPr>
        <w:t xml:space="preserve">, Kangning Yan </w:t>
      </w:r>
      <w:r>
        <w:rPr>
          <w:rFonts w:ascii="Times New Roman" w:hAnsi="Times New Roman" w:cs="Times New Roman"/>
          <w:i/>
          <w:kern w:val="0"/>
          <w:szCs w:val="21"/>
          <w:vertAlign w:val="superscript"/>
        </w:rPr>
        <w:t>a,d</w:t>
      </w:r>
      <w:r>
        <w:rPr>
          <w:rFonts w:ascii="Times New Roman" w:hAnsi="Times New Roman" w:cs="Times New Roman"/>
          <w:i/>
          <w:kern w:val="0"/>
          <w:szCs w:val="21"/>
        </w:rPr>
        <w:t xml:space="preserve">, Qin Wang </w:t>
      </w:r>
      <w:r>
        <w:rPr>
          <w:rFonts w:ascii="Times New Roman" w:hAnsi="Times New Roman" w:cs="Times New Roman"/>
          <w:i/>
          <w:kern w:val="0"/>
          <w:szCs w:val="21"/>
          <w:vertAlign w:val="superscript"/>
        </w:rPr>
        <w:t>a,d</w:t>
      </w:r>
      <w:r>
        <w:rPr>
          <w:rFonts w:ascii="Times New Roman" w:hAnsi="Times New Roman" w:cs="Times New Roman"/>
          <w:i/>
          <w:kern w:val="0"/>
          <w:szCs w:val="21"/>
        </w:rPr>
        <w:t xml:space="preserve">, Lei Lei </w:t>
      </w:r>
      <w:r>
        <w:rPr>
          <w:rFonts w:ascii="Times New Roman" w:hAnsi="Times New Roman" w:cs="Times New Roman"/>
          <w:i/>
          <w:kern w:val="0"/>
          <w:szCs w:val="21"/>
          <w:vertAlign w:val="superscript"/>
        </w:rPr>
        <w:t>b</w:t>
      </w:r>
      <w:r>
        <w:rPr>
          <w:rFonts w:ascii="Times New Roman" w:hAnsi="Times New Roman" w:cs="Times New Roman"/>
          <w:i/>
          <w:kern w:val="0"/>
          <w:szCs w:val="21"/>
        </w:rPr>
        <w:t xml:space="preserve">, Jiasheng Li </w:t>
      </w:r>
      <w:r>
        <w:rPr>
          <w:rFonts w:ascii="Times New Roman" w:hAnsi="Times New Roman" w:cs="Times New Roman"/>
          <w:i/>
          <w:kern w:val="0"/>
          <w:szCs w:val="21"/>
          <w:vertAlign w:val="superscript"/>
        </w:rPr>
        <w:t>e</w:t>
      </w:r>
      <w:r>
        <w:rPr>
          <w:rFonts w:ascii="Times New Roman" w:hAnsi="Times New Roman" w:cs="Times New Roman"/>
          <w:i/>
          <w:kern w:val="0"/>
          <w:szCs w:val="21"/>
        </w:rPr>
        <w:t xml:space="preserve">, Jing Guo </w:t>
      </w:r>
      <w:r>
        <w:rPr>
          <w:rFonts w:ascii="Times New Roman" w:hAnsi="Times New Roman" w:cs="Times New Roman"/>
          <w:i/>
          <w:kern w:val="0"/>
          <w:szCs w:val="21"/>
          <w:vertAlign w:val="superscript"/>
        </w:rPr>
        <w:t>a</w:t>
      </w:r>
      <w:r>
        <w:rPr>
          <w:rFonts w:ascii="Times New Roman" w:hAnsi="Times New Roman" w:cs="Times New Roman"/>
          <w:i/>
          <w:kern w:val="0"/>
          <w:szCs w:val="21"/>
        </w:rPr>
        <w:t xml:space="preserve">, Weizhong Tang </w:t>
      </w:r>
      <w:r>
        <w:rPr>
          <w:rFonts w:ascii="Times New Roman" w:hAnsi="Times New Roman" w:cs="Times New Roman"/>
          <w:i/>
          <w:kern w:val="0"/>
          <w:szCs w:val="21"/>
          <w:vertAlign w:val="superscript"/>
        </w:rPr>
        <w:t>e</w:t>
      </w:r>
      <w:r>
        <w:rPr>
          <w:rFonts w:ascii="Times New Roman" w:hAnsi="Times New Roman" w:cs="Times New Roman"/>
          <w:i/>
          <w:kern w:val="0"/>
          <w:szCs w:val="21"/>
        </w:rPr>
        <w:t xml:space="preserve">, Junjie Liu </w:t>
      </w:r>
      <w:r>
        <w:rPr>
          <w:rFonts w:ascii="Times New Roman" w:hAnsi="Times New Roman" w:cs="Times New Roman"/>
          <w:i/>
          <w:kern w:val="0"/>
          <w:szCs w:val="21"/>
          <w:vertAlign w:val="superscript"/>
        </w:rPr>
        <w:t>a</w:t>
      </w:r>
      <w:r>
        <w:rPr>
          <w:rFonts w:ascii="Times New Roman" w:hAnsi="Times New Roman" w:cs="Times New Roman"/>
          <w:i/>
          <w:kern w:val="0"/>
          <w:szCs w:val="21"/>
        </w:rPr>
        <w:t xml:space="preserve">, Jun Cao </w:t>
      </w:r>
      <w:r>
        <w:rPr>
          <w:rFonts w:ascii="Times New Roman" w:hAnsi="Times New Roman" w:cs="Times New Roman"/>
          <w:i/>
          <w:kern w:val="0"/>
          <w:szCs w:val="21"/>
          <w:vertAlign w:val="superscript"/>
        </w:rPr>
        <w:t>b,*</w:t>
      </w:r>
      <w:r>
        <w:rPr>
          <w:rFonts w:ascii="Times New Roman" w:hAnsi="Times New Roman" w:cs="Times New Roman"/>
          <w:i/>
          <w:kern w:val="0"/>
          <w:szCs w:val="21"/>
        </w:rPr>
        <w:t xml:space="preserve">, Duo Wang </w:t>
      </w:r>
      <w:r>
        <w:rPr>
          <w:rFonts w:ascii="Times New Roman" w:hAnsi="Times New Roman" w:cs="Times New Roman"/>
          <w:i/>
          <w:kern w:val="0"/>
          <w:szCs w:val="21"/>
          <w:vertAlign w:val="superscript"/>
        </w:rPr>
        <w:t>c,*</w:t>
      </w:r>
      <w:r>
        <w:rPr>
          <w:rFonts w:ascii="Times New Roman" w:hAnsi="Times New Roman" w:cs="Times New Roman"/>
          <w:i/>
          <w:kern w:val="0"/>
          <w:szCs w:val="21"/>
        </w:rPr>
        <w:t xml:space="preserve">, Tao Luo </w:t>
      </w:r>
      <w:r>
        <w:rPr>
          <w:rFonts w:ascii="Times New Roman" w:hAnsi="Times New Roman" w:cs="Times New Roman"/>
          <w:i/>
          <w:kern w:val="0"/>
          <w:szCs w:val="21"/>
          <w:vertAlign w:val="superscript"/>
        </w:rPr>
        <w:t>e,*</w:t>
      </w:r>
    </w:p>
    <w:p>
      <w:pPr>
        <w:rPr>
          <w:rFonts w:ascii="Times New Roman" w:hAnsi="Times New Roman" w:cs="Times New Roman"/>
          <w:i/>
          <w:kern w:val="0"/>
          <w:szCs w:val="21"/>
          <w:vertAlign w:val="superscript"/>
        </w:rPr>
      </w:pPr>
    </w:p>
    <w:p>
      <w:pPr>
        <w:spacing w:line="480" w:lineRule="auto"/>
        <w:rPr>
          <w:rFonts w:ascii="Times New Roman" w:hAnsi="Times New Roman" w:cs="Times New Roman"/>
          <w:szCs w:val="21"/>
        </w:rPr>
      </w:pPr>
      <w:r>
        <w:rPr>
          <w:rFonts w:ascii="Times New Roman" w:hAnsi="Times New Roman" w:cs="Times New Roman"/>
          <w:szCs w:val="21"/>
          <w:vertAlign w:val="superscript"/>
        </w:rPr>
        <w:t xml:space="preserve">a </w:t>
      </w:r>
      <w:r>
        <w:rPr>
          <w:rFonts w:ascii="Times New Roman" w:hAnsi="Times New Roman" w:cs="Times New Roman"/>
          <w:szCs w:val="21"/>
        </w:rPr>
        <w:t>Department of Medical Ultrasound, Guangxi Medical University Cancer Hospital, Guangxi Medical University. No. 71 Hedi Road, Nanning 530021, P. R. China.</w:t>
      </w:r>
    </w:p>
    <w:p>
      <w:pPr>
        <w:spacing w:line="480" w:lineRule="auto"/>
        <w:rPr>
          <w:rFonts w:ascii="Times New Roman" w:hAnsi="Times New Roman" w:cs="Times New Roman"/>
          <w:szCs w:val="21"/>
        </w:rPr>
      </w:pPr>
      <w:r>
        <w:rPr>
          <w:rFonts w:ascii="Times New Roman" w:hAnsi="Times New Roman" w:cs="Times New Roman"/>
          <w:szCs w:val="21"/>
          <w:vertAlign w:val="superscript"/>
        </w:rPr>
        <w:t>b</w:t>
      </w:r>
      <w:r>
        <w:rPr>
          <w:rFonts w:ascii="Times New Roman" w:hAnsi="Times New Roman" w:cs="Times New Roman"/>
          <w:szCs w:val="21"/>
        </w:rPr>
        <w:t xml:space="preserve"> National Engineering Research Center for Biomaterials College of Biomedical Engineering, Sichuan University. No. 29 Wangjiang Road, Chengdu 610064, P. R. China.</w:t>
      </w:r>
    </w:p>
    <w:p>
      <w:pPr>
        <w:spacing w:line="480" w:lineRule="auto"/>
        <w:rPr>
          <w:rFonts w:ascii="Times New Roman" w:hAnsi="Times New Roman" w:cs="Times New Roman"/>
          <w:szCs w:val="21"/>
        </w:rPr>
      </w:pPr>
      <w:r>
        <w:rPr>
          <w:rFonts w:ascii="Times New Roman" w:hAnsi="Times New Roman" w:cs="Times New Roman"/>
          <w:szCs w:val="21"/>
          <w:vertAlign w:val="superscript"/>
        </w:rPr>
        <w:t>c</w:t>
      </w:r>
      <w:r>
        <w:rPr>
          <w:rFonts w:ascii="Times New Roman" w:hAnsi="Times New Roman" w:cs="Times New Roman"/>
          <w:szCs w:val="21"/>
        </w:rPr>
        <w:t xml:space="preserve"> Center of Interventional Radiology &amp; Vascular Surgery, Department of Radiology, Zhongda Hospital, Medical School. Southeast University, No.87 Dingjiaqiao, Nanjing </w:t>
      </w:r>
      <w:r>
        <w:rPr>
          <w:rFonts w:hint="eastAsia" w:ascii="Times New Roman" w:hAnsi="Times New Roman" w:cs="Times New Roman"/>
          <w:szCs w:val="21"/>
        </w:rPr>
        <w:t>210009</w:t>
      </w:r>
      <w:bookmarkStart w:id="1" w:name="_GoBack"/>
      <w:bookmarkEnd w:id="1"/>
      <w:r>
        <w:rPr>
          <w:rFonts w:ascii="Times New Roman" w:hAnsi="Times New Roman" w:cs="Times New Roman"/>
          <w:szCs w:val="21"/>
        </w:rPr>
        <w:t>, P. R. China.</w:t>
      </w:r>
    </w:p>
    <w:p>
      <w:pPr>
        <w:spacing w:line="480" w:lineRule="auto"/>
        <w:rPr>
          <w:rFonts w:ascii="Times New Roman" w:hAnsi="Times New Roman" w:cs="Times New Roman"/>
          <w:szCs w:val="21"/>
        </w:rPr>
      </w:pPr>
      <w:r>
        <w:rPr>
          <w:rFonts w:ascii="Times New Roman" w:hAnsi="Times New Roman" w:cs="Times New Roman"/>
          <w:szCs w:val="21"/>
          <w:vertAlign w:val="superscript"/>
        </w:rPr>
        <w:t>d</w:t>
      </w:r>
      <w:r>
        <w:rPr>
          <w:rFonts w:ascii="Times New Roman" w:hAnsi="Times New Roman" w:cs="Times New Roman"/>
          <w:szCs w:val="21"/>
        </w:rPr>
        <w:t xml:space="preserve"> Guangxi Key Laboratory of Early Prevention and Treatment for Regional High Frequency Tumor, Guangxi Medical University. No.22 Shuangyong Road, Nanning 530021, P. R. China.</w:t>
      </w:r>
    </w:p>
    <w:p>
      <w:pPr>
        <w:spacing w:line="480" w:lineRule="auto"/>
        <w:rPr>
          <w:rFonts w:ascii="Times New Roman" w:hAnsi="Times New Roman" w:cs="Times New Roman"/>
          <w:szCs w:val="21"/>
        </w:rPr>
      </w:pPr>
      <w:r>
        <w:rPr>
          <w:rFonts w:ascii="Times New Roman" w:hAnsi="Times New Roman" w:cs="Times New Roman"/>
          <w:szCs w:val="21"/>
          <w:vertAlign w:val="superscript"/>
        </w:rPr>
        <w:t>e</w:t>
      </w:r>
      <w:r>
        <w:rPr>
          <w:rFonts w:ascii="Times New Roman" w:hAnsi="Times New Roman" w:cs="Times New Roman"/>
          <w:szCs w:val="21"/>
        </w:rPr>
        <w:t xml:space="preserve"> Department of Gastrointestinal Surgery, Guangxi Medical University Cancer Hospital, Guangxi Medical University. No. 71 Hedi Road, Nanning 530021, P. R. China.</w:t>
      </w:r>
    </w:p>
    <w:p>
      <w:pPr>
        <w:rPr>
          <w:rFonts w:ascii="Times New Roman" w:hAnsi="Times New Roman" w:cs="Times New Roman"/>
          <w:szCs w:val="21"/>
        </w:rPr>
      </w:pPr>
    </w:p>
    <w:p>
      <w:pPr>
        <w:spacing w:line="480" w:lineRule="auto"/>
        <w:rPr>
          <w:rFonts w:ascii="Times New Roman" w:hAnsi="Times New Roman" w:cs="Times New Roman"/>
          <w:szCs w:val="21"/>
        </w:rPr>
      </w:pPr>
      <w:r>
        <w:rPr>
          <w:rFonts w:ascii="Times New Roman" w:hAnsi="Times New Roman" w:cs="Times New Roman"/>
          <w:szCs w:val="21"/>
        </w:rPr>
        <w:t>Corresponding author.</w:t>
      </w:r>
    </w:p>
    <w:p>
      <w:pPr>
        <w:spacing w:line="480" w:lineRule="auto"/>
        <w:rPr>
          <w:rFonts w:ascii="Times New Roman" w:hAnsi="Times New Roman" w:cs="Times New Roman"/>
          <w:szCs w:val="21"/>
        </w:rPr>
      </w:pPr>
      <w:r>
        <w:rPr>
          <w:rFonts w:ascii="Times New Roman" w:hAnsi="Times New Roman" w:cs="Times New Roman"/>
          <w:szCs w:val="21"/>
        </w:rPr>
        <w:t>E-mail address:</w:t>
      </w:r>
      <w:bookmarkStart w:id="0" w:name="_Hlk174187866"/>
      <w:r>
        <w:rPr>
          <w:rFonts w:ascii="Times New Roman" w:hAnsi="Times New Roman" w:cs="Times New Roman"/>
          <w:szCs w:val="21"/>
        </w:rPr>
        <w:t xml:space="preserve"> </w:t>
      </w:r>
      <w:r>
        <w:fldChar w:fldCharType="begin"/>
      </w:r>
      <w:r>
        <w:instrText xml:space="preserve"> HYPERLINK "mailto:luotao@gxmu.edu.cn" </w:instrText>
      </w:r>
      <w:r>
        <w:fldChar w:fldCharType="separate"/>
      </w:r>
      <w:r>
        <w:rPr>
          <w:rStyle w:val="9"/>
          <w:rFonts w:ascii="Times New Roman" w:hAnsi="Times New Roman" w:cs="Times New Roman"/>
          <w:szCs w:val="21"/>
        </w:rPr>
        <w:t>luotao@gxmu.edu.cn</w:t>
      </w:r>
      <w:r>
        <w:rPr>
          <w:rStyle w:val="9"/>
          <w:rFonts w:ascii="Times New Roman" w:hAnsi="Times New Roman" w:cs="Times New Roman"/>
          <w:szCs w:val="21"/>
        </w:rPr>
        <w:fldChar w:fldCharType="end"/>
      </w:r>
      <w:r>
        <w:rPr>
          <w:rFonts w:ascii="Times New Roman" w:hAnsi="Times New Roman" w:cs="Times New Roman"/>
          <w:szCs w:val="21"/>
        </w:rPr>
        <w:t xml:space="preserve"> (T. Luo). Department of Gastrointestinal Surgery, Guangxi Medical University Cancer Hospital, Guangxi Medical University. No. 71 Hedi Road, Nanning 530021, P. R. China</w:t>
      </w:r>
    </w:p>
    <w:p>
      <w:pPr>
        <w:spacing w:line="480" w:lineRule="auto"/>
        <w:rPr>
          <w:rFonts w:ascii="Times New Roman" w:hAnsi="Times New Roman" w:cs="Times New Roman"/>
          <w:szCs w:val="21"/>
        </w:rPr>
      </w:pPr>
      <w:r>
        <w:fldChar w:fldCharType="begin"/>
      </w:r>
      <w:r>
        <w:instrText xml:space="preserve"> HYPERLINK "mailto:wangduo2022@126.com" </w:instrText>
      </w:r>
      <w:r>
        <w:fldChar w:fldCharType="separate"/>
      </w:r>
      <w:r>
        <w:rPr>
          <w:rStyle w:val="9"/>
          <w:rFonts w:ascii="Times New Roman" w:hAnsi="Times New Roman" w:cs="Times New Roman"/>
          <w:szCs w:val="21"/>
        </w:rPr>
        <w:t>wangduo2022@126.com</w:t>
      </w:r>
      <w:bookmarkEnd w:id="0"/>
      <w:r>
        <w:rPr>
          <w:rStyle w:val="9"/>
          <w:rFonts w:ascii="Times New Roman" w:hAnsi="Times New Roman" w:cs="Times New Roman"/>
          <w:szCs w:val="21"/>
        </w:rPr>
        <w:fldChar w:fldCharType="end"/>
      </w:r>
      <w:r>
        <w:rPr>
          <w:rFonts w:ascii="Times New Roman" w:hAnsi="Times New Roman" w:cs="Times New Roman"/>
          <w:szCs w:val="21"/>
        </w:rPr>
        <w:t xml:space="preserve"> (D. Wang). Center of Interventional Radiology &amp; Vascular Surgery, Department of Radiology, Zhongda Hospital, Medical School. Southeast University, No.87 Dingjiaqiao, Nanjing 224001, P. R. China.</w:t>
      </w:r>
    </w:p>
    <w:p>
      <w:pPr>
        <w:spacing w:line="480" w:lineRule="auto"/>
        <w:rPr>
          <w:rFonts w:ascii="Times New Roman" w:hAnsi="Times New Roman" w:cs="Times New Roman"/>
          <w:szCs w:val="21"/>
        </w:rPr>
      </w:pPr>
      <w:r>
        <w:fldChar w:fldCharType="begin"/>
      </w:r>
      <w:r>
        <w:instrText xml:space="preserve"> HYPERLINK "mailto:caojun@scu.edu.cn" </w:instrText>
      </w:r>
      <w:r>
        <w:fldChar w:fldCharType="separate"/>
      </w:r>
      <w:r>
        <w:rPr>
          <w:rStyle w:val="9"/>
          <w:rFonts w:ascii="Times New Roman" w:hAnsi="Times New Roman" w:cs="Times New Roman"/>
          <w:szCs w:val="21"/>
        </w:rPr>
        <w:t>caojun@scu.edu.cn</w:t>
      </w:r>
      <w:r>
        <w:rPr>
          <w:rStyle w:val="9"/>
          <w:rFonts w:ascii="Times New Roman" w:hAnsi="Times New Roman" w:cs="Times New Roman"/>
          <w:szCs w:val="21"/>
        </w:rPr>
        <w:fldChar w:fldCharType="end"/>
      </w:r>
      <w:r>
        <w:rPr>
          <w:rFonts w:ascii="Times New Roman" w:hAnsi="Times New Roman" w:cs="Times New Roman"/>
          <w:szCs w:val="21"/>
        </w:rPr>
        <w:t xml:space="preserve"> (J. Cao). National Engineering Research Center for Biomaterials College of Biomedical Engineering, Sichuan University. No. 29 Wangjiang Road, Chengdu 610064, P. R. China.</w:t>
      </w:r>
    </w:p>
    <w:p>
      <w:pPr>
        <w:spacing w:line="480" w:lineRule="auto"/>
        <w:rPr>
          <w:rFonts w:ascii="Times New Roman" w:hAnsi="Times New Roman" w:cs="Times New Roman"/>
          <w:szCs w:val="21"/>
        </w:rPr>
      </w:pPr>
    </w:p>
    <w:p>
      <w:pPr>
        <w:numPr>
          <w:ilvl w:val="255"/>
          <w:numId w:val="0"/>
        </w:numPr>
        <w:spacing w:line="276" w:lineRule="auto"/>
        <w:rPr>
          <w:rFonts w:ascii="Times New Roman" w:hAnsi="Times New Roman" w:cs="Times New Roman"/>
          <w:szCs w:val="21"/>
        </w:rPr>
      </w:pPr>
      <w:r>
        <w:rPr>
          <w:rFonts w:hint="eastAsia" w:ascii="Times New Roman" w:hAnsi="Times New Roman" w:cs="Times New Roman"/>
          <w:szCs w:val="21"/>
          <w:vertAlign w:val="superscript"/>
        </w:rPr>
        <w:t>1</w:t>
      </w:r>
      <w:r>
        <w:rPr>
          <w:rFonts w:hint="eastAsia" w:ascii="Times New Roman" w:hAnsi="Times New Roman" w:cs="Times New Roman"/>
          <w:szCs w:val="21"/>
        </w:rPr>
        <w:t xml:space="preserve"> These authors contributed equally to this work.</w:t>
      </w:r>
    </w:p>
    <w:p>
      <w:pPr>
        <w:spacing w:line="480" w:lineRule="auto"/>
        <w:rPr>
          <w:rFonts w:ascii="Times New Roman" w:hAnsi="Times New Roman" w:cs="Times New Roman"/>
          <w:b/>
          <w:bCs/>
          <w:sz w:val="28"/>
          <w:szCs w:val="28"/>
        </w:rPr>
      </w:pPr>
    </w:p>
    <w:p>
      <w:pPr>
        <w:spacing w:line="480" w:lineRule="auto"/>
        <w:rPr>
          <w:rFonts w:ascii="Times New Roman" w:hAnsi="Times New Roman" w:cs="Times New Roman"/>
          <w:b/>
          <w:bCs/>
          <w:sz w:val="28"/>
          <w:szCs w:val="28"/>
        </w:rPr>
      </w:pPr>
    </w:p>
    <w:p>
      <w:pPr>
        <w:spacing w:line="480" w:lineRule="auto"/>
        <w:rPr>
          <w:rFonts w:ascii="Times New Roman" w:hAnsi="Times New Roman" w:cs="Times New Roman"/>
          <w:b/>
          <w:bCs/>
          <w:sz w:val="28"/>
          <w:szCs w:val="28"/>
        </w:rPr>
      </w:pPr>
    </w:p>
    <w:p>
      <w:pPr>
        <w:spacing w:line="480" w:lineRule="auto"/>
        <w:rPr>
          <w:rFonts w:ascii="Times New Roman" w:hAnsi="Times New Roman" w:cs="Times New Roman"/>
          <w:b/>
          <w:bCs/>
          <w:i/>
          <w:iCs/>
          <w:sz w:val="28"/>
          <w:szCs w:val="28"/>
        </w:rPr>
      </w:pPr>
      <w:r>
        <w:rPr>
          <w:rFonts w:ascii="Times New Roman" w:hAnsi="Times New Roman" w:cs="Times New Roman"/>
          <w:b/>
          <w:bCs/>
          <w:i/>
          <w:iCs/>
          <w:sz w:val="28"/>
          <w:szCs w:val="28"/>
        </w:rPr>
        <w:t>Supplementary methods</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Migration Assay</w:t>
      </w:r>
    </w:p>
    <w:p>
      <w:pPr>
        <w:spacing w:line="480" w:lineRule="auto"/>
        <w:rPr>
          <w:rFonts w:ascii="Times New Roman" w:hAnsi="Times New Roman" w:cs="Times New Roman"/>
          <w:sz w:val="24"/>
          <w:szCs w:val="24"/>
        </w:rPr>
      </w:pPr>
      <w:r>
        <w:rPr>
          <w:rFonts w:ascii="Times New Roman" w:hAnsi="Times New Roman" w:cs="Times New Roman"/>
          <w:sz w:val="24"/>
          <w:szCs w:val="24"/>
        </w:rPr>
        <w:t>Migration assay was performed using transwell chambers with 8 μm polycarbonate membrane inserts. The lower chamber contained a medium supplemented with 10% FBS as a chemoattractant, while Hepa1-6 cells were seeded into the upper chamber with a serum-free medium. Cells in the upper chamber were treated with different formulations (G1: Contr</w:t>
      </w:r>
      <w:r>
        <w:rPr>
          <w:rFonts w:ascii="Times New Roman" w:hAnsi="Times New Roman" w:cs="Times New Roman"/>
          <w:sz w:val="24"/>
          <w:szCs w:val="24"/>
          <w:highlight w:val="none"/>
        </w:rPr>
        <w:t xml:space="preserve">ol, G2: MnCl₂, G3: Que, G4: NIR, G5: MQ, G6: MQ + NIR) and incubated for 24 hours. </w:t>
      </w:r>
      <w:r>
        <w:rPr>
          <w:rFonts w:hint="eastAsia" w:ascii="Times New Roman" w:hAnsi="Times New Roman" w:cs="Times New Roman"/>
          <w:sz w:val="24"/>
          <w:szCs w:val="24"/>
          <w:highlight w:val="none"/>
          <w14:ligatures w14:val="standardContextual"/>
        </w:rPr>
        <w:t xml:space="preserve">The </w:t>
      </w:r>
      <w:r>
        <w:rPr>
          <w:rFonts w:ascii="Times New Roman" w:hAnsi="Times New Roman" w:cs="Times New Roman"/>
          <w:sz w:val="24"/>
          <w:szCs w:val="24"/>
          <w:highlight w:val="none"/>
          <w14:ligatures w14:val="standardContextual"/>
        </w:rPr>
        <w:t>concentration</w:t>
      </w:r>
      <w:r>
        <w:rPr>
          <w:rFonts w:hint="eastAsia" w:ascii="Times New Roman" w:hAnsi="Times New Roman" w:cs="Times New Roman"/>
          <w:sz w:val="24"/>
          <w:szCs w:val="24"/>
          <w:highlight w:val="none"/>
          <w14:ligatures w14:val="standardContextual"/>
        </w:rPr>
        <w:t xml:space="preserve"> of </w:t>
      </w:r>
      <w:r>
        <w:rPr>
          <w:rFonts w:ascii="Times New Roman" w:hAnsi="Times New Roman" w:cs="Times New Roman"/>
          <w:sz w:val="24"/>
          <w:szCs w:val="24"/>
          <w:highlight w:val="none"/>
        </w:rPr>
        <w:t>manganese ions</w:t>
      </w:r>
      <w:r>
        <w:rPr>
          <w:rFonts w:hint="eastAsia" w:ascii="Times New Roman" w:hAnsi="Times New Roman" w:cs="Times New Roman"/>
          <w:sz w:val="24"/>
          <w:szCs w:val="24"/>
          <w:highlight w:val="none"/>
        </w:rPr>
        <w:t xml:space="preserve">, Que and MQ were </w:t>
      </w:r>
      <w:r>
        <w:rPr>
          <w:rFonts w:hint="eastAsia" w:ascii="Times New Roman" w:hAnsi="Times New Roman" w:cs="Times New Roman"/>
          <w:sz w:val="24"/>
          <w:szCs w:val="24"/>
          <w:highlight w:val="none"/>
          <w14:ligatures w14:val="standardContextual"/>
        </w:rPr>
        <w:t xml:space="preserve">17.5 </w:t>
      </w:r>
      <w:r>
        <w:rPr>
          <w:rFonts w:ascii="Times New Roman" w:hAnsi="Times New Roman" w:cs="Times New Roman"/>
          <w:sz w:val="24"/>
          <w:szCs w:val="24"/>
          <w:highlight w:val="none"/>
          <w14:ligatures w14:val="standardContextual"/>
        </w:rPr>
        <w:t>μ</w:t>
      </w:r>
      <w:r>
        <w:rPr>
          <w:rFonts w:hint="eastAsia" w:ascii="Times New Roman" w:hAnsi="Times New Roman" w:cs="Times New Roman"/>
          <w:sz w:val="24"/>
          <w:szCs w:val="24"/>
          <w:highlight w:val="none"/>
          <w14:ligatures w14:val="standardContextual"/>
        </w:rPr>
        <w:t xml:space="preserve">g/mL, </w:t>
      </w:r>
      <w:r>
        <w:rPr>
          <w:rFonts w:hint="eastAsia" w:ascii="Times New Roman" w:hAnsi="Times New Roman" w:cs="Times New Roman"/>
          <w:sz w:val="24"/>
          <w:szCs w:val="24"/>
          <w:highlight w:val="none"/>
          <w:lang w:val="en-US" w:eastAsia="zh-CN"/>
        </w:rPr>
        <w:t>8.5</w:t>
      </w:r>
      <w:r>
        <w:rPr>
          <w:rFonts w:hint="eastAsia" w:ascii="Times New Roman" w:hAnsi="Times New Roman" w:cs="Times New Roman"/>
          <w:sz w:val="24"/>
          <w:szCs w:val="24"/>
          <w:highlight w:val="none"/>
        </w:rPr>
        <w:t xml:space="preserve"> </w:t>
      </w:r>
      <w:r>
        <w:rPr>
          <w:rFonts w:ascii="Times New Roman" w:hAnsi="Times New Roman" w:cs="Times New Roman"/>
          <w:sz w:val="24"/>
          <w:szCs w:val="24"/>
          <w:highlight w:val="none"/>
          <w14:ligatures w14:val="standardContextual"/>
        </w:rPr>
        <w:t>μ</w:t>
      </w:r>
      <w:r>
        <w:rPr>
          <w:rFonts w:hint="eastAsia" w:ascii="Times New Roman" w:hAnsi="Times New Roman" w:cs="Times New Roman"/>
          <w:sz w:val="24"/>
          <w:szCs w:val="24"/>
          <w:highlight w:val="none"/>
        </w:rPr>
        <w:t xml:space="preserve">g/mL and 50 </w:t>
      </w:r>
      <w:r>
        <w:rPr>
          <w:rFonts w:ascii="Times New Roman" w:hAnsi="Times New Roman" w:cs="Times New Roman"/>
          <w:sz w:val="24"/>
          <w:szCs w:val="24"/>
          <w:highlight w:val="none"/>
          <w14:ligatures w14:val="standardContextual"/>
        </w:rPr>
        <w:t>μ</w:t>
      </w:r>
      <w:r>
        <w:rPr>
          <w:rFonts w:hint="eastAsia" w:ascii="Times New Roman" w:hAnsi="Times New Roman" w:cs="Times New Roman"/>
          <w:sz w:val="24"/>
          <w:szCs w:val="24"/>
          <w:highlight w:val="none"/>
        </w:rPr>
        <w:t xml:space="preserve">g/mL, respectively. </w:t>
      </w:r>
      <w:r>
        <w:rPr>
          <w:rFonts w:ascii="Times New Roman" w:hAnsi="Times New Roman" w:cs="Times New Roman"/>
          <w:sz w:val="24"/>
          <w:szCs w:val="24"/>
          <w:highlight w:val="none"/>
        </w:rPr>
        <w:t>Following i</w:t>
      </w:r>
      <w:r>
        <w:rPr>
          <w:rFonts w:ascii="Times New Roman" w:hAnsi="Times New Roman" w:cs="Times New Roman"/>
          <w:sz w:val="24"/>
          <w:szCs w:val="24"/>
        </w:rPr>
        <w:t>ncubation, cells that migrated through the membrane were fixed with 4% paraformaldehyde, stained with 0.5% crystal violet, photographed using an inverted microscope, and quantified using ImageJ software.</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EdU Cell Proliferation Experiment</w:t>
      </w:r>
    </w:p>
    <w:p>
      <w:pPr>
        <w:spacing w:line="480" w:lineRule="auto"/>
        <w:rPr>
          <w:rFonts w:ascii="Times New Roman" w:hAnsi="Times New Roman" w:cs="Times New Roman"/>
          <w:sz w:val="24"/>
          <w:szCs w:val="24"/>
        </w:rPr>
      </w:pPr>
      <w:r>
        <w:rPr>
          <w:rFonts w:ascii="Times New Roman" w:hAnsi="Times New Roman" w:cs="Times New Roman"/>
          <w:sz w:val="24"/>
          <w:szCs w:val="24"/>
        </w:rPr>
        <w:t>Hepa1-6 cells were seeded in 48-well plates at a density of 2 × 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 per well. After allowing sufficient time for cell attachment, the cells were subjected to various treatments and incubated for 24 hours. Cell proliferation was then assessed using an EdU kit according to the manufacturer’s instructions. The cells were fixed with 4% paraformaldehyde, and EdU reagent was used to label proliferating cells, while Hoechst 33342 (10 μg/mL) was used to stain the nuclei. Stained cells were imaged using an inverted fluorescence microscope. The number of EdU-positive cells was quantified using ImageJ software to evaluate cell proliferation under different treatment conditions.</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TUNEL Staining Analysis</w:t>
      </w:r>
    </w:p>
    <w:p>
      <w:pPr>
        <w:spacing w:line="480" w:lineRule="auto"/>
        <w:rPr>
          <w:rFonts w:ascii="Times New Roman" w:hAnsi="Times New Roman" w:cs="Times New Roman"/>
          <w:sz w:val="24"/>
          <w:szCs w:val="24"/>
        </w:rPr>
      </w:pPr>
      <w:r>
        <w:rPr>
          <w:rFonts w:ascii="Times New Roman" w:hAnsi="Times New Roman" w:cs="Times New Roman"/>
          <w:sz w:val="24"/>
          <w:szCs w:val="24"/>
        </w:rPr>
        <w:t>Hepa1-6 cells were seeded in 24-well plates and allowed to adhere for 24 hours. Following this incubation period, the cells were subjected to various treatments as per the experimental design. After treatment, the cells were washed with PBS, fixed with 4% paraformaldehyde for 30 minutes, and permeabilized with 0.3% Triton X-100 in PBS. Subsequently, 100 μL of TUNEL assay solution was added to each well. The cells were then incubated at 37°C in the dark for 1 hour, followed by three washes with PBS to remove any unbound reagents. Apoptotic cells were visualized, and photographed using an inverted fluorescence microscope.</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Immunofluorescence Staining</w:t>
      </w:r>
    </w:p>
    <w:p>
      <w:pPr>
        <w:spacing w:line="480" w:lineRule="auto"/>
        <w:rPr>
          <w:rFonts w:ascii="Times New Roman" w:hAnsi="Times New Roman" w:cs="Times New Roman"/>
          <w:sz w:val="24"/>
          <w:szCs w:val="24"/>
        </w:rPr>
      </w:pPr>
      <w:r>
        <w:rPr>
          <w:rFonts w:ascii="Times New Roman" w:hAnsi="Times New Roman" w:cs="Times New Roman"/>
          <w:sz w:val="24"/>
          <w:szCs w:val="24"/>
        </w:rPr>
        <w:t>Hepa1-6 cells were seeded in 24-well plates and cultured for 24 hours. Following this incubation period,</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 cells were subjected to the specified treatments. After treatment, the cells were washed with PBS, fixed with 4% paraformaldehyde for 30 minutes, and blocked with QuickBlock™ immunostaining blocking solution (Beyotime, cat. no. P0260) for 15 minutes. The cells were then incubated overnight at 4°C with primary antibodies. Following primary antibody incubation, cells were treated with Cy3-conjugated secondary antibodies at room temperature for 1 hour. Nuclei were stained with Hoechst 33342 (10 μg/mL) for 10 minutes. Fluorescence images were captured using confocal microscopy, and relative fluorescence intensity was semi-quantified using ImageJ software</w:t>
      </w:r>
      <w:r>
        <w:rPr>
          <w:rFonts w:hint="eastAsia" w:ascii="Times New Roman" w:hAnsi="Times New Roman" w:cs="Times New Roman"/>
          <w:sz w:val="24"/>
          <w:szCs w:val="24"/>
        </w:rPr>
        <w:t>.</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Colony Formation Assay</w:t>
      </w:r>
    </w:p>
    <w:p>
      <w:pPr>
        <w:spacing w:line="480" w:lineRule="auto"/>
        <w:rPr>
          <w:rFonts w:ascii="Times New Roman" w:hAnsi="Times New Roman" w:cs="Times New Roman"/>
          <w:sz w:val="24"/>
          <w:szCs w:val="24"/>
        </w:rPr>
      </w:pPr>
      <w:r>
        <w:rPr>
          <w:rFonts w:ascii="Times New Roman" w:hAnsi="Times New Roman" w:cs="Times New Roman"/>
          <w:sz w:val="24"/>
          <w:szCs w:val="24"/>
        </w:rPr>
        <w:t>For the colony formation assay, Hepa1-6 cells were seeded in 6-well plates at a density of 500 cells per well and cultured in complete growth medium at 37°C for 14 days. After incubation, colonies were fixed with 4% paraformaldehyde, stained with 0.5% crystal violet, and then counted using ImageJ software.</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Wound-Healing Assays</w:t>
      </w:r>
    </w:p>
    <w:p>
      <w:pPr>
        <w:spacing w:line="480" w:lineRule="auto"/>
        <w:rPr>
          <w:rFonts w:ascii="Times New Roman" w:hAnsi="Times New Roman" w:cs="Times New Roman"/>
          <w:sz w:val="24"/>
          <w:szCs w:val="24"/>
        </w:rPr>
      </w:pPr>
      <w:r>
        <w:rPr>
          <w:rFonts w:ascii="Times New Roman" w:hAnsi="Times New Roman" w:cs="Times New Roman"/>
          <w:sz w:val="24"/>
          <w:szCs w:val="24"/>
        </w:rPr>
        <w:t>For wound healing evaluation, Hepa1-6 cells were seeded in 6-well plates and cultured until reaching 85% confluence. A standardized wound was created in the cell monolayer by scraping with a 10 μL pipette tip. Following the wound creation, cells were washed twice with PBS and cultured in serum-free medium. Wound closure was monitored under an inverted microscope at 0, 24, and 48 hours. The gap area filled by cells was analyzed and measured using ImageJ software.</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Western Blot Assay</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Protein samples for Western blotting were extracted from mice tumor tissues at the end of the treatment period. Tumor tissues were first homogenized using RIPA lysis buffer supplemented with protease and phosphatase inhibitors. Protein concentrations were determined with a microvolume UV-Vis spectrophotometer (Thermo Scientific™ NanoDrop™ One, USA). Equal amounts of protein (25-50 μg) from each sample were resolved on a PAGE gel, subjected to electrophoresis at 200 V for 30 minutes, and transferred to a PVDF membrane at 400 mA for 25-50 minutes. The membrane was blocked with QuickBlock™ blocking buffer for 30 minutes and then incubated overnight at 4°C with primary antibodies. Following primary antibody incubation, the membrane was washed and incubated with fluorescent secondary antibodies conjugated with DyLight™ 680, protected from light. β-actin was used as a loading control. Protein expression was visualized using an Odyssey DLx near-infrared dual-color laser imaging system (Gene Company Limited, China) and semi-quantified using </w:t>
      </w:r>
      <w:r>
        <w:rPr>
          <w:rFonts w:hint="eastAsia" w:ascii="Times New Roman" w:hAnsi="Times New Roman" w:cs="Times New Roman"/>
          <w:sz w:val="24"/>
          <w:szCs w:val="24"/>
          <w:lang w:val="en-US" w:eastAsia="zh-CN"/>
        </w:rPr>
        <w:t>I</w:t>
      </w:r>
      <w:r>
        <w:rPr>
          <w:rFonts w:hint="eastAsia" w:ascii="Times New Roman" w:hAnsi="Times New Roman" w:cs="Times New Roman"/>
          <w:sz w:val="24"/>
          <w:szCs w:val="24"/>
        </w:rPr>
        <w:t xml:space="preserve">mage </w:t>
      </w:r>
      <w:r>
        <w:rPr>
          <w:rFonts w:hint="eastAsia" w:ascii="Times New Roman" w:hAnsi="Times New Roman" w:cs="Times New Roman"/>
          <w:sz w:val="24"/>
          <w:szCs w:val="24"/>
          <w:lang w:val="en-US" w:eastAsia="zh-CN"/>
        </w:rPr>
        <w:t>S</w:t>
      </w:r>
      <w:r>
        <w:rPr>
          <w:rFonts w:hint="eastAsia" w:ascii="Times New Roman" w:hAnsi="Times New Roman" w:cs="Times New Roman"/>
          <w:sz w:val="24"/>
          <w:szCs w:val="24"/>
        </w:rPr>
        <w:t>tudio</w:t>
      </w:r>
      <w:r>
        <w:rPr>
          <w:rFonts w:hint="eastAsia" w:ascii="Times New Roman" w:hAnsi="Times New Roman" w:cs="Times New Roman"/>
          <w:sz w:val="24"/>
          <w:szCs w:val="24"/>
          <w:lang w:val="en-US" w:eastAsia="zh-CN"/>
        </w:rPr>
        <w:t>V</w:t>
      </w:r>
      <w:r>
        <w:rPr>
          <w:rFonts w:ascii="Times New Roman" w:hAnsi="Times New Roman" w:cs="Times New Roman"/>
          <w:sz w:val="24"/>
          <w:szCs w:val="24"/>
        </w:rPr>
        <w:t>er</w:t>
      </w:r>
      <w:r>
        <w:rPr>
          <w:rFonts w:hint="eastAsia" w:ascii="Times New Roman" w:hAnsi="Times New Roman" w:cs="Times New Roman"/>
          <w:sz w:val="24"/>
          <w:szCs w:val="24"/>
          <w:lang w:val="en-US" w:eastAsia="zh-CN"/>
        </w:rPr>
        <w:t xml:space="preserve"> 5.2</w:t>
      </w:r>
      <w:r>
        <w:rPr>
          <w:rFonts w:ascii="Times New Roman" w:hAnsi="Times New Roman" w:cs="Times New Roman"/>
          <w:sz w:val="24"/>
          <w:szCs w:val="24"/>
        </w:rPr>
        <w:t>.</w:t>
      </w:r>
    </w:p>
    <w:p>
      <w:pPr>
        <w:spacing w:line="480" w:lineRule="auto"/>
        <w:rPr>
          <w:rFonts w:ascii="Times New Roman" w:hAnsi="Times New Roman" w:cs="Times New Roman"/>
          <w:sz w:val="28"/>
          <w:szCs w:val="28"/>
        </w:rPr>
      </w:pPr>
      <w:r>
        <w:rPr>
          <w:rFonts w:ascii="Times New Roman" w:hAnsi="Times New Roman" w:cs="Times New Roman"/>
          <w:b/>
          <w:bCs/>
          <w:i/>
          <w:iCs/>
          <w:sz w:val="28"/>
          <w:szCs w:val="28"/>
        </w:rPr>
        <w:t>In Vivo</w:t>
      </w:r>
      <w:r>
        <w:rPr>
          <w:rFonts w:ascii="Times New Roman" w:hAnsi="Times New Roman" w:cs="Times New Roman"/>
          <w:b/>
          <w:bCs/>
          <w:sz w:val="28"/>
          <w:szCs w:val="28"/>
        </w:rPr>
        <w:t xml:space="preserve"> Fluorescence Imaging of Tumors</w:t>
      </w:r>
    </w:p>
    <w:p>
      <w:pPr>
        <w:spacing w:line="480" w:lineRule="auto"/>
        <w:rPr>
          <w:rFonts w:ascii="Times New Roman" w:hAnsi="Times New Roman" w:cs="Times New Roman"/>
          <w:sz w:val="24"/>
          <w:szCs w:val="24"/>
        </w:rPr>
      </w:pPr>
      <w:r>
        <w:rPr>
          <w:rFonts w:ascii="Times New Roman" w:hAnsi="Times New Roman" w:cs="Times New Roman"/>
          <w:sz w:val="24"/>
          <w:szCs w:val="24"/>
        </w:rPr>
        <w:t>Five-week-old tumor-bearing C57BL/6 mice were randomly assigned to two groups and intravenously injected via the tail vein with Cy5.5 or Cy5.5-labeled MQ (1 mg/mL, 100 μL). Fluorescence images were acquired at 0, 1, 2, 4, 6, 8, 12, and 24 hours using an infrared imaging system. At the end of the experiment, major organs including the heart, liver, spleen, lungs, kidneys, and tumor tissues were collected for in vitro fluorescence imaging.</w:t>
      </w:r>
    </w:p>
    <w:p>
      <w:pPr>
        <w:spacing w:line="480" w:lineRule="auto"/>
        <w:rPr>
          <w:rFonts w:ascii="Times New Roman" w:hAnsi="Times New Roman" w:cs="Times New Roman"/>
          <w:sz w:val="28"/>
          <w:szCs w:val="28"/>
        </w:rPr>
      </w:pPr>
      <w:r>
        <w:rPr>
          <w:rFonts w:ascii="Times New Roman" w:hAnsi="Times New Roman" w:cs="Times New Roman"/>
          <w:b/>
          <w:bCs/>
          <w:sz w:val="28"/>
          <w:szCs w:val="28"/>
        </w:rPr>
        <w:t>Cytokine Detection</w:t>
      </w:r>
    </w:p>
    <w:p>
      <w:pPr>
        <w:spacing w:line="480" w:lineRule="auto"/>
        <w:rPr>
          <w:rFonts w:ascii="Times New Roman" w:hAnsi="Times New Roman" w:cs="Times New Roman"/>
          <w:sz w:val="24"/>
          <w:szCs w:val="24"/>
          <w:highlight w:val="none"/>
        </w:rPr>
      </w:pPr>
      <w:r>
        <w:rPr>
          <w:rFonts w:ascii="Times New Roman" w:hAnsi="Times New Roman" w:cs="Times New Roman"/>
          <w:sz w:val="24"/>
          <w:szCs w:val="24"/>
        </w:rPr>
        <w:t xml:space="preserve">Venous blood was collected from the orbital plexus of mice following treatment. The blood samples were allowed to clot for 60 minutes and subsequently centrifuged at 3000 rpm for 10 minutes. </w:t>
      </w:r>
      <w:r>
        <w:rPr>
          <w:rFonts w:ascii="Times New Roman" w:hAnsi="Times New Roman" w:cs="Times New Roman"/>
          <w:sz w:val="24"/>
          <w:szCs w:val="24"/>
          <w:highlight w:val="none"/>
        </w:rPr>
        <w:t>The resulting serum was analyzed for cytokine levels (TNF-α, IL-6, IFN-γ, IFN-β</w:t>
      </w:r>
      <w:r>
        <w:rPr>
          <w:rFonts w:hint="eastAsia" w:ascii="Times New Roman" w:hAnsi="Times New Roman" w:cs="Times New Roman"/>
          <w:sz w:val="24"/>
          <w:szCs w:val="24"/>
          <w:highlight w:val="none"/>
        </w:rPr>
        <w:t>, cGAMP</w:t>
      </w:r>
      <w:r>
        <w:rPr>
          <w:rFonts w:ascii="Times New Roman" w:hAnsi="Times New Roman" w:cs="Times New Roman"/>
          <w:sz w:val="24"/>
          <w:szCs w:val="24"/>
          <w:highlight w:val="none"/>
        </w:rPr>
        <w:t>) using ELISA kits, according to the manufacturer's instructions.</w:t>
      </w:r>
    </w:p>
    <w:p>
      <w:pPr>
        <w:spacing w:line="480" w:lineRule="auto"/>
        <w:rPr>
          <w:rFonts w:ascii="Times New Roman" w:hAnsi="Times New Roman" w:cs="Times New Roman"/>
          <w:sz w:val="28"/>
          <w:szCs w:val="28"/>
        </w:rPr>
      </w:pPr>
      <w:r>
        <w:rPr>
          <w:rFonts w:ascii="Times New Roman" w:hAnsi="Times New Roman" w:cs="Times New Roman"/>
          <w:b/>
          <w:bCs/>
          <w:sz w:val="28"/>
          <w:szCs w:val="28"/>
        </w:rPr>
        <w:t>Hemolytic Test</w:t>
      </w:r>
      <w:r>
        <w:rPr>
          <w:rFonts w:ascii="Times New Roman" w:hAnsi="Times New Roman" w:cs="Times New Roman"/>
          <w:sz w:val="28"/>
          <w:szCs w:val="28"/>
        </w:rPr>
        <w:t xml:space="preserve"> </w:t>
      </w:r>
    </w:p>
    <w:p>
      <w:pPr>
        <w:spacing w:line="480" w:lineRule="auto"/>
        <w:rPr>
          <w:rFonts w:ascii="Times New Roman" w:hAnsi="Times New Roman" w:cs="Times New Roman"/>
          <w:sz w:val="24"/>
          <w:szCs w:val="24"/>
        </w:rPr>
      </w:pPr>
      <w:r>
        <w:rPr>
          <w:rFonts w:ascii="Times New Roman" w:hAnsi="Times New Roman" w:cs="Times New Roman"/>
          <w:sz w:val="24"/>
          <w:szCs w:val="24"/>
        </w:rPr>
        <w:t>Blood samples from mice were incubated with various concentrations of MQ (0, 25, 50, 100, 150, 200 μg/mL), with PBS and distilled water used as negative and positive controls, respectively. The samples were then centrifuged at 3500 rpm for 10 minutes. The absorbance of the supernatant at 540 nm was measured using a microplate reader. The hemolysis rate was calculated using the formula: Hemolysis rate (%) = (A - A0) / (A∞ - A0) × 100%, where A denotes the absorbance of the MQ-treated samples, A0 is the absorbance of the PBS control, and A∞ is the absorbance of the distilled water.</w:t>
      </w: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Biological safety evaluation</w:t>
      </w:r>
    </w:p>
    <w:p>
      <w:pPr>
        <w:spacing w:line="480" w:lineRule="auto"/>
        <w:rPr>
          <w:rFonts w:ascii="Times New Roman" w:hAnsi="Times New Roman" w:cs="Times New Roman"/>
          <w:b/>
          <w:bCs/>
          <w:i/>
          <w:iCs/>
          <w:sz w:val="28"/>
          <w:szCs w:val="28"/>
        </w:rPr>
      </w:pPr>
      <w:r>
        <w:rPr>
          <w:rFonts w:ascii="Times New Roman" w:hAnsi="Times New Roman" w:cs="Times New Roman"/>
          <w:sz w:val="24"/>
          <w:szCs w:val="24"/>
        </w:rPr>
        <w:t>To assess the biosafety of the MQ activator, healthy C57BL/6 mice (n=3) were administered MQ at a dose of 5 mg/kg. After a 2-week period, the mice were euthanized, and blood samples were collected for routine hematological and biochemical analysis. This included tests for liver and kidney function (ALT, AST, UREA, LDH1, CREA, total bilirubin), as well as white blood cell count, red blood cell count, platelet count, and other relevant parameters. Additionally, following treatment of Hepa1-6 tumor-bearing mice, these mice were euthanized, and major organs were collected. The organs were fixed in 4% formalin and subjected to hematoxylin and eosin (H&amp;E) staining for histopathological examination.</w:t>
      </w:r>
    </w:p>
    <w:p>
      <w:pPr>
        <w:spacing w:line="480" w:lineRule="auto"/>
        <w:rPr>
          <w:rFonts w:ascii="Times New Roman" w:hAnsi="Times New Roman" w:cs="Times New Roman"/>
          <w:b/>
          <w:bCs/>
          <w:sz w:val="28"/>
          <w:szCs w:val="28"/>
        </w:rPr>
      </w:pPr>
      <w:r>
        <w:rPr>
          <w:rFonts w:ascii="Times New Roman" w:hAnsi="Times New Roman" w:cs="Times New Roman"/>
          <w:b/>
          <w:bCs/>
          <w:i/>
          <w:iCs/>
          <w:sz w:val="28"/>
          <w:szCs w:val="28"/>
        </w:rPr>
        <w:t>Supplementary Figures</w:t>
      </w:r>
      <w:r>
        <w:rPr>
          <w:rFonts w:ascii="Times New Roman" w:hAnsi="Times New Roman" w:cs="Times New Roman"/>
          <w:b/>
          <w:bCs/>
          <w:sz w:val="28"/>
          <w:szCs w:val="28"/>
        </w:rPr>
        <w:t xml:space="preserve"> </w:t>
      </w:r>
    </w:p>
    <w:p>
      <w:pPr>
        <w:jc w:val="center"/>
        <w:rPr>
          <w:rFonts w:ascii="Times New Roman" w:hAnsi="Times New Roman" w:cs="Times New Roman"/>
          <w:sz w:val="28"/>
          <w:szCs w:val="28"/>
        </w:rPr>
      </w:pPr>
    </w:p>
    <w:p>
      <w:pPr>
        <w:jc w:val="center"/>
        <w:rPr>
          <w:rFonts w:ascii="Times New Roman" w:hAnsi="Times New Roman" w:cs="Times New Roman"/>
          <w:sz w:val="28"/>
          <w:szCs w:val="28"/>
        </w:rPr>
      </w:pPr>
      <w:r>
        <w:rPr>
          <w:rFonts w:hint="eastAsia" w:ascii="Times New Roman" w:hAnsi="Times New Roman" w:cs="Times New Roman"/>
          <w:sz w:val="28"/>
          <w:szCs w:val="28"/>
        </w:rPr>
        <w:drawing>
          <wp:inline distT="0" distB="0" distL="114300" distR="114300">
            <wp:extent cx="4303395" cy="2517775"/>
            <wp:effectExtent l="0" t="0" r="1905" b="6350"/>
            <wp:docPr id="1" name="图片 1" descr="C:\Users\16277\Desktop\quercetin\最终排版20250206\SI\S1.jp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16277\Desktop\quercetin\最终排版20250206\SI\S1.jpgS1"/>
                    <pic:cNvPicPr>
                      <a:picLocks noChangeAspect="1"/>
                    </pic:cNvPicPr>
                  </pic:nvPicPr>
                  <pic:blipFill>
                    <a:blip r:embed="rId4"/>
                    <a:srcRect/>
                    <a:stretch>
                      <a:fillRect/>
                    </a:stretch>
                  </pic:blipFill>
                  <pic:spPr>
                    <a:xfrm>
                      <a:off x="0" y="0"/>
                      <a:ext cx="4303395" cy="2517775"/>
                    </a:xfrm>
                    <a:prstGeom prst="rect">
                      <a:avLst/>
                    </a:prstGeom>
                  </pic:spPr>
                </pic:pic>
              </a:graphicData>
            </a:graphic>
          </wp:inline>
        </w:drawing>
      </w:r>
    </w:p>
    <w:p>
      <w:pPr>
        <w:spacing w:line="480" w:lineRule="auto"/>
        <w:rPr>
          <w:rFonts w:hint="eastAsia" w:ascii="Times New Roman" w:hAnsi="Times New Roman" w:cs="Times New Roman"/>
          <w:sz w:val="24"/>
          <w:szCs w:val="24"/>
        </w:rPr>
      </w:pPr>
      <w:r>
        <w:rPr>
          <w:rFonts w:hint="eastAsia" w:ascii="Times New Roman" w:hAnsi="Times New Roman" w:cs="Times New Roman"/>
          <w:b/>
          <w:bCs/>
          <w:sz w:val="24"/>
          <w:szCs w:val="24"/>
        </w:rPr>
        <w:t xml:space="preserve">Figure S1. </w:t>
      </w:r>
      <w:r>
        <w:rPr>
          <w:rFonts w:hint="eastAsia" w:ascii="Times New Roman" w:hAnsi="Times New Roman" w:cs="Times New Roman"/>
          <w:sz w:val="24"/>
          <w:szCs w:val="24"/>
        </w:rPr>
        <w:t>The representative real-time thermographic images of MQ at different concentrations over time under 808 nm laser irradiation (1 W/cm</w:t>
      </w:r>
      <w:r>
        <w:rPr>
          <w:rFonts w:hint="eastAsia" w:ascii="Times New Roman" w:hAnsi="Times New Roman" w:cs="Times New Roman"/>
          <w:sz w:val="24"/>
          <w:szCs w:val="24"/>
          <w:vertAlign w:val="superscript"/>
        </w:rPr>
        <w:t>2</w:t>
      </w:r>
      <w:r>
        <w:rPr>
          <w:rFonts w:hint="eastAsia" w:ascii="Times New Roman" w:hAnsi="Times New Roman" w:cs="Times New Roman"/>
          <w:sz w:val="24"/>
          <w:szCs w:val="24"/>
        </w:rPr>
        <w:t>).</w:t>
      </w:r>
    </w:p>
    <w:p>
      <w:pPr>
        <w:spacing w:line="480" w:lineRule="auto"/>
        <w:rPr>
          <w:rFonts w:hint="eastAsia" w:ascii="Times New Roman" w:hAnsi="Times New Roman" w:cs="Times New Roman"/>
          <w:sz w:val="24"/>
          <w:szCs w:val="24"/>
        </w:rPr>
      </w:pPr>
    </w:p>
    <w:p>
      <w:pPr>
        <w:jc w:val="center"/>
        <w:rPr>
          <w:rFonts w:hint="eastAsia"/>
        </w:rPr>
      </w:pPr>
      <w:r>
        <w:rPr>
          <w:rFonts w:hint="eastAsia"/>
        </w:rPr>
        <w:drawing>
          <wp:inline distT="0" distB="0" distL="114300" distR="114300">
            <wp:extent cx="2506345" cy="2134235"/>
            <wp:effectExtent l="0" t="0" r="8255" b="8890"/>
            <wp:docPr id="2" name="图片 2" descr="C:\Users\16277\Desktop\quercetin\最终排版20250206\SI\S2.jp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16277\Desktop\quercetin\最终排版20250206\SI\S2.jpgS2"/>
                    <pic:cNvPicPr>
                      <a:picLocks noChangeAspect="1"/>
                    </pic:cNvPicPr>
                  </pic:nvPicPr>
                  <pic:blipFill>
                    <a:blip r:embed="rId5"/>
                    <a:srcRect/>
                    <a:stretch>
                      <a:fillRect/>
                    </a:stretch>
                  </pic:blipFill>
                  <pic:spPr>
                    <a:xfrm>
                      <a:off x="0" y="0"/>
                      <a:ext cx="2506345" cy="2134235"/>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2</w:t>
      </w:r>
      <w:r>
        <w:rPr>
          <w:rFonts w:hint="eastAsia" w:ascii="Times New Roman" w:hAnsi="Times New Roman" w:cs="Times New Roman"/>
          <w:b/>
          <w:bCs/>
          <w:sz w:val="24"/>
          <w:szCs w:val="24"/>
          <w:highlight w:val="none"/>
        </w:rPr>
        <w:t>.</w:t>
      </w:r>
      <w:r>
        <w:rPr>
          <w:rFonts w:hint="eastAsia"/>
          <w:highlight w:val="none"/>
        </w:rPr>
        <w:t xml:space="preserve"> </w:t>
      </w:r>
      <w:r>
        <w:rPr>
          <w:rFonts w:hint="eastAsia" w:ascii="Times New Roman" w:hAnsi="Times New Roman" w:cs="Times New Roman"/>
          <w:sz w:val="24"/>
          <w:szCs w:val="24"/>
        </w:rPr>
        <w:t>The levels of reactive oxygen species (ROS) generated in Hepa1-6 cells following various treatments were subjected to semi-quantitative analysis.</w:t>
      </w:r>
      <w:r>
        <w:rPr>
          <w:rFonts w:ascii="Times New Roman" w:hAnsi="Times New Roman" w:eastAsia="楷体" w:cs="Times New Roman"/>
          <w:sz w:val="24"/>
          <w:szCs w:val="24"/>
          <w14:ligatures w14:val="none"/>
        </w:rPr>
        <w:t xml:space="preserve"> </w:t>
      </w:r>
      <w:r>
        <w:rPr>
          <w:rFonts w:ascii="Times New Roman" w:hAnsi="Times New Roman" w:cs="Times New Roman"/>
          <w:sz w:val="24"/>
          <w:szCs w:val="24"/>
        </w:rPr>
        <w:t xml:space="preserve">Data </w:t>
      </w:r>
      <w:r>
        <w:rPr>
          <w:rFonts w:hint="eastAsia" w:ascii="Times New Roman" w:hAnsi="Times New Roman" w:cs="Times New Roman"/>
          <w:sz w:val="24"/>
          <w:szCs w:val="24"/>
        </w:rPr>
        <w:t>were</w:t>
      </w:r>
      <w:r>
        <w:rPr>
          <w:rFonts w:ascii="Times New Roman" w:hAnsi="Times New Roman" w:cs="Times New Roman"/>
          <w:sz w:val="24"/>
          <w:szCs w:val="24"/>
        </w:rPr>
        <w:t xml:space="preserve"> expressed as mean</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SD (n=3). Differences between groups were assessed using one-way ANOVA. Statistical significance </w:t>
      </w:r>
      <w:r>
        <w:rPr>
          <w:rFonts w:hint="eastAsia" w:ascii="Times New Roman" w:hAnsi="Times New Roman" w:cs="Times New Roman"/>
          <w:sz w:val="24"/>
          <w:szCs w:val="24"/>
        </w:rPr>
        <w:t>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b w:val="0"/>
          <w:bCs w:val="0"/>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hint="eastAsia"/>
        </w:rPr>
      </w:pPr>
      <w:r>
        <w:rPr>
          <w:rFonts w:hint="eastAsia"/>
        </w:rPr>
        <w:drawing>
          <wp:inline distT="0" distB="0" distL="114300" distR="114300">
            <wp:extent cx="3059430" cy="2491740"/>
            <wp:effectExtent l="0" t="0" r="7620" b="3810"/>
            <wp:docPr id="3" name="图片 3" descr="C:\Users\16277\Desktop\quercetin\最终排版20250206\SI\S3.jp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16277\Desktop\quercetin\最终排版20250206\SI\S3.jpgS3"/>
                    <pic:cNvPicPr>
                      <a:picLocks noChangeAspect="1"/>
                    </pic:cNvPicPr>
                  </pic:nvPicPr>
                  <pic:blipFill>
                    <a:blip r:embed="rId6"/>
                    <a:srcRect/>
                    <a:stretch>
                      <a:fillRect/>
                    </a:stretch>
                  </pic:blipFill>
                  <pic:spPr>
                    <a:xfrm>
                      <a:off x="0" y="0"/>
                      <a:ext cx="3059430" cy="2491740"/>
                    </a:xfrm>
                    <a:prstGeom prst="rect">
                      <a:avLst/>
                    </a:prstGeom>
                  </pic:spPr>
                </pic:pic>
              </a:graphicData>
            </a:graphic>
          </wp:inline>
        </w:drawing>
      </w:r>
    </w:p>
    <w:p>
      <w:pPr>
        <w:spacing w:line="480" w:lineRule="auto"/>
        <w:rPr>
          <w:rFonts w:hint="eastAsia" w:ascii="Times New Roman" w:hAnsi="Times New Roman" w:cs="Times New Roman"/>
          <w:sz w:val="24"/>
          <w:szCs w:val="24"/>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3</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highlight w:val="none"/>
          <w:lang w:val="en-US" w:eastAsia="zh-CN"/>
        </w:rPr>
        <w:t xml:space="preserve"> </w:t>
      </w:r>
      <w:r>
        <w:rPr>
          <w:rFonts w:hint="eastAsia" w:ascii="Times New Roman" w:hAnsi="Times New Roman" w:cs="Times New Roman"/>
          <w:sz w:val="24"/>
          <w:szCs w:val="24"/>
        </w:rPr>
        <w:t>A semi-quantitative analysis of ROS levels from FCM for different treatment groups.</w:t>
      </w:r>
      <w:r>
        <w:rPr>
          <w:rFonts w:ascii="Times New Roman" w:hAnsi="Times New Roman" w:cs="Times New Roman"/>
          <w:sz w:val="24"/>
          <w:szCs w:val="24"/>
        </w:rPr>
        <w:t xml:space="preserve"> Data </w:t>
      </w:r>
      <w:r>
        <w:rPr>
          <w:rFonts w:hint="eastAsia" w:ascii="Times New Roman" w:hAnsi="Times New Roman" w:cs="Times New Roman"/>
          <w:sz w:val="24"/>
          <w:szCs w:val="24"/>
        </w:rPr>
        <w:t>were</w:t>
      </w:r>
      <w:r>
        <w:rPr>
          <w:rFonts w:ascii="Times New Roman" w:hAnsi="Times New Roman" w:cs="Times New Roman"/>
          <w:sz w:val="24"/>
          <w:szCs w:val="24"/>
        </w:rPr>
        <w:t xml:space="preserve"> expressed as mean</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SD (n=3). Differences between groups were analyzed using one-way ANOVA. Statistical significance </w:t>
      </w:r>
      <w:r>
        <w:rPr>
          <w:rFonts w:hint="eastAsia" w:ascii="Times New Roman" w:hAnsi="Times New Roman" w:cs="Times New Roman"/>
          <w:sz w:val="24"/>
          <w:szCs w:val="24"/>
        </w:rPr>
        <w:t xml:space="preserve">was </w:t>
      </w:r>
      <w:r>
        <w:rPr>
          <w:rFonts w:ascii="Times New Roman" w:hAnsi="Times New Roman" w:cs="Times New Roman"/>
          <w:sz w:val="24"/>
          <w:szCs w:val="24"/>
        </w:rPr>
        <w:t>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"ns" indicate</w:t>
      </w:r>
      <w:r>
        <w:rPr>
          <w:rFonts w:hint="eastAsia" w:ascii="Times New Roman" w:hAnsi="Times New Roman" w:cs="Times New Roman"/>
          <w:sz w:val="24"/>
          <w:szCs w:val="24"/>
        </w:rPr>
        <w:t>d</w:t>
      </w:r>
      <w:r>
        <w:rPr>
          <w:rFonts w:ascii="Times New Roman" w:hAnsi="Times New Roman" w:cs="Times New Roman"/>
          <w:sz w:val="24"/>
          <w:szCs w:val="24"/>
        </w:rPr>
        <w:t xml:space="preserve"> no significant difference.</w:t>
      </w:r>
      <w:r>
        <w:rPr>
          <w:rFonts w:hint="eastAsia" w:ascii="Times New Roman" w:hAnsi="Times New Roman" w:cs="Times New Roman"/>
          <w:sz w:val="24"/>
          <w:szCs w:val="24"/>
        </w:rPr>
        <w:t xml:space="preserve"> </w:t>
      </w:r>
    </w:p>
    <w:p>
      <w:pPr>
        <w:spacing w:line="480" w:lineRule="auto"/>
        <w:rPr>
          <w:rFonts w:hint="eastAsia" w:ascii="Times New Roman" w:hAnsi="Times New Roman" w:cs="Times New Roman"/>
          <w:sz w:val="24"/>
          <w:szCs w:val="24"/>
        </w:rPr>
      </w:pPr>
    </w:p>
    <w:p>
      <w:pPr>
        <w:jc w:val="center"/>
        <w:rPr>
          <w:rFonts w:hint="eastAsia"/>
        </w:rPr>
      </w:pPr>
      <w:r>
        <w:rPr>
          <w:rFonts w:hint="eastAsia"/>
        </w:rPr>
        <w:drawing>
          <wp:inline distT="0" distB="0" distL="114300" distR="114300">
            <wp:extent cx="3268980" cy="2673985"/>
            <wp:effectExtent l="0" t="0" r="7620" b="2540"/>
            <wp:docPr id="4" name="图片 4" descr="C:\Users\16277\Desktop\quercetin\最终排版20250206\SI\S4.jp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16277\Desktop\quercetin\最终排版20250206\SI\S4.jpgS4"/>
                    <pic:cNvPicPr>
                      <a:picLocks noChangeAspect="1"/>
                    </pic:cNvPicPr>
                  </pic:nvPicPr>
                  <pic:blipFill>
                    <a:blip r:embed="rId7"/>
                    <a:srcRect/>
                    <a:stretch>
                      <a:fillRect/>
                    </a:stretch>
                  </pic:blipFill>
                  <pic:spPr>
                    <a:xfrm>
                      <a:off x="0" y="0"/>
                      <a:ext cx="3268980" cy="2673985"/>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4</w:t>
      </w:r>
      <w:r>
        <w:rPr>
          <w:rFonts w:hint="eastAsia" w:ascii="Times New Roman" w:hAnsi="Times New Roman" w:cs="Times New Roman"/>
          <w:b/>
          <w:bCs/>
          <w:sz w:val="24"/>
          <w:szCs w:val="24"/>
          <w:highlight w:val="none"/>
        </w:rPr>
        <w:t>.</w:t>
      </w:r>
      <w:r>
        <w:rPr>
          <w:rFonts w:hint="eastAsia"/>
          <w:highlight w:val="none"/>
        </w:rPr>
        <w:t xml:space="preserve"> </w:t>
      </w:r>
      <w:r>
        <w:rPr>
          <w:rFonts w:hint="eastAsia" w:ascii="Times New Roman" w:hAnsi="Times New Roman" w:cs="Times New Roman"/>
          <w:sz w:val="24"/>
          <w:szCs w:val="24"/>
        </w:rPr>
        <w:t>Semi-quantitative analysis of mitochondrial damage based on fluorescence microscopy images.</w:t>
      </w:r>
      <w:r>
        <w:rPr>
          <w:rFonts w:ascii="Times New Roman" w:hAnsi="Times New Roman" w:cs="Times New Roman"/>
          <w:sz w:val="24"/>
          <w:szCs w:val="24"/>
        </w:rPr>
        <w:t xml:space="preserve"> </w:t>
      </w:r>
    </w:p>
    <w:p>
      <w:pPr>
        <w:spacing w:line="480" w:lineRule="auto"/>
        <w:rPr>
          <w:rFonts w:ascii="Times New Roman" w:hAnsi="Times New Roman" w:cs="Times New Roman"/>
          <w:sz w:val="24"/>
          <w:szCs w:val="24"/>
        </w:rPr>
      </w:pPr>
    </w:p>
    <w:p>
      <w:pPr>
        <w:jc w:val="left"/>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5264785" cy="1680845"/>
            <wp:effectExtent l="0" t="0" r="2540" b="5080"/>
            <wp:docPr id="5" name="图片 5" descr="C:\Users\16277\Desktop\quercetin\最终排版20250206\SI\S5.jp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16277\Desktop\quercetin\最终排版20250206\SI\S5.jpgS5"/>
                    <pic:cNvPicPr>
                      <a:picLocks noChangeAspect="1"/>
                    </pic:cNvPicPr>
                  </pic:nvPicPr>
                  <pic:blipFill>
                    <a:blip r:embed="rId8"/>
                    <a:srcRect/>
                    <a:stretch>
                      <a:fillRect/>
                    </a:stretch>
                  </pic:blipFill>
                  <pic:spPr>
                    <a:xfrm>
                      <a:off x="0" y="0"/>
                      <a:ext cx="5264785" cy="1680845"/>
                    </a:xfrm>
                    <a:prstGeom prst="rect">
                      <a:avLst/>
                    </a:prstGeom>
                  </pic:spPr>
                </pic:pic>
              </a:graphicData>
            </a:graphic>
          </wp:inline>
        </w:drawing>
      </w:r>
    </w:p>
    <w:p>
      <w:pPr>
        <w:jc w:val="left"/>
        <w:rPr>
          <w:rFonts w:ascii="Times New Roman" w:hAnsi="Times New Roman" w:cs="Times New Roman"/>
          <w:b/>
          <w:bCs/>
          <w:sz w:val="24"/>
          <w:szCs w:val="24"/>
        </w:rPr>
      </w:pPr>
    </w:p>
    <w:p>
      <w:pPr>
        <w:spacing w:line="480" w:lineRule="auto"/>
        <w:rPr>
          <w:rFonts w:ascii="Times New Roman" w:hAnsi="Times New Roman" w:cs="Times New Roman"/>
          <w:sz w:val="24"/>
          <w:szCs w:val="24"/>
        </w:rPr>
      </w:pPr>
      <w:r>
        <w:rPr>
          <w:rFonts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5</w:t>
      </w:r>
      <w:r>
        <w:rPr>
          <w:rFonts w:ascii="Times New Roman" w:hAnsi="Times New Roman" w:cs="Times New Roman"/>
          <w:b/>
          <w:bCs/>
          <w:sz w:val="24"/>
          <w:szCs w:val="24"/>
          <w:highlight w:val="none"/>
        </w:rPr>
        <w:t xml:space="preserve">. </w:t>
      </w:r>
      <w:r>
        <w:rPr>
          <w:rFonts w:ascii="Times New Roman" w:hAnsi="Times New Roman" w:cs="Times New Roman"/>
          <w:bCs/>
          <w:sz w:val="24"/>
          <w:szCs w:val="24"/>
        </w:rPr>
        <w:t xml:space="preserve">(A) Fluorescence microscopy images depicting EdU staining in Hepa1-6 cells under various treatment conditions. (B) </w:t>
      </w:r>
      <w:r>
        <w:rPr>
          <w:rFonts w:hint="eastAsia" w:ascii="Times New Roman" w:hAnsi="Times New Roman" w:cs="Times New Roman"/>
          <w:bCs/>
          <w:sz w:val="24"/>
          <w:szCs w:val="24"/>
        </w:rPr>
        <w:t>Q</w:t>
      </w:r>
      <w:r>
        <w:rPr>
          <w:rFonts w:ascii="Times New Roman" w:hAnsi="Times New Roman" w:cs="Times New Roman"/>
          <w:bCs/>
          <w:sz w:val="24"/>
          <w:szCs w:val="24"/>
        </w:rPr>
        <w:t xml:space="preserve">uantitative analysis of cell proliferation based on EdU staining. Data were presented as mean ± SD (n=3). Differences between groups were analyzed using one-way ANOVA. Statistical significance </w:t>
      </w:r>
      <w:r>
        <w:rPr>
          <w:rFonts w:hint="eastAsia" w:ascii="Times New Roman" w:hAnsi="Times New Roman" w:cs="Times New Roman"/>
          <w:sz w:val="24"/>
          <w:szCs w:val="24"/>
        </w:rPr>
        <w:t>was</w:t>
      </w:r>
      <w:r>
        <w:rPr>
          <w:rFonts w:ascii="Times New Roman" w:hAnsi="Times New Roman" w:cs="Times New Roman"/>
          <w:bCs/>
          <w:sz w:val="24"/>
          <w:szCs w:val="24"/>
        </w:rPr>
        <w:t xml:space="preserve"> indicated as follows: *</w:t>
      </w:r>
      <w:r>
        <w:rPr>
          <w:rFonts w:hint="eastAsia" w:ascii="Times New Roman" w:hAnsi="Times New Roman" w:cs="Times New Roman"/>
          <w:bCs/>
          <w:i/>
          <w:iCs/>
          <w:sz w:val="24"/>
          <w:szCs w:val="24"/>
        </w:rPr>
        <w:t>p</w:t>
      </w:r>
      <w:r>
        <w:rPr>
          <w:rFonts w:ascii="Times New Roman" w:hAnsi="Times New Roman" w:cs="Times New Roman"/>
          <w:bCs/>
          <w:sz w:val="24"/>
          <w:szCs w:val="24"/>
        </w:rPr>
        <w:t>&lt;0.05, **</w:t>
      </w:r>
      <w:r>
        <w:rPr>
          <w:rFonts w:hint="eastAsia" w:ascii="Times New Roman" w:hAnsi="Times New Roman" w:cs="Times New Roman"/>
          <w:bCs/>
          <w:i/>
          <w:iCs/>
          <w:sz w:val="24"/>
          <w:szCs w:val="24"/>
        </w:rPr>
        <w:t>p</w:t>
      </w:r>
      <w:r>
        <w:rPr>
          <w:rFonts w:ascii="Times New Roman" w:hAnsi="Times New Roman" w:cs="Times New Roman"/>
          <w:bCs/>
          <w:sz w:val="24"/>
          <w:szCs w:val="24"/>
        </w:rPr>
        <w:t>&lt;0.01, ***</w:t>
      </w:r>
      <w:r>
        <w:rPr>
          <w:rFonts w:hint="eastAsia" w:ascii="Times New Roman" w:hAnsi="Times New Roman" w:cs="Times New Roman"/>
          <w:bCs/>
          <w:i/>
          <w:iCs/>
          <w:sz w:val="24"/>
          <w:szCs w:val="24"/>
        </w:rPr>
        <w:t>p</w:t>
      </w:r>
      <w:r>
        <w:rPr>
          <w:rFonts w:ascii="Times New Roman" w:hAnsi="Times New Roman" w:cs="Times New Roman"/>
          <w:bCs/>
          <w:sz w:val="24"/>
          <w:szCs w:val="24"/>
        </w:rPr>
        <w:t>&lt;0.001</w:t>
      </w:r>
      <w:r>
        <w:rPr>
          <w:rFonts w:hint="eastAsia" w:ascii="Times New Roman" w:hAnsi="Times New Roman" w:cs="Times New Roman"/>
          <w:bCs/>
          <w:sz w:val="24"/>
          <w:szCs w:val="24"/>
        </w:rPr>
        <w:t>, ****</w:t>
      </w:r>
      <w:r>
        <w:rPr>
          <w:rFonts w:hint="eastAsia" w:ascii="Times New Roman" w:hAnsi="Times New Roman" w:cs="Times New Roman"/>
          <w:b w:val="0"/>
          <w:bCs/>
          <w:i/>
          <w:iCs/>
          <w:sz w:val="24"/>
          <w:szCs w:val="24"/>
        </w:rPr>
        <w:t>p</w:t>
      </w:r>
      <w:r>
        <w:rPr>
          <w:rFonts w:hint="eastAsia" w:ascii="Times New Roman" w:hAnsi="Times New Roman" w:cs="Times New Roman"/>
          <w:bCs/>
          <w:sz w:val="24"/>
          <w:szCs w:val="24"/>
        </w:rPr>
        <w:t>&lt;0.0001</w:t>
      </w:r>
      <w:r>
        <w:rPr>
          <w:rFonts w:ascii="Times New Roman" w:hAnsi="Times New Roman" w:cs="Times New Roman"/>
          <w:bCs/>
          <w:sz w:val="24"/>
          <w:szCs w:val="24"/>
        </w:rPr>
        <w:t>.</w:t>
      </w:r>
      <w:r>
        <w:rPr>
          <w:rFonts w:hint="eastAsia" w:ascii="Times New Roman" w:hAnsi="Times New Roman" w:cs="Times New Roman"/>
          <w:bCs/>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spacing w:line="480" w:lineRule="auto"/>
        <w:rPr>
          <w:rFonts w:ascii="Times New Roman" w:hAnsi="Times New Roman" w:cs="Times New Roman"/>
          <w:sz w:val="24"/>
          <w:szCs w:val="24"/>
        </w:rPr>
      </w:pPr>
    </w:p>
    <w:p>
      <w:pPr>
        <w:jc w:val="center"/>
        <w:rPr>
          <w:rFonts w:hint="eastAsia"/>
        </w:rPr>
      </w:pPr>
      <w:r>
        <w:rPr>
          <w:rFonts w:hint="eastAsia"/>
        </w:rPr>
        <w:drawing>
          <wp:inline distT="0" distB="0" distL="114300" distR="114300">
            <wp:extent cx="5252085" cy="2265045"/>
            <wp:effectExtent l="0" t="0" r="5715" b="1905"/>
            <wp:docPr id="6" name="图片 6" descr="C:\Users\16277\Desktop\quercetin\最终排版20250206\SI\S6.jp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16277\Desktop\quercetin\最终排版20250206\SI\S6.jpgS6"/>
                    <pic:cNvPicPr>
                      <a:picLocks noChangeAspect="1"/>
                    </pic:cNvPicPr>
                  </pic:nvPicPr>
                  <pic:blipFill>
                    <a:blip r:embed="rId9"/>
                    <a:srcRect/>
                    <a:stretch>
                      <a:fillRect/>
                    </a:stretch>
                  </pic:blipFill>
                  <pic:spPr>
                    <a:xfrm>
                      <a:off x="0" y="0"/>
                      <a:ext cx="5252085" cy="2265045"/>
                    </a:xfrm>
                    <a:prstGeom prst="rect">
                      <a:avLst/>
                    </a:prstGeom>
                  </pic:spPr>
                </pic:pic>
              </a:graphicData>
            </a:graphic>
          </wp:inline>
        </w:drawing>
      </w:r>
    </w:p>
    <w:p>
      <w:pPr>
        <w:jc w:val="center"/>
        <w:rPr>
          <w:rFonts w:hint="eastAsia"/>
        </w:rPr>
      </w:pPr>
    </w:p>
    <w:p>
      <w:pPr>
        <w:spacing w:line="480" w:lineRule="auto"/>
        <w:rPr>
          <w:rFonts w:ascii="Times New Roman" w:hAnsi="Times New Roman" w:cs="Times New Roman"/>
          <w:bCs/>
          <w:sz w:val="24"/>
          <w:szCs w:val="24"/>
        </w:rPr>
      </w:pPr>
      <w:r>
        <w:rPr>
          <w:rFonts w:ascii="Times New Roman" w:hAnsi="Times New Roman" w:cs="Times New Roman"/>
          <w:b/>
          <w:sz w:val="24"/>
          <w:szCs w:val="24"/>
          <w:highlight w:val="none"/>
        </w:rPr>
        <w:t>Figure S</w:t>
      </w:r>
      <w:r>
        <w:rPr>
          <w:rFonts w:hint="eastAsia" w:ascii="Times New Roman" w:hAnsi="Times New Roman" w:cs="Times New Roman"/>
          <w:b/>
          <w:sz w:val="24"/>
          <w:szCs w:val="24"/>
          <w:highlight w:val="none"/>
          <w:lang w:val="en-US" w:eastAsia="zh-CN"/>
        </w:rPr>
        <w:t>6</w:t>
      </w:r>
      <w:r>
        <w:rPr>
          <w:rFonts w:ascii="Times New Roman" w:hAnsi="Times New Roman" w:cs="Times New Roman"/>
          <w:b/>
          <w:sz w:val="24"/>
          <w:szCs w:val="24"/>
          <w:highlight w:val="none"/>
        </w:rPr>
        <w:t xml:space="preserve">. </w:t>
      </w:r>
      <w:r>
        <w:rPr>
          <w:rFonts w:hint="eastAsia" w:ascii="Times New Roman" w:hAnsi="Times New Roman" w:cs="Times New Roman"/>
          <w:bCs/>
          <w:sz w:val="24"/>
          <w:szCs w:val="24"/>
        </w:rPr>
        <w:t xml:space="preserve">The TUNEL </w:t>
      </w:r>
      <w:r>
        <w:rPr>
          <w:rFonts w:hint="eastAsia" w:ascii="Times New Roman" w:hAnsi="Times New Roman" w:cs="Times New Roman"/>
          <w:bCs/>
          <w:sz w:val="24"/>
          <w:szCs w:val="24"/>
          <w:lang w:val="en-US" w:eastAsia="zh-CN"/>
        </w:rPr>
        <w:t>assay</w:t>
      </w:r>
      <w:r>
        <w:rPr>
          <w:rFonts w:hint="eastAsia" w:ascii="Times New Roman" w:hAnsi="Times New Roman" w:cs="Times New Roman"/>
          <w:bCs/>
          <w:sz w:val="24"/>
          <w:szCs w:val="24"/>
        </w:rPr>
        <w:t xml:space="preserve"> was employed to detect apoptotic cells following various treatments. The images obtained from the inverted microscope revealed that apoptotic cells exhibited green fluorescence, while the cell nuclei were stained with Hoechst 33342, displaying blue fluorescence.</w:t>
      </w:r>
    </w:p>
    <w:p>
      <w:pPr>
        <w:jc w:val="center"/>
        <w:rPr>
          <w:rFonts w:hint="eastAsia"/>
        </w:rPr>
      </w:pPr>
      <w:r>
        <w:rPr>
          <w:rFonts w:hint="eastAsia"/>
        </w:rPr>
        <w:drawing>
          <wp:inline distT="0" distB="0" distL="114300" distR="114300">
            <wp:extent cx="3427095" cy="2024380"/>
            <wp:effectExtent l="0" t="0" r="1905" b="4445"/>
            <wp:docPr id="7" name="图片 7" descr="C:\Users\16277\Desktop\quercetin\最终排版20250206\SI\S7.jp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16277\Desktop\quercetin\最终排版20250206\SI\S7.jpgS7"/>
                    <pic:cNvPicPr>
                      <a:picLocks noChangeAspect="1"/>
                    </pic:cNvPicPr>
                  </pic:nvPicPr>
                  <pic:blipFill>
                    <a:blip r:embed="rId10"/>
                    <a:srcRect/>
                    <a:stretch>
                      <a:fillRect/>
                    </a:stretch>
                  </pic:blipFill>
                  <pic:spPr>
                    <a:xfrm>
                      <a:off x="0" y="0"/>
                      <a:ext cx="3427095" cy="2024380"/>
                    </a:xfrm>
                    <a:prstGeom prst="rect">
                      <a:avLst/>
                    </a:prstGeom>
                  </pic:spPr>
                </pic:pic>
              </a:graphicData>
            </a:graphic>
          </wp:inline>
        </w:drawing>
      </w:r>
    </w:p>
    <w:p>
      <w:pPr>
        <w:spacing w:line="480" w:lineRule="auto"/>
        <w:rPr>
          <w:rFonts w:hint="eastAsia"/>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7</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After treating Hepa1-6 cells with different concentrations of MQ, their survival rates under different intensities of near-infrared (NIR) irradiation were observed.</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Data were presented as mean ± SD (n=3). Differences between groups were analyzed using one-way ANOVA. Statistical significance </w:t>
      </w:r>
      <w:r>
        <w:rPr>
          <w:rFonts w:hint="eastAsia" w:ascii="Times New Roman" w:hAnsi="Times New Roman" w:cs="Times New Roman"/>
          <w:sz w:val="24"/>
          <w:szCs w:val="24"/>
        </w:rPr>
        <w:t>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hint="eastAsia"/>
        </w:rPr>
      </w:pPr>
      <w:r>
        <w:rPr>
          <w:rFonts w:hint="eastAsia"/>
        </w:rPr>
        <w:drawing>
          <wp:inline distT="0" distB="0" distL="114300" distR="114300">
            <wp:extent cx="4797425" cy="2141855"/>
            <wp:effectExtent l="0" t="0" r="3175" b="1270"/>
            <wp:docPr id="8" name="图片 8" descr="C:\Users\16277\Desktop\quercetin\最终排版20250206\SI\S8.jpg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16277\Desktop\quercetin\最终排版20250206\SI\S8.jpgS8"/>
                    <pic:cNvPicPr>
                      <a:picLocks noChangeAspect="1"/>
                    </pic:cNvPicPr>
                  </pic:nvPicPr>
                  <pic:blipFill>
                    <a:blip r:embed="rId11"/>
                    <a:srcRect/>
                    <a:stretch>
                      <a:fillRect/>
                    </a:stretch>
                  </pic:blipFill>
                  <pic:spPr>
                    <a:xfrm>
                      <a:off x="0" y="0"/>
                      <a:ext cx="4797425" cy="2141855"/>
                    </a:xfrm>
                    <a:prstGeom prst="rect">
                      <a:avLst/>
                    </a:prstGeom>
                  </pic:spPr>
                </pic:pic>
              </a:graphicData>
            </a:graphic>
          </wp:inline>
        </w:drawing>
      </w:r>
    </w:p>
    <w:p>
      <w:pPr>
        <w:rPr>
          <w:rFonts w:hint="eastAsia"/>
        </w:rPr>
      </w:pP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8</w:t>
      </w:r>
      <w:r>
        <w:rPr>
          <w:rFonts w:hint="eastAsia" w:ascii="Times New Roman" w:hAnsi="Times New Roman" w:cs="Times New Roman"/>
          <w:b/>
          <w:bCs/>
          <w:sz w:val="24"/>
          <w:szCs w:val="24"/>
          <w:highlight w:val="none"/>
        </w:rPr>
        <w:t>.</w:t>
      </w:r>
      <w:r>
        <w:rPr>
          <w:rFonts w:ascii="Times New Roman" w:hAnsi="Times New Roman" w:eastAsia="等线" w:cs="Times New Roman"/>
          <w:sz w:val="24"/>
          <w:szCs w:val="24"/>
          <w:highlight w:val="none"/>
          <w14:ligatures w14:val="none"/>
        </w:rPr>
        <w:t xml:space="preserve"> </w:t>
      </w:r>
      <w:r>
        <w:rPr>
          <w:rFonts w:ascii="Times New Roman" w:hAnsi="Times New Roman" w:eastAsia="等线" w:cs="Times New Roman"/>
          <w:sz w:val="24"/>
          <w:szCs w:val="24"/>
          <w14:ligatures w14:val="none"/>
        </w:rPr>
        <w:t>(A)</w:t>
      </w:r>
      <w:r>
        <w:rPr>
          <w:rFonts w:hint="eastAsia" w:ascii="Times New Roman" w:hAnsi="Times New Roman" w:eastAsia="等线" w:cs="Times New Roman"/>
          <w:sz w:val="24"/>
          <w:szCs w:val="24"/>
          <w:lang w:val="en-US" w:eastAsia="zh-CN"/>
          <w14:ligatures w14:val="none"/>
        </w:rPr>
        <w:t xml:space="preserve"> </w:t>
      </w:r>
      <w:r>
        <w:rPr>
          <w:rFonts w:hint="eastAsia" w:ascii="Times New Roman" w:hAnsi="Times New Roman" w:eastAsia="等线" w:cs="Times New Roman"/>
          <w:sz w:val="24"/>
          <w:szCs w:val="24"/>
          <w14:ligatures w14:val="none"/>
        </w:rPr>
        <w:t xml:space="preserve">Microscopy images and (B) semiquantitative </w:t>
      </w:r>
      <w:r>
        <w:rPr>
          <w:rFonts w:ascii="Times New Roman" w:hAnsi="Times New Roman" w:eastAsia="等线" w:cs="Times New Roman"/>
          <w:sz w:val="24"/>
          <w:szCs w:val="24"/>
          <w14:ligatures w14:val="none"/>
        </w:rPr>
        <w:t>analysis</w:t>
      </w:r>
      <w:r>
        <w:rPr>
          <w:rFonts w:hint="eastAsia" w:ascii="Times New Roman" w:hAnsi="Times New Roman" w:eastAsia="等线" w:cs="Times New Roman"/>
          <w:sz w:val="24"/>
          <w:szCs w:val="24"/>
          <w14:ligatures w14:val="none"/>
        </w:rPr>
        <w:t xml:space="preserve"> of wound healing assay of Hepa1-6 cells with different formulations after</w:t>
      </w:r>
      <w:r>
        <w:rPr>
          <w:rFonts w:hint="eastAsia" w:ascii="Times New Roman" w:hAnsi="Times New Roman" w:eastAsia="等线" w:cs="Times New Roman"/>
          <w:sz w:val="24"/>
          <w:szCs w:val="24"/>
          <w:highlight w:val="none"/>
          <w14:ligatures w14:val="none"/>
        </w:rPr>
        <w:t xml:space="preserve"> </w:t>
      </w:r>
      <w:r>
        <w:rPr>
          <w:rFonts w:hint="eastAsia" w:ascii="Times New Roman" w:hAnsi="Times New Roman" w:eastAsia="等线" w:cs="Times New Roman"/>
          <w:sz w:val="24"/>
          <w:szCs w:val="24"/>
          <w:highlight w:val="none"/>
          <w:lang w:val="en-US" w:eastAsia="zh-CN"/>
          <w14:ligatures w14:val="none"/>
        </w:rPr>
        <w:t>48</w:t>
      </w:r>
      <w:r>
        <w:rPr>
          <w:rFonts w:hint="eastAsia" w:ascii="Times New Roman" w:hAnsi="Times New Roman" w:eastAsia="等线" w:cs="Times New Roman"/>
          <w:sz w:val="24"/>
          <w:szCs w:val="24"/>
          <w:highlight w:val="none"/>
          <w14:ligatures w14:val="none"/>
        </w:rPr>
        <w:t xml:space="preserve"> h</w:t>
      </w:r>
      <w:r>
        <w:rPr>
          <w:rFonts w:hint="eastAsia" w:ascii="Times New Roman" w:hAnsi="Times New Roman" w:eastAsia="等线" w:cs="Times New Roman"/>
          <w:sz w:val="24"/>
          <w:szCs w:val="24"/>
          <w:highlight w:val="none"/>
          <w:lang w:val="en-US" w:eastAsia="zh-CN"/>
          <w14:ligatures w14:val="none"/>
        </w:rPr>
        <w:t xml:space="preserve">. </w:t>
      </w:r>
      <w:r>
        <w:rPr>
          <w:rFonts w:ascii="Times New Roman" w:hAnsi="Times New Roman" w:eastAsia="等线" w:cs="Times New Roman"/>
          <w:sz w:val="24"/>
          <w:szCs w:val="24"/>
          <w:highlight w:val="none"/>
          <w14:ligatures w14:val="none"/>
        </w:rPr>
        <w:t>D</w:t>
      </w:r>
      <w:r>
        <w:rPr>
          <w:rFonts w:ascii="Times New Roman" w:hAnsi="Times New Roman" w:eastAsia="等线" w:cs="Times New Roman"/>
          <w:sz w:val="24"/>
          <w:szCs w:val="24"/>
          <w14:ligatures w14:val="none"/>
        </w:rPr>
        <w:t xml:space="preserve">ata are presented as mean ± SD (n=3). Differences between groups were analyzed using one-way ANOVA. Statistical significance </w:t>
      </w:r>
      <w:r>
        <w:rPr>
          <w:rFonts w:hint="eastAsia" w:ascii="Times New Roman" w:hAnsi="Times New Roman" w:cs="Times New Roman"/>
          <w:sz w:val="24"/>
          <w:szCs w:val="24"/>
        </w:rPr>
        <w:t>was</w:t>
      </w:r>
      <w:r>
        <w:rPr>
          <w:rFonts w:ascii="Times New Roman" w:hAnsi="Times New Roman" w:eastAsia="等线" w:cs="Times New Roman"/>
          <w:sz w:val="24"/>
          <w:szCs w:val="24"/>
          <w14:ligatures w14:val="none"/>
        </w:rPr>
        <w:t xml:space="preserve"> indicated as follows: *</w:t>
      </w:r>
      <w:r>
        <w:rPr>
          <w:rFonts w:ascii="Times New Roman" w:hAnsi="Times New Roman" w:eastAsia="等线" w:cs="Times New Roman"/>
          <w:i/>
          <w:iCs/>
          <w:sz w:val="24"/>
          <w:szCs w:val="24"/>
          <w14:ligatures w14:val="none"/>
        </w:rPr>
        <w:t>P</w:t>
      </w:r>
      <w:r>
        <w:rPr>
          <w:rFonts w:ascii="Times New Roman" w:hAnsi="Times New Roman" w:eastAsia="等线" w:cs="Times New Roman"/>
          <w:sz w:val="24"/>
          <w:szCs w:val="24"/>
          <w14:ligatures w14:val="none"/>
        </w:rPr>
        <w:t>&lt;0.05, **</w:t>
      </w:r>
      <w:r>
        <w:rPr>
          <w:rFonts w:ascii="Times New Roman" w:hAnsi="Times New Roman" w:eastAsia="等线" w:cs="Times New Roman"/>
          <w:i/>
          <w:iCs/>
          <w:sz w:val="24"/>
          <w:szCs w:val="24"/>
          <w14:ligatures w14:val="none"/>
        </w:rPr>
        <w:t>P</w:t>
      </w:r>
      <w:r>
        <w:rPr>
          <w:rFonts w:ascii="Times New Roman" w:hAnsi="Times New Roman" w:eastAsia="等线" w:cs="Times New Roman"/>
          <w:sz w:val="24"/>
          <w:szCs w:val="24"/>
          <w14:ligatures w14:val="none"/>
        </w:rPr>
        <w:t>&lt;0.01, ***</w:t>
      </w:r>
      <w:r>
        <w:rPr>
          <w:rFonts w:ascii="Times New Roman" w:hAnsi="Times New Roman" w:eastAsia="等线" w:cs="Times New Roman"/>
          <w:i/>
          <w:iCs/>
          <w:sz w:val="24"/>
          <w:szCs w:val="24"/>
          <w14:ligatures w14:val="none"/>
        </w:rPr>
        <w:t>P</w:t>
      </w:r>
      <w:r>
        <w:rPr>
          <w:rFonts w:ascii="Times New Roman" w:hAnsi="Times New Roman" w:eastAsia="等线" w:cs="Times New Roman"/>
          <w:sz w:val="24"/>
          <w:szCs w:val="24"/>
          <w14:ligatures w14:val="none"/>
        </w:rPr>
        <w:t>&lt;0.001</w:t>
      </w:r>
      <w:r>
        <w:rPr>
          <w:rFonts w:hint="eastAsia" w:ascii="Times New Roman" w:hAnsi="Times New Roman" w:eastAsia="等线" w:cs="Times New Roman"/>
          <w:sz w:val="24"/>
          <w:szCs w:val="24"/>
          <w14:ligatures w14:val="none"/>
        </w:rPr>
        <w:t>, ****</w:t>
      </w:r>
      <w:r>
        <w:rPr>
          <w:rFonts w:hint="eastAsia" w:ascii="Times New Roman" w:hAnsi="Times New Roman" w:eastAsia="等线" w:cs="Times New Roman"/>
          <w:i/>
          <w:iCs/>
          <w:sz w:val="24"/>
          <w:szCs w:val="24"/>
          <w14:ligatures w14:val="none"/>
        </w:rPr>
        <w:t>p</w:t>
      </w:r>
      <w:r>
        <w:rPr>
          <w:rFonts w:hint="eastAsia" w:ascii="Times New Roman" w:hAnsi="Times New Roman" w:eastAsia="等线" w:cs="Times New Roman"/>
          <w:sz w:val="24"/>
          <w:szCs w:val="24"/>
          <w14:ligatures w14:val="none"/>
        </w:rPr>
        <w:t>&lt;0.0001</w:t>
      </w:r>
      <w:r>
        <w:rPr>
          <w:rFonts w:ascii="Times New Roman" w:hAnsi="Times New Roman" w:eastAsia="等线" w:cs="Times New Roman"/>
          <w:sz w:val="24"/>
          <w:szCs w:val="24"/>
          <w14:ligatures w14:val="none"/>
        </w:rPr>
        <w:t>.</w:t>
      </w:r>
      <w:r>
        <w:rPr>
          <w:rFonts w:ascii="Times New Roman" w:hAnsi="Times New Roman" w:cs="Times New Roman"/>
          <w:sz w:val="24"/>
          <w:szCs w:val="24"/>
        </w:rPr>
        <w:t xml:space="preserve"> "ns"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spacing w:line="480" w:lineRule="auto"/>
        <w:rPr>
          <w:rFonts w:hint="eastAsia" w:ascii="Times New Roman" w:hAnsi="Times New Roman" w:eastAsia="等线" w:cs="Times New Roman"/>
          <w:sz w:val="24"/>
          <w:szCs w:val="24"/>
          <w14:ligatures w14:val="none"/>
        </w:rPr>
      </w:pPr>
      <w:r>
        <w:rPr>
          <w:rFonts w:hint="eastAsia" w:ascii="Times New Roman" w:hAnsi="Times New Roman" w:eastAsia="等线" w:cs="Times New Roman"/>
          <w:sz w:val="24"/>
          <w:szCs w:val="24"/>
          <w14:ligatures w14:val="none"/>
        </w:rPr>
        <w:drawing>
          <wp:inline distT="0" distB="0" distL="114300" distR="114300">
            <wp:extent cx="5235575" cy="2049145"/>
            <wp:effectExtent l="0" t="0" r="3175" b="8255"/>
            <wp:docPr id="21" name="图片 21" descr="C:\Users\16277\Desktop\quercetin\最终排版20250206\SI\S9.jpg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16277\Desktop\quercetin\最终排版20250206\SI\S9.jpgS9"/>
                    <pic:cNvPicPr>
                      <a:picLocks noChangeAspect="1"/>
                    </pic:cNvPicPr>
                  </pic:nvPicPr>
                  <pic:blipFill>
                    <a:blip r:embed="rId12"/>
                    <a:srcRect/>
                    <a:stretch>
                      <a:fillRect/>
                    </a:stretch>
                  </pic:blipFill>
                  <pic:spPr>
                    <a:xfrm>
                      <a:off x="0" y="0"/>
                      <a:ext cx="5235575" cy="2049145"/>
                    </a:xfrm>
                    <a:prstGeom prst="rect">
                      <a:avLst/>
                    </a:prstGeom>
                  </pic:spPr>
                </pic:pic>
              </a:graphicData>
            </a:graphic>
          </wp:inline>
        </w:drawing>
      </w:r>
    </w:p>
    <w:p>
      <w:pPr>
        <w:spacing w:line="480" w:lineRule="auto"/>
        <w:rPr>
          <w:rFonts w:ascii="Times New Roman" w:hAnsi="Times New Roman" w:cs="Times New Roman"/>
          <w:sz w:val="24"/>
          <w:szCs w:val="24"/>
          <w:highlight w:val="none"/>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9</w:t>
      </w:r>
      <w:r>
        <w:rPr>
          <w:rFonts w:hint="eastAsia" w:ascii="Times New Roman" w:hAnsi="Times New Roman" w:cs="Times New Roman"/>
          <w:b/>
          <w:bCs/>
          <w:sz w:val="24"/>
          <w:szCs w:val="24"/>
          <w:highlight w:val="none"/>
        </w:rPr>
        <w:t xml:space="preserve">. </w:t>
      </w:r>
      <w:r>
        <w:rPr>
          <w:rFonts w:hint="eastAsia" w:ascii="Times New Roman" w:hAnsi="Times New Roman" w:cs="Times New Roman"/>
          <w:sz w:val="24"/>
          <w:szCs w:val="24"/>
          <w:highlight w:val="none"/>
        </w:rPr>
        <w:t>CLSM images obtained from cGAS immunofluorescence staining of the cGAS-STING pathway in Hepa1-6 cells.</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rPr>
        <w:t xml:space="preserve">(B) Semi-quantitative analysis of cGAS. </w:t>
      </w:r>
      <w:r>
        <w:rPr>
          <w:rFonts w:ascii="Times New Roman" w:hAnsi="Times New Roman" w:cs="Times New Roman"/>
          <w:sz w:val="24"/>
          <w:szCs w:val="24"/>
          <w:highlight w:val="none"/>
        </w:rPr>
        <w:t xml:space="preserve">Data </w:t>
      </w:r>
      <w:r>
        <w:rPr>
          <w:rFonts w:hint="eastAsia" w:ascii="Times New Roman" w:hAnsi="Times New Roman" w:cs="Times New Roman"/>
          <w:sz w:val="24"/>
          <w:szCs w:val="24"/>
          <w:highlight w:val="none"/>
        </w:rPr>
        <w:t>were</w:t>
      </w:r>
      <w:r>
        <w:rPr>
          <w:rFonts w:ascii="Times New Roman" w:hAnsi="Times New Roman" w:cs="Times New Roman"/>
          <w:sz w:val="24"/>
          <w:szCs w:val="24"/>
          <w:highlight w:val="none"/>
        </w:rPr>
        <w:t xml:space="preserve"> presented as mean ± SD (n=3). Differences between groups were analyzed using one-way ANOVA. Statistical significance </w:t>
      </w:r>
      <w:r>
        <w:rPr>
          <w:rFonts w:hint="eastAsia" w:ascii="Times New Roman" w:hAnsi="Times New Roman" w:cs="Times New Roman"/>
          <w:sz w:val="24"/>
          <w:szCs w:val="24"/>
          <w:highlight w:val="none"/>
        </w:rPr>
        <w:t>was</w:t>
      </w:r>
      <w:r>
        <w:rPr>
          <w:rFonts w:ascii="Times New Roman" w:hAnsi="Times New Roman" w:cs="Times New Roman"/>
          <w:sz w:val="24"/>
          <w:szCs w:val="24"/>
          <w:highlight w:val="none"/>
        </w:rPr>
        <w:t xml:space="preserve"> indicated as follows: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&lt;0.05,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&lt;0.01,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&lt;0.001</w:t>
      </w:r>
      <w:r>
        <w:rPr>
          <w:rFonts w:hint="eastAsia" w:ascii="Times New Roman" w:hAnsi="Times New Roman" w:cs="Times New Roman"/>
          <w:sz w:val="24"/>
          <w:szCs w:val="24"/>
          <w:highlight w:val="none"/>
        </w:rPr>
        <w:t>, ****</w:t>
      </w:r>
      <w:r>
        <w:rPr>
          <w:rFonts w:hint="eastAsia" w:ascii="Times New Roman" w:hAnsi="Times New Roman" w:cs="Times New Roman"/>
          <w:i/>
          <w:iCs/>
          <w:sz w:val="24"/>
          <w:szCs w:val="24"/>
          <w:highlight w:val="none"/>
        </w:rPr>
        <w:t>p</w:t>
      </w:r>
      <w:r>
        <w:rPr>
          <w:rFonts w:hint="eastAsia" w:ascii="Times New Roman" w:hAnsi="Times New Roman" w:cs="Times New Roman"/>
          <w:sz w:val="24"/>
          <w:szCs w:val="24"/>
          <w:highlight w:val="none"/>
        </w:rPr>
        <w:t>&lt;0.0001</w:t>
      </w:r>
      <w:r>
        <w:rPr>
          <w:rFonts w:ascii="Times New Roman" w:hAnsi="Times New Roman" w:cs="Times New Roman"/>
          <w:sz w:val="24"/>
          <w:szCs w:val="24"/>
          <w:highlight w:val="none"/>
        </w:rPr>
        <w:t xml:space="preserve">. "ns" </w:t>
      </w:r>
      <w:r>
        <w:rPr>
          <w:rFonts w:hint="eastAsia" w:ascii="Times New Roman" w:hAnsi="Times New Roman" w:cs="Times New Roman"/>
          <w:sz w:val="24"/>
          <w:szCs w:val="24"/>
          <w:highlight w:val="none"/>
        </w:rPr>
        <w:t>indicated</w:t>
      </w:r>
      <w:r>
        <w:rPr>
          <w:rFonts w:ascii="Times New Roman" w:hAnsi="Times New Roman" w:cs="Times New Roman"/>
          <w:sz w:val="24"/>
          <w:szCs w:val="24"/>
          <w:highlight w:val="none"/>
        </w:rPr>
        <w:t xml:space="preserve"> no significant difference.</w:t>
      </w:r>
    </w:p>
    <w:p>
      <w:pPr>
        <w:rPr>
          <w:rFonts w:ascii="Times New Roman" w:hAnsi="Times New Roman" w:cs="Times New Roman"/>
          <w:b/>
          <w:bCs/>
          <w:sz w:val="24"/>
          <w:szCs w:val="24"/>
        </w:rPr>
      </w:pPr>
      <w:r>
        <w:rPr>
          <w:rFonts w:hint="eastAsia" w:ascii="Times New Roman" w:hAnsi="Times New Roman" w:cs="Times New Roman"/>
          <w:b/>
          <w:bCs/>
          <w:sz w:val="24"/>
          <w:szCs w:val="24"/>
        </w:rPr>
        <w:drawing>
          <wp:inline distT="0" distB="0" distL="114300" distR="114300">
            <wp:extent cx="5255260" cy="1899285"/>
            <wp:effectExtent l="0" t="0" r="2540" b="5715"/>
            <wp:docPr id="9" name="图片 9" descr="C:\Users\16277\Desktop\quercetin\最终排版20250206\SI\S10.jp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16277\Desktop\quercetin\最终排版20250206\SI\S10.jpgS10"/>
                    <pic:cNvPicPr>
                      <a:picLocks noChangeAspect="1"/>
                    </pic:cNvPicPr>
                  </pic:nvPicPr>
                  <pic:blipFill>
                    <a:blip r:embed="rId13"/>
                    <a:srcRect/>
                    <a:stretch>
                      <a:fillRect/>
                    </a:stretch>
                  </pic:blipFill>
                  <pic:spPr>
                    <a:xfrm>
                      <a:off x="0" y="0"/>
                      <a:ext cx="5255260" cy="1899285"/>
                    </a:xfrm>
                    <a:prstGeom prst="rect">
                      <a:avLst/>
                    </a:prstGeom>
                  </pic:spPr>
                </pic:pic>
              </a:graphicData>
            </a:graphic>
          </wp:inline>
        </w:drawing>
      </w:r>
    </w:p>
    <w:p>
      <w:pPr>
        <w:rPr>
          <w:rFonts w:ascii="Times New Roman" w:hAnsi="Times New Roman" w:cs="Times New Roman"/>
          <w:b/>
          <w:bCs/>
          <w:sz w:val="24"/>
          <w:szCs w:val="24"/>
        </w:rPr>
      </w:pPr>
    </w:p>
    <w:p>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0</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highlight w:val="none"/>
        </w:rPr>
        <w:t>(</w:t>
      </w:r>
      <w:r>
        <w:rPr>
          <w:rFonts w:ascii="Times New Roman" w:hAnsi="Times New Roman" w:cs="Times New Roman"/>
          <w:sz w:val="24"/>
          <w:szCs w:val="24"/>
        </w:rPr>
        <w:t>A)</w:t>
      </w:r>
      <w:r>
        <w:rPr>
          <w:rFonts w:hint="eastAsia" w:ascii="Times New Roman" w:hAnsi="Times New Roman" w:cs="Times New Roman"/>
          <w:sz w:val="24"/>
          <w:szCs w:val="24"/>
          <w:lang w:val="en-US" w:eastAsia="zh-CN"/>
        </w:rPr>
        <w:t xml:space="preserve"> I</w:t>
      </w:r>
      <w:r>
        <w:rPr>
          <w:rFonts w:hint="eastAsia" w:ascii="Times New Roman" w:hAnsi="Times New Roman" w:cs="Times New Roman"/>
          <w:sz w:val="24"/>
          <w:szCs w:val="24"/>
        </w:rPr>
        <w:t>mmunofluorescence staining results of phosphorylated STING (p-STING) activation in the cGAS-STING pathway were observed in Hepa1-6 cells through CLSM.</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 Semi-quantitative analysis of p-STING activation. Data </w:t>
      </w:r>
      <w:r>
        <w:rPr>
          <w:rFonts w:hint="eastAsia" w:ascii="Times New Roman" w:hAnsi="Times New Roman" w:cs="Times New Roman"/>
          <w:sz w:val="24"/>
          <w:szCs w:val="24"/>
        </w:rPr>
        <w:t>were</w:t>
      </w:r>
      <w:r>
        <w:rPr>
          <w:rFonts w:ascii="Times New Roman" w:hAnsi="Times New Roman" w:cs="Times New Roman"/>
          <w:sz w:val="24"/>
          <w:szCs w:val="24"/>
        </w:rPr>
        <w:t xml:space="preserve"> presented as mean ± SD (n=3). Differences between groups were analyzed using one-way ANOVA. Statistical significance </w:t>
      </w:r>
      <w:r>
        <w:rPr>
          <w:rFonts w:hint="eastAsia" w:ascii="Times New Roman" w:hAnsi="Times New Roman" w:cs="Times New Roman"/>
          <w:sz w:val="24"/>
          <w:szCs w:val="24"/>
        </w:rPr>
        <w:t>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 xml:space="preserve">. "ns"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rPr>
          <w:rFonts w:ascii="Times New Roman" w:hAnsi="Times New Roman" w:cs="Times New Roman"/>
          <w:b/>
          <w:bCs/>
          <w:sz w:val="24"/>
          <w:szCs w:val="24"/>
        </w:rPr>
      </w:pPr>
      <w:r>
        <w:rPr>
          <w:rFonts w:hint="eastAsia" w:ascii="Times New Roman" w:hAnsi="Times New Roman" w:cs="Times New Roman"/>
          <w:b/>
          <w:bCs/>
          <w:sz w:val="24"/>
          <w:szCs w:val="24"/>
        </w:rPr>
        <w:drawing>
          <wp:inline distT="0" distB="0" distL="114300" distR="114300">
            <wp:extent cx="5264785" cy="1985645"/>
            <wp:effectExtent l="0" t="0" r="2540" b="5080"/>
            <wp:docPr id="10" name="图片 10" descr="C:\Users\16277\Desktop\quercetin\最终排版20250206\SI\S11.jpg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16277\Desktop\quercetin\最终排版20250206\SI\S11.jpgS11"/>
                    <pic:cNvPicPr>
                      <a:picLocks noChangeAspect="1"/>
                    </pic:cNvPicPr>
                  </pic:nvPicPr>
                  <pic:blipFill>
                    <a:blip r:embed="rId14"/>
                    <a:srcRect/>
                    <a:stretch>
                      <a:fillRect/>
                    </a:stretch>
                  </pic:blipFill>
                  <pic:spPr>
                    <a:xfrm>
                      <a:off x="0" y="0"/>
                      <a:ext cx="5264785" cy="1985645"/>
                    </a:xfrm>
                    <a:prstGeom prst="rect">
                      <a:avLst/>
                    </a:prstGeom>
                  </pic:spPr>
                </pic:pic>
              </a:graphicData>
            </a:graphic>
          </wp:inline>
        </w:drawing>
      </w:r>
    </w:p>
    <w:p>
      <w:pPr>
        <w:spacing w:line="480" w:lineRule="auto"/>
        <w:rPr>
          <w:rFonts w:ascii="Times New Roman" w:hAnsi="Times New Roman" w:cs="Times New Roman"/>
          <w:b/>
          <w:bCs/>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1</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highlight w:val="none"/>
        </w:rPr>
        <w:t>(A</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I</w:t>
      </w:r>
      <w:r>
        <w:rPr>
          <w:rFonts w:hint="eastAsia" w:ascii="Times New Roman" w:hAnsi="Times New Roman" w:cs="Times New Roman"/>
          <w:sz w:val="24"/>
          <w:szCs w:val="24"/>
        </w:rPr>
        <w:t xml:space="preserve">mmunofluorescence staining results of phosphorylated </w:t>
      </w:r>
      <w:r>
        <w:rPr>
          <w:rFonts w:hint="eastAsia" w:ascii="Times New Roman" w:hAnsi="Times New Roman" w:cs="Times New Roman"/>
          <w:sz w:val="24"/>
          <w:szCs w:val="24"/>
          <w:lang w:val="en-US" w:eastAsia="zh-CN"/>
        </w:rPr>
        <w:t>IRF3</w:t>
      </w:r>
      <w:r>
        <w:rPr>
          <w:rFonts w:hint="eastAsia" w:ascii="Times New Roman" w:hAnsi="Times New Roman" w:cs="Times New Roman"/>
          <w:sz w:val="24"/>
          <w:szCs w:val="24"/>
        </w:rPr>
        <w:t xml:space="preserve"> (p-</w:t>
      </w:r>
      <w:r>
        <w:rPr>
          <w:rFonts w:hint="eastAsia" w:ascii="Times New Roman" w:hAnsi="Times New Roman" w:cs="Times New Roman"/>
          <w:sz w:val="24"/>
          <w:szCs w:val="24"/>
          <w:lang w:val="en-US" w:eastAsia="zh-CN"/>
        </w:rPr>
        <w:t>IRF3</w:t>
      </w:r>
      <w:r>
        <w:rPr>
          <w:rFonts w:hint="eastAsia" w:ascii="Times New Roman" w:hAnsi="Times New Roman" w:cs="Times New Roman"/>
          <w:sz w:val="24"/>
          <w:szCs w:val="24"/>
        </w:rPr>
        <w:t>) activation in the cGAS-STING pathway were observed in Hepa1-6 cells through CLSM.</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 Semi-quantitative analysis of p-IRF3 activation. Differences between groups were analyzed using one-way ANOVA. Statistical significance </w:t>
      </w:r>
      <w:r>
        <w:rPr>
          <w:rFonts w:hint="eastAsia" w:ascii="Times New Roman" w:hAnsi="Times New Roman" w:cs="Times New Roman"/>
          <w:sz w:val="24"/>
          <w:szCs w:val="24"/>
        </w:rPr>
        <w:t>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3082925" cy="2167890"/>
            <wp:effectExtent l="0" t="0" r="3175" b="3810"/>
            <wp:docPr id="11" name="图片 11" descr="C:\Users\16277\Desktop\quercetin\最终排版20250206\SI\S12.jpg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16277\Desktop\quercetin\最终排版20250206\SI\S12.jpgS12"/>
                    <pic:cNvPicPr>
                      <a:picLocks noChangeAspect="1"/>
                    </pic:cNvPicPr>
                  </pic:nvPicPr>
                  <pic:blipFill>
                    <a:blip r:embed="rId15"/>
                    <a:srcRect/>
                    <a:stretch>
                      <a:fillRect/>
                    </a:stretch>
                  </pic:blipFill>
                  <pic:spPr>
                    <a:xfrm>
                      <a:off x="0" y="0"/>
                      <a:ext cx="3082925" cy="2167890"/>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2</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rPr>
        <w:t xml:space="preserve">Semi-quantitative analysis of intratumoral fluorescence intensity over time in Hepa1-6 tumor-bearing mice following intravenous injection of Cy5.5 or MQ@Cy5.5. Data </w:t>
      </w:r>
      <w:r>
        <w:rPr>
          <w:rFonts w:hint="eastAsia" w:ascii="Times New Roman" w:hAnsi="Times New Roman" w:cs="Times New Roman"/>
          <w:sz w:val="24"/>
          <w:szCs w:val="24"/>
        </w:rPr>
        <w:t>were</w:t>
      </w:r>
      <w:r>
        <w:rPr>
          <w:rFonts w:ascii="Times New Roman" w:hAnsi="Times New Roman" w:cs="Times New Roman"/>
          <w:sz w:val="24"/>
          <w:szCs w:val="24"/>
        </w:rPr>
        <w:t xml:space="preserve"> presented as mean ± SD (n=3). Statistical significance was assessed using </w:t>
      </w:r>
      <w:r>
        <w:rPr>
          <w:rFonts w:ascii="Times New Roman" w:hAnsi="Times New Roman" w:cs="Times New Roman"/>
          <w:sz w:val="24"/>
          <w:szCs w:val="24"/>
          <w14:ligatures w14:val="standardContextual"/>
        </w:rPr>
        <w:t xml:space="preserve">Student's t test </w:t>
      </w:r>
      <w:r>
        <w:rPr>
          <w:rFonts w:ascii="Times New Roman" w:hAnsi="Times New Roman" w:cs="Times New Roman"/>
          <w:sz w:val="24"/>
          <w:szCs w:val="24"/>
        </w:rPr>
        <w:t>, with significance levels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 xml:space="preserve">. "ns"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4948555" cy="2251075"/>
            <wp:effectExtent l="0" t="0" r="4445" b="6350"/>
            <wp:docPr id="12" name="图片 12" descr="C:\Users\16277\Desktop\quercetin\最终排版20250206\SI\S13.jpg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16277\Desktop\quercetin\最终排版20250206\SI\S13.jpgS13"/>
                    <pic:cNvPicPr>
                      <a:picLocks noChangeAspect="1"/>
                    </pic:cNvPicPr>
                  </pic:nvPicPr>
                  <pic:blipFill>
                    <a:blip r:embed="rId16"/>
                    <a:srcRect/>
                    <a:stretch>
                      <a:fillRect/>
                    </a:stretch>
                  </pic:blipFill>
                  <pic:spPr>
                    <a:xfrm>
                      <a:off x="0" y="0"/>
                      <a:ext cx="4948555" cy="2251075"/>
                    </a:xfrm>
                    <a:prstGeom prst="rect">
                      <a:avLst/>
                    </a:prstGeom>
                  </pic:spPr>
                </pic:pic>
              </a:graphicData>
            </a:graphic>
          </wp:inline>
        </w:drawing>
      </w:r>
    </w:p>
    <w:p>
      <w:pPr>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3</w:t>
      </w:r>
      <w:r>
        <w:rPr>
          <w:rFonts w:hint="eastAsia" w:ascii="Times New Roman" w:hAnsi="Times New Roman" w:cs="Times New Roman"/>
          <w:b/>
          <w:bCs/>
          <w:sz w:val="24"/>
          <w:szCs w:val="24"/>
          <w:highlight w:val="none"/>
        </w:rPr>
        <w:t xml:space="preserve">. </w:t>
      </w:r>
      <w:r>
        <w:rPr>
          <w:rFonts w:hint="eastAsia" w:ascii="Times New Roman" w:hAnsi="Times New Roman" w:cs="Times New Roman"/>
          <w:sz w:val="24"/>
          <w:szCs w:val="24"/>
        </w:rPr>
        <w:t>Fluorescence images of tumors and major organs isolated from Hepa1-6 tumor-bearing mice.</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2415540" cy="2776220"/>
            <wp:effectExtent l="0" t="0" r="3810" b="5080"/>
            <wp:docPr id="13" name="图片 13" descr="C:\Users\16277\Desktop\quercetin\最终排版20250206\SI\S14.jpg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16277\Desktop\quercetin\最终排版20250206\SI\S14.jpgS14"/>
                    <pic:cNvPicPr>
                      <a:picLocks noChangeAspect="1"/>
                    </pic:cNvPicPr>
                  </pic:nvPicPr>
                  <pic:blipFill>
                    <a:blip r:embed="rId17"/>
                    <a:srcRect/>
                    <a:stretch>
                      <a:fillRect/>
                    </a:stretch>
                  </pic:blipFill>
                  <pic:spPr>
                    <a:xfrm>
                      <a:off x="0" y="0"/>
                      <a:ext cx="2415540" cy="2776220"/>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4</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rPr>
        <w:t xml:space="preserve"> </w:t>
      </w:r>
      <w:r>
        <w:rPr>
          <w:rFonts w:ascii="Times New Roman" w:hAnsi="Times New Roman" w:cs="Times New Roman"/>
          <w:sz w:val="24"/>
          <w:szCs w:val="24"/>
        </w:rPr>
        <w:t>Tumor-bearing mice were administered different drugs, and 24 hours post-injection, the mice were subjected to infrared thermal imaging. (Note: Thermal images were acquired using an infrared thermal camera with near-infrared light at a wavelength of 808 nm.)</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3128010" cy="2588260"/>
            <wp:effectExtent l="0" t="0" r="5715" b="2540"/>
            <wp:docPr id="14" name="图片 14" descr="C:\Users\16277\Desktop\quercetin\最终排版20250206\SI\S15.jpg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16277\Desktop\quercetin\最终排版20250206\SI\S15.jpgS15"/>
                    <pic:cNvPicPr>
                      <a:picLocks noChangeAspect="1"/>
                    </pic:cNvPicPr>
                  </pic:nvPicPr>
                  <pic:blipFill>
                    <a:blip r:embed="rId18"/>
                    <a:srcRect/>
                    <a:stretch>
                      <a:fillRect/>
                    </a:stretch>
                  </pic:blipFill>
                  <pic:spPr>
                    <a:xfrm>
                      <a:off x="0" y="0"/>
                      <a:ext cx="3128010" cy="2588260"/>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5</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rPr>
        <w:t xml:space="preserve">Representative photographs of C57BL/6 </w:t>
      </w:r>
      <w:r>
        <w:rPr>
          <w:rFonts w:hint="eastAsia" w:ascii="Times New Roman" w:hAnsi="Times New Roman" w:cs="Times New Roman"/>
          <w:sz w:val="24"/>
          <w:szCs w:val="24"/>
        </w:rPr>
        <w:t>mice</w:t>
      </w:r>
      <w:r>
        <w:rPr>
          <w:rFonts w:ascii="Times New Roman" w:hAnsi="Times New Roman" w:cs="Times New Roman"/>
          <w:sz w:val="24"/>
          <w:szCs w:val="24"/>
        </w:rPr>
        <w:t xml:space="preserve"> erythrocytes incubated with varying concentrations of MQ, along with the corresponding hemolysis ratios at these concentrations. Data</w:t>
      </w:r>
      <w:r>
        <w:rPr>
          <w:rFonts w:hint="eastAsia" w:ascii="Times New Roman" w:hAnsi="Times New Roman" w:cs="Times New Roman"/>
          <w:sz w:val="24"/>
          <w:szCs w:val="24"/>
        </w:rPr>
        <w:t xml:space="preserve"> were </w:t>
      </w:r>
      <w:r>
        <w:rPr>
          <w:rFonts w:ascii="Times New Roman" w:hAnsi="Times New Roman" w:cs="Times New Roman"/>
          <w:sz w:val="24"/>
          <w:szCs w:val="24"/>
        </w:rPr>
        <w:t>presented as mean ± SD (n=3). Statistical</w:t>
      </w:r>
      <w:r>
        <w:rPr>
          <w:rFonts w:hint="eastAsia" w:ascii="Times New Roman" w:hAnsi="Times New Roman" w:cs="Times New Roman"/>
          <w:sz w:val="24"/>
          <w:szCs w:val="24"/>
        </w:rPr>
        <w:t xml:space="preserve"> </w:t>
      </w:r>
      <w:r>
        <w:rPr>
          <w:rFonts w:ascii="Times New Roman" w:hAnsi="Times New Roman" w:cs="Times New Roman"/>
          <w:sz w:val="24"/>
          <w:szCs w:val="24"/>
        </w:rPr>
        <w:t>significance</w:t>
      </w:r>
      <w:r>
        <w:rPr>
          <w:rFonts w:hint="eastAsia" w:ascii="Times New Roman" w:hAnsi="Times New Roman" w:cs="Times New Roman"/>
          <w:sz w:val="24"/>
          <w:szCs w:val="24"/>
        </w:rPr>
        <w:t xml:space="preserve"> 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 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spacing w:line="480" w:lineRule="auto"/>
        <w:rPr>
          <w:rFonts w:ascii="Times New Roman" w:hAnsi="Times New Roman" w:cs="Times New Roman"/>
          <w:sz w:val="24"/>
          <w:szCs w:val="24"/>
        </w:rPr>
      </w:pPr>
    </w:p>
    <w:p>
      <w:pPr>
        <w:rPr>
          <w:rFonts w:ascii="Times New Roman" w:hAnsi="Times New Roman" w:cs="Times New Roman"/>
          <w:b/>
          <w:bCs/>
          <w:sz w:val="24"/>
          <w:szCs w:val="24"/>
        </w:rPr>
      </w:pPr>
      <w:r>
        <w:rPr>
          <w:rFonts w:hint="eastAsia" w:ascii="Times New Roman" w:hAnsi="Times New Roman" w:cs="Times New Roman"/>
          <w:b/>
          <w:bCs/>
          <w:sz w:val="24"/>
          <w:szCs w:val="24"/>
        </w:rPr>
        <w:drawing>
          <wp:inline distT="0" distB="0" distL="114300" distR="114300">
            <wp:extent cx="5252085" cy="4349750"/>
            <wp:effectExtent l="0" t="0" r="5715" b="3175"/>
            <wp:docPr id="15" name="图片 15" descr="C:\Users\16277\Desktop\quercetin\最终排版20250206\SI\S16.jpg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16277\Desktop\quercetin\最终排版20250206\SI\S16.jpgS16"/>
                    <pic:cNvPicPr>
                      <a:picLocks noChangeAspect="1"/>
                    </pic:cNvPicPr>
                  </pic:nvPicPr>
                  <pic:blipFill>
                    <a:blip r:embed="rId19"/>
                    <a:srcRect/>
                    <a:stretch>
                      <a:fillRect/>
                    </a:stretch>
                  </pic:blipFill>
                  <pic:spPr>
                    <a:xfrm>
                      <a:off x="0" y="0"/>
                      <a:ext cx="5252085" cy="4349750"/>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6</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highlight w:val="none"/>
          <w:lang w:val="en-US" w:eastAsia="zh-CN"/>
        </w:rPr>
        <w:t xml:space="preserve"> </w:t>
      </w:r>
      <w:r>
        <w:rPr>
          <w:rFonts w:hint="eastAsia" w:ascii="Times New Roman" w:hAnsi="Times New Roman" w:cs="Times New Roman"/>
          <w:b w:val="0"/>
          <w:bCs w:val="0"/>
          <w:sz w:val="24"/>
          <w:szCs w:val="24"/>
          <w:highlight w:val="none"/>
        </w:rPr>
        <w:t>The comparison of biochemical indicators related to liver and kidney function, as well as routine blood parameters, between mice treated with MQ and normal mice.</w:t>
      </w:r>
      <w:r>
        <w:rPr>
          <w:rFonts w:hint="eastAsia" w:ascii="Times New Roman" w:hAnsi="Times New Roman" w:cs="Times New Roman"/>
          <w:b w:val="0"/>
          <w:bCs w:val="0"/>
          <w:sz w:val="24"/>
          <w:szCs w:val="24"/>
          <w:highlight w:val="none"/>
          <w:lang w:val="en-US" w:eastAsia="zh-CN"/>
        </w:rPr>
        <w:t xml:space="preserve"> </w:t>
      </w:r>
      <w:r>
        <w:rPr>
          <w:rFonts w:ascii="Times New Roman" w:hAnsi="Times New Roman" w:cs="Times New Roman"/>
          <w:sz w:val="24"/>
          <w:szCs w:val="24"/>
        </w:rPr>
        <w:t xml:space="preserve">Statistical comparisons between groups were conducted using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14:ligatures w14:val="standardContextual"/>
        </w:rPr>
        <w:t>Student's t</w:t>
      </w:r>
      <w:r>
        <w:rPr>
          <w:rFonts w:hint="eastAsia" w:ascii="Times New Roman" w:hAnsi="Times New Roman" w:cs="Times New Roman"/>
          <w:sz w:val="24"/>
          <w:szCs w:val="24"/>
          <w:lang w:val="en-US" w:eastAsia="zh-CN"/>
          <w14:ligatures w14:val="standardContextual"/>
        </w:rPr>
        <w:t xml:space="preserve"> </w:t>
      </w:r>
      <w:r>
        <w:rPr>
          <w:rFonts w:ascii="Times New Roman" w:hAnsi="Times New Roman" w:cs="Times New Roman"/>
          <w:sz w:val="24"/>
          <w:szCs w:val="24"/>
          <w14:ligatures w14:val="standardContextual"/>
        </w:rPr>
        <w:t>test</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S</w:t>
      </w:r>
      <w:r>
        <w:rPr>
          <w:rFonts w:ascii="Times New Roman" w:hAnsi="Times New Roman" w:cs="Times New Roman"/>
          <w:sz w:val="24"/>
          <w:szCs w:val="24"/>
        </w:rPr>
        <w:t>tatistical</w:t>
      </w:r>
      <w:r>
        <w:rPr>
          <w:rFonts w:hint="eastAsia" w:ascii="Times New Roman" w:hAnsi="Times New Roman" w:cs="Times New Roman"/>
          <w:sz w:val="24"/>
          <w:szCs w:val="24"/>
        </w:rPr>
        <w:t xml:space="preserve"> </w:t>
      </w:r>
      <w:r>
        <w:rPr>
          <w:rFonts w:ascii="Times New Roman" w:hAnsi="Times New Roman" w:cs="Times New Roman"/>
          <w:sz w:val="24"/>
          <w:szCs w:val="24"/>
        </w:rPr>
        <w:t>significance</w:t>
      </w:r>
      <w:r>
        <w:rPr>
          <w:rFonts w:hint="eastAsia" w:ascii="Times New Roman" w:hAnsi="Times New Roman" w:cs="Times New Roman"/>
          <w:sz w:val="24"/>
          <w:szCs w:val="24"/>
        </w:rPr>
        <w:t xml:space="preserve"> 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 xml:space="preserve">. "ns"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spacing w:line="480" w:lineRule="auto"/>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bCs/>
          <w:sz w:val="24"/>
          <w:szCs w:val="24"/>
        </w:rPr>
      </w:pPr>
      <w:r>
        <w:rPr>
          <w:rFonts w:hint="eastAsia" w:ascii="Times New Roman" w:hAnsi="Times New Roman" w:cs="Times New Roman"/>
          <w:b/>
          <w:bCs/>
          <w:sz w:val="24"/>
          <w:szCs w:val="24"/>
        </w:rPr>
        <w:drawing>
          <wp:inline distT="0" distB="0" distL="114300" distR="114300">
            <wp:extent cx="4852035" cy="3050540"/>
            <wp:effectExtent l="0" t="0" r="5715" b="6985"/>
            <wp:docPr id="16" name="图片 16" descr="C:\Users\16277\Desktop\quercetin\最终排版20250206\SI\S17.jpg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16277\Desktop\quercetin\最终排版20250206\SI\S17.jpgS17"/>
                    <pic:cNvPicPr>
                      <a:picLocks noChangeAspect="1"/>
                    </pic:cNvPicPr>
                  </pic:nvPicPr>
                  <pic:blipFill>
                    <a:blip r:embed="rId20"/>
                    <a:srcRect/>
                    <a:stretch>
                      <a:fillRect/>
                    </a:stretch>
                  </pic:blipFill>
                  <pic:spPr>
                    <a:xfrm>
                      <a:off x="0" y="0"/>
                      <a:ext cx="4852035" cy="3050540"/>
                    </a:xfrm>
                    <a:prstGeom prst="rect">
                      <a:avLst/>
                    </a:prstGeom>
                  </pic:spPr>
                </pic:pic>
              </a:graphicData>
            </a:graphic>
          </wp:inline>
        </w:drawing>
      </w:r>
    </w:p>
    <w:p>
      <w:pPr>
        <w:rPr>
          <w:rFonts w:ascii="Times New Roman" w:hAnsi="Times New Roman" w:cs="Times New Roman"/>
          <w:b/>
          <w:bCs/>
          <w:sz w:val="24"/>
          <w:szCs w:val="24"/>
        </w:rPr>
      </w:pP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7</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Representative images of H&amp;E staining in the major organs of C57BL/6 mice subjected to different treatments.</w:t>
      </w:r>
    </w:p>
    <w:p>
      <w:pPr>
        <w:spacing w:line="480" w:lineRule="auto"/>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4544060" cy="3399790"/>
            <wp:effectExtent l="0" t="0" r="8890" b="635"/>
            <wp:docPr id="22" name="图片 22" descr="C:\Users\16277\Desktop\quercetin\最终排版20250206\SI\S18.jpg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16277\Desktop\quercetin\最终排版20250206\SI\S18.jpgS18"/>
                    <pic:cNvPicPr>
                      <a:picLocks noChangeAspect="1"/>
                    </pic:cNvPicPr>
                  </pic:nvPicPr>
                  <pic:blipFill>
                    <a:blip r:embed="rId21"/>
                    <a:srcRect/>
                    <a:stretch>
                      <a:fillRect/>
                    </a:stretch>
                  </pic:blipFill>
                  <pic:spPr>
                    <a:xfrm>
                      <a:off x="0" y="0"/>
                      <a:ext cx="4544060" cy="3399790"/>
                    </a:xfrm>
                    <a:prstGeom prst="rect">
                      <a:avLst/>
                    </a:prstGeom>
                  </pic:spPr>
                </pic:pic>
              </a:graphicData>
            </a:graphic>
          </wp:inline>
        </w:drawing>
      </w:r>
    </w:p>
    <w:p>
      <w:pPr>
        <w:spacing w:line="480" w:lineRule="auto"/>
        <w:rPr>
          <w:rFonts w:ascii="Times New Roman" w:hAnsi="Times New Roman" w:cs="Times New Roman"/>
          <w:sz w:val="24"/>
          <w:szCs w:val="24"/>
          <w:highlight w:val="none"/>
        </w:rPr>
      </w:pPr>
      <w:r>
        <w:rPr>
          <w:rFonts w:hint="eastAsia" w:ascii="Times New Roman" w:hAnsi="Times New Roman" w:cs="Times New Roman"/>
          <w:b/>
          <w:bCs/>
          <w:sz w:val="24"/>
          <w:szCs w:val="24"/>
          <w:highlight w:val="none"/>
        </w:rPr>
        <w:t>Figure S1</w:t>
      </w:r>
      <w:r>
        <w:rPr>
          <w:rFonts w:hint="eastAsia" w:ascii="Times New Roman" w:hAnsi="Times New Roman" w:cs="Times New Roman"/>
          <w:b/>
          <w:bCs/>
          <w:sz w:val="24"/>
          <w:szCs w:val="24"/>
          <w:highlight w:val="none"/>
          <w:lang w:val="en-US" w:eastAsia="zh-CN"/>
        </w:rPr>
        <w:t>8</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highlight w:val="none"/>
          <w:lang w:val="en-US" w:eastAsia="zh-CN"/>
        </w:rPr>
        <w:t xml:space="preserve"> </w:t>
      </w:r>
      <w:r>
        <w:rPr>
          <w:rFonts w:hint="eastAsia" w:ascii="Times New Roman" w:hAnsi="Times New Roman" w:cs="Times New Roman"/>
          <w:sz w:val="24"/>
          <w:szCs w:val="24"/>
          <w:highlight w:val="none"/>
        </w:rPr>
        <w:t>Semi-quantitative analysis of the expression levels of various apoptosis-related proteins in tumor tissues</w:t>
      </w:r>
      <w:r>
        <w:rPr>
          <w:rFonts w:hint="eastAsia" w:ascii="Times New Roman" w:hAnsi="Times New Roman" w:cs="Times New Roman"/>
          <w:sz w:val="24"/>
          <w:szCs w:val="24"/>
          <w:highlight w:val="none"/>
          <w:lang w:val="en-US" w:eastAsia="zh-CN"/>
        </w:rPr>
        <w:t xml:space="preserve"> </w:t>
      </w:r>
      <w:r>
        <w:rPr>
          <w:rFonts w:ascii="Times New Roman" w:hAnsi="Times New Roman" w:cs="Times New Roman"/>
          <w:sz w:val="24"/>
          <w:szCs w:val="24"/>
          <w:highlight w:val="none"/>
          <w14:ligatures w14:val="standardContextual"/>
        </w:rPr>
        <w:t xml:space="preserve">(G1: Control, G2: MnCl₂, G3: Que, G4: NIR, G5: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G6: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 NIR).</w:t>
      </w:r>
    </w:p>
    <w:p>
      <w:pPr>
        <w:jc w:val="center"/>
        <w:rPr>
          <w:rFonts w:ascii="Times New Roman" w:hAnsi="Times New Roman" w:cs="Times New Roman"/>
          <w:b/>
          <w:bCs/>
          <w:sz w:val="24"/>
          <w:szCs w:val="24"/>
        </w:rPr>
      </w:pPr>
      <w:r>
        <w:rPr>
          <w:rFonts w:hint="eastAsia" w:ascii="Times New Roman" w:hAnsi="Times New Roman" w:cs="Times New Roman"/>
          <w:b/>
          <w:bCs/>
          <w:sz w:val="24"/>
          <w:szCs w:val="24"/>
        </w:rPr>
        <w:drawing>
          <wp:inline distT="0" distB="0" distL="114300" distR="114300">
            <wp:extent cx="2746375" cy="2348865"/>
            <wp:effectExtent l="0" t="0" r="6350" b="3810"/>
            <wp:docPr id="17" name="图片 17" descr="C:\Users\16277\Desktop\quercetin\最终排版20250206\SI\S19.jpg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16277\Desktop\quercetin\最终排版20250206\SI\S19.jpgS19"/>
                    <pic:cNvPicPr>
                      <a:picLocks noChangeAspect="1"/>
                    </pic:cNvPicPr>
                  </pic:nvPicPr>
                  <pic:blipFill>
                    <a:blip r:embed="rId22"/>
                    <a:srcRect/>
                    <a:stretch>
                      <a:fillRect/>
                    </a:stretch>
                  </pic:blipFill>
                  <pic:spPr>
                    <a:xfrm>
                      <a:off x="0" y="0"/>
                      <a:ext cx="2746375" cy="2348865"/>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w:t>
      </w:r>
      <w:r>
        <w:rPr>
          <w:rFonts w:hint="eastAsia" w:ascii="Times New Roman" w:hAnsi="Times New Roman" w:cs="Times New Roman"/>
          <w:b/>
          <w:bCs/>
          <w:sz w:val="24"/>
          <w:szCs w:val="24"/>
          <w:highlight w:val="none"/>
          <w:lang w:val="en-US" w:eastAsia="zh-CN"/>
        </w:rPr>
        <w:t>19</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rPr>
        <w:t xml:space="preserve">Semi-quantitative fluorescence analysis of DNA damage in isolated tumor sections from Hepa1-6 tumor-bearing mice, labeled with γ-H2AX. Differences between groups were analyzed using one-way ANOVA. Significance levels </w:t>
      </w:r>
      <w:r>
        <w:rPr>
          <w:rFonts w:hint="eastAsia" w:ascii="Times New Roman" w:hAnsi="Times New Roman" w:cs="Times New Roman"/>
          <w:sz w:val="24"/>
          <w:szCs w:val="24"/>
          <w:lang w:val="en-US" w:eastAsia="zh-CN"/>
        </w:rPr>
        <w:t>were</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2682875" cy="2282190"/>
            <wp:effectExtent l="0" t="0" r="3175" b="3810"/>
            <wp:docPr id="18" name="图片 18" descr="C:\Users\16277\Desktop\quercetin\最终排版20250206\SI\S20.jpg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16277\Desktop\quercetin\最终排版20250206\SI\S20.jpgS20"/>
                    <pic:cNvPicPr>
                      <a:picLocks noChangeAspect="1"/>
                    </pic:cNvPicPr>
                  </pic:nvPicPr>
                  <pic:blipFill>
                    <a:blip r:embed="rId23"/>
                    <a:srcRect/>
                    <a:stretch>
                      <a:fillRect/>
                    </a:stretch>
                  </pic:blipFill>
                  <pic:spPr>
                    <a:xfrm>
                      <a:off x="0" y="0"/>
                      <a:ext cx="2682875" cy="2282190"/>
                    </a:xfrm>
                    <a:prstGeom prst="rect">
                      <a:avLst/>
                    </a:prstGeom>
                  </pic:spPr>
                </pic:pic>
              </a:graphicData>
            </a:graphic>
          </wp:inline>
        </w:drawing>
      </w: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S2</w:t>
      </w:r>
      <w:r>
        <w:rPr>
          <w:rFonts w:hint="eastAsia" w:ascii="Times New Roman" w:hAnsi="Times New Roman" w:cs="Times New Roman"/>
          <w:b/>
          <w:bCs/>
          <w:sz w:val="24"/>
          <w:szCs w:val="24"/>
          <w:highlight w:val="none"/>
          <w:lang w:val="en-US" w:eastAsia="zh-CN"/>
        </w:rPr>
        <w:t>0</w:t>
      </w:r>
      <w:r>
        <w:rPr>
          <w:rFonts w:hint="eastAsia" w:ascii="Times New Roman" w:hAnsi="Times New Roman" w:cs="Times New Roman"/>
          <w:b/>
          <w:bCs/>
          <w:sz w:val="24"/>
          <w:szCs w:val="24"/>
          <w:highlight w:val="none"/>
        </w:rPr>
        <w:t xml:space="preserve">. </w:t>
      </w:r>
      <w:r>
        <w:rPr>
          <w:rFonts w:ascii="Times New Roman" w:hAnsi="Times New Roman" w:cs="Times New Roman"/>
          <w:sz w:val="24"/>
          <w:szCs w:val="24"/>
        </w:rPr>
        <w:t xml:space="preserve">Semi-quantitative analysis of </w:t>
      </w:r>
      <w:r>
        <w:rPr>
          <w:rFonts w:hint="eastAsia" w:ascii="Times New Roman" w:hAnsi="Times New Roman" w:cs="Times New Roman"/>
          <w:sz w:val="24"/>
          <w:szCs w:val="24"/>
        </w:rPr>
        <w:t>p-</w:t>
      </w:r>
      <w:r>
        <w:rPr>
          <w:rFonts w:ascii="Times New Roman" w:hAnsi="Times New Roman" w:cs="Times New Roman"/>
          <w:sz w:val="24"/>
          <w:szCs w:val="24"/>
        </w:rPr>
        <w:t xml:space="preserve">STING immunofluorescence staining for phosphorylation in Hepa1-6 tumor-bearing mice in vitro. Differences between groups were assessed using one-way ANOVA. Statistical significance </w:t>
      </w:r>
      <w:r>
        <w:rPr>
          <w:rFonts w:hint="eastAsia" w:ascii="Times New Roman" w:hAnsi="Times New Roman" w:cs="Times New Roman"/>
          <w:sz w:val="24"/>
          <w:szCs w:val="24"/>
          <w:lang w:val="en-US" w:eastAsia="zh-CN"/>
        </w:rPr>
        <w:t>was</w:t>
      </w:r>
      <w:r>
        <w:rPr>
          <w:rFonts w:ascii="Times New Roman" w:hAnsi="Times New Roman" w:cs="Times New Roman"/>
          <w:sz w:val="24"/>
          <w:szCs w:val="24"/>
        </w:rPr>
        <w:t xml:space="preserve"> indicated as follows: *</w:t>
      </w:r>
      <w:r>
        <w:rPr>
          <w:rFonts w:hint="eastAsia" w:ascii="Times New Roman" w:hAnsi="Times New Roman" w:cs="Times New Roman"/>
          <w:i/>
          <w:iCs/>
          <w:sz w:val="24"/>
          <w:szCs w:val="24"/>
        </w:rPr>
        <w:t>p</w:t>
      </w:r>
      <w:r>
        <w:rPr>
          <w:rFonts w:ascii="Times New Roman" w:hAnsi="Times New Roman" w:cs="Times New Roman"/>
          <w:sz w:val="24"/>
          <w:szCs w:val="24"/>
        </w:rPr>
        <w:t>&lt;0.05, **</w:t>
      </w:r>
      <w:r>
        <w:rPr>
          <w:rFonts w:hint="eastAsia" w:ascii="Times New Roman" w:hAnsi="Times New Roman" w:cs="Times New Roman"/>
          <w:i/>
          <w:iCs/>
          <w:sz w:val="24"/>
          <w:szCs w:val="24"/>
        </w:rPr>
        <w:t>p</w:t>
      </w:r>
      <w:r>
        <w:rPr>
          <w:rFonts w:ascii="Times New Roman" w:hAnsi="Times New Roman" w:cs="Times New Roman"/>
          <w:sz w:val="24"/>
          <w:szCs w:val="24"/>
        </w:rPr>
        <w:t>&lt;0.01, ***</w:t>
      </w:r>
      <w:r>
        <w:rPr>
          <w:rFonts w:hint="eastAsia" w:ascii="Times New Roman" w:hAnsi="Times New Roman" w:cs="Times New Roman"/>
          <w:i/>
          <w:iCs/>
          <w:sz w:val="24"/>
          <w:szCs w:val="24"/>
        </w:rPr>
        <w:t>p</w:t>
      </w:r>
      <w:r>
        <w:rPr>
          <w:rFonts w:ascii="Times New Roman" w:hAnsi="Times New Roman" w:cs="Times New Roman"/>
          <w:sz w:val="24"/>
          <w:szCs w:val="24"/>
        </w:rPr>
        <w:t>&lt;0.001</w:t>
      </w:r>
      <w:r>
        <w:rPr>
          <w:rFonts w:hint="eastAsia" w:ascii="Times New Roman" w:hAnsi="Times New Roman" w:cs="Times New Roman"/>
          <w:sz w:val="24"/>
          <w:szCs w:val="24"/>
        </w:rPr>
        <w:t>, ****</w:t>
      </w:r>
      <w:r>
        <w:rPr>
          <w:rFonts w:hint="eastAsia" w:ascii="Times New Roman" w:hAnsi="Times New Roman" w:cs="Times New Roman"/>
          <w:i/>
          <w:iCs/>
          <w:sz w:val="24"/>
          <w:szCs w:val="24"/>
        </w:rPr>
        <w:t>p</w:t>
      </w:r>
      <w:r>
        <w:rPr>
          <w:rFonts w:hint="eastAsia" w:ascii="Times New Roman" w:hAnsi="Times New Roman" w:cs="Times New Roman"/>
          <w:sz w:val="24"/>
          <w:szCs w:val="24"/>
        </w:rPr>
        <w:t>&lt;0.0001</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"ns" </w:t>
      </w:r>
      <w:r>
        <w:rPr>
          <w:rFonts w:hint="eastAsia" w:ascii="Times New Roman" w:hAnsi="Times New Roman" w:cs="Times New Roman"/>
          <w:sz w:val="24"/>
          <w:szCs w:val="24"/>
        </w:rPr>
        <w:t>indicated</w:t>
      </w:r>
      <w:r>
        <w:rPr>
          <w:rFonts w:ascii="Times New Roman" w:hAnsi="Times New Roman" w:cs="Times New Roman"/>
          <w:sz w:val="24"/>
          <w:szCs w:val="24"/>
        </w:rPr>
        <w:t xml:space="preserve"> no significant difference.</w:t>
      </w:r>
    </w:p>
    <w:p>
      <w:pPr>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4796155" cy="4180205"/>
            <wp:effectExtent l="0" t="0" r="4445" b="1270"/>
            <wp:docPr id="23" name="图片 23" descr="C:\Users\16277\Desktop\quercetin\最终排版20250206\SI\S21.jpg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16277\Desktop\quercetin\最终排版20250206\SI\S21.jpgS21"/>
                    <pic:cNvPicPr>
                      <a:picLocks noChangeAspect="1"/>
                    </pic:cNvPicPr>
                  </pic:nvPicPr>
                  <pic:blipFill>
                    <a:blip r:embed="rId24"/>
                    <a:srcRect/>
                    <a:stretch>
                      <a:fillRect/>
                    </a:stretch>
                  </pic:blipFill>
                  <pic:spPr>
                    <a:xfrm>
                      <a:off x="0" y="0"/>
                      <a:ext cx="4796155" cy="4180205"/>
                    </a:xfrm>
                    <a:prstGeom prst="rect">
                      <a:avLst/>
                    </a:prstGeom>
                  </pic:spPr>
                </pic:pic>
              </a:graphicData>
            </a:graphic>
          </wp:inline>
        </w:drawing>
      </w:r>
    </w:p>
    <w:p>
      <w:pPr>
        <w:spacing w:line="480" w:lineRule="auto"/>
        <w:rPr>
          <w:rFonts w:ascii="Times New Roman" w:hAnsi="Times New Roman" w:cs="Times New Roman"/>
          <w:sz w:val="24"/>
          <w:szCs w:val="24"/>
          <w:highlight w:val="none"/>
        </w:rPr>
      </w:pPr>
      <w:r>
        <w:rPr>
          <w:rFonts w:hint="eastAsia" w:ascii="Times New Roman" w:hAnsi="Times New Roman" w:cs="Times New Roman"/>
          <w:b/>
          <w:bCs/>
          <w:sz w:val="24"/>
          <w:szCs w:val="24"/>
          <w:highlight w:val="none"/>
        </w:rPr>
        <w:t>Figure S2</w:t>
      </w:r>
      <w:r>
        <w:rPr>
          <w:rFonts w:hint="eastAsia" w:ascii="Times New Roman" w:hAnsi="Times New Roman" w:cs="Times New Roman"/>
          <w:b/>
          <w:bCs/>
          <w:sz w:val="24"/>
          <w:szCs w:val="24"/>
          <w:highlight w:val="none"/>
          <w:lang w:val="en-US" w:eastAsia="zh-CN"/>
        </w:rPr>
        <w:t>1</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highlight w:val="none"/>
          <w:lang w:val="en-US" w:eastAsia="zh-CN"/>
        </w:rPr>
        <w:t xml:space="preserve"> </w:t>
      </w:r>
      <w:r>
        <w:rPr>
          <w:rFonts w:hint="eastAsia" w:ascii="Times New Roman" w:hAnsi="Times New Roman" w:cs="Times New Roman"/>
          <w:sz w:val="24"/>
          <w:szCs w:val="24"/>
          <w:highlight w:val="none"/>
        </w:rPr>
        <w:t>Semi-quantitative analysis of the expression levels of various cGAS-STING pathway-related proteins in tumor tissues</w:t>
      </w:r>
      <w:r>
        <w:rPr>
          <w:rFonts w:hint="eastAsia" w:ascii="Times New Roman" w:hAnsi="Times New Roman" w:cs="Times New Roman"/>
          <w:sz w:val="24"/>
          <w:szCs w:val="24"/>
          <w:highlight w:val="none"/>
          <w:lang w:val="en-US" w:eastAsia="zh-CN"/>
        </w:rPr>
        <w:t xml:space="preserve"> </w:t>
      </w:r>
      <w:r>
        <w:rPr>
          <w:rFonts w:ascii="Times New Roman" w:hAnsi="Times New Roman" w:cs="Times New Roman"/>
          <w:sz w:val="24"/>
          <w:szCs w:val="24"/>
          <w:highlight w:val="none"/>
          <w14:ligatures w14:val="standardContextual"/>
        </w:rPr>
        <w:t xml:space="preserve">(G1: Control, G2: MnCl₂, G3: Que, G4: NIR, G5: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G6: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 NIR).</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5250180" cy="1271905"/>
            <wp:effectExtent l="0" t="0" r="7620" b="4445"/>
            <wp:docPr id="19" name="图片 19" descr="C:\Users\16277\Desktop\quercetin\最终排版20250206\SI\S22.jpg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16277\Desktop\quercetin\最终排版20250206\SI\S22.jpgS22"/>
                    <pic:cNvPicPr>
                      <a:picLocks noChangeAspect="1"/>
                    </pic:cNvPicPr>
                  </pic:nvPicPr>
                  <pic:blipFill>
                    <a:blip r:embed="rId25"/>
                    <a:srcRect/>
                    <a:stretch>
                      <a:fillRect/>
                    </a:stretch>
                  </pic:blipFill>
                  <pic:spPr>
                    <a:xfrm>
                      <a:off x="0" y="0"/>
                      <a:ext cx="5250180" cy="1271905"/>
                    </a:xfrm>
                    <a:prstGeom prst="rect">
                      <a:avLst/>
                    </a:prstGeom>
                  </pic:spPr>
                </pic:pic>
              </a:graphicData>
            </a:graphic>
          </wp:inline>
        </w:drawing>
      </w:r>
    </w:p>
    <w:p>
      <w:pPr>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hint="eastAsia" w:ascii="Times New Roman" w:hAnsi="Times New Roman" w:cs="Times New Roman"/>
          <w:b/>
          <w:bCs/>
          <w:sz w:val="24"/>
          <w:szCs w:val="24"/>
          <w:highlight w:val="none"/>
        </w:rPr>
        <w:t>Figure S2</w:t>
      </w:r>
      <w:r>
        <w:rPr>
          <w:rFonts w:hint="eastAsia" w:ascii="Times New Roman" w:hAnsi="Times New Roman" w:cs="Times New Roman"/>
          <w:b/>
          <w:bCs/>
          <w:sz w:val="24"/>
          <w:szCs w:val="24"/>
          <w:highlight w:val="none"/>
          <w:lang w:val="en-US" w:eastAsia="zh-CN"/>
        </w:rPr>
        <w:t>2</w:t>
      </w:r>
      <w:r>
        <w:rPr>
          <w:rFonts w:hint="eastAsia" w:ascii="Times New Roman" w:hAnsi="Times New Roman" w:cs="Times New Roman"/>
          <w:b/>
          <w:bCs/>
          <w:sz w:val="24"/>
          <w:szCs w:val="24"/>
          <w:highlight w:val="none"/>
        </w:rPr>
        <w:t>.</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The percentage of CD80</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CD86</w:t>
      </w:r>
      <w:r>
        <w:rPr>
          <w:rFonts w:hint="eastAsia" w:ascii="Times New Roman" w:hAnsi="Times New Roman" w:cs="Times New Roman"/>
          <w:sz w:val="24"/>
          <w:szCs w:val="24"/>
          <w:vertAlign w:val="superscript"/>
        </w:rPr>
        <w:t>+</w:t>
      </w:r>
      <w:r>
        <w:rPr>
          <w:rFonts w:hint="eastAsia" w:ascii="Times New Roman" w:hAnsi="Times New Roman" w:cs="Times New Roman"/>
          <w:sz w:val="24"/>
          <w:szCs w:val="24"/>
        </w:rPr>
        <w:t xml:space="preserve"> mature dendritic cells in different treatment groups was analyzed by flow cytometry</w:t>
      </w:r>
      <w:r>
        <w:rPr>
          <w:rFonts w:hint="eastAsia"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 xml:space="preserve"> </w:t>
      </w:r>
      <w:r>
        <w:rPr>
          <w:rFonts w:ascii="Times New Roman" w:hAnsi="Times New Roman" w:cs="Times New Roman"/>
          <w:sz w:val="24"/>
          <w:szCs w:val="24"/>
          <w:highlight w:val="none"/>
          <w14:ligatures w14:val="standardContextual"/>
        </w:rPr>
        <w:t xml:space="preserve">(G1: Control, G2: MnCl₂, G3: Que, G4: NIR, G5: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G6: </w:t>
      </w:r>
      <w:r>
        <w:rPr>
          <w:rFonts w:hint="eastAsia" w:ascii="Times New Roman" w:hAnsi="Times New Roman" w:cs="Times New Roman"/>
          <w:sz w:val="24"/>
          <w:szCs w:val="24"/>
          <w:highlight w:val="none"/>
          <w14:ligatures w14:val="standardContextual"/>
        </w:rPr>
        <w:t>MQ</w:t>
      </w:r>
      <w:r>
        <w:rPr>
          <w:rFonts w:ascii="Times New Roman" w:hAnsi="Times New Roman" w:cs="Times New Roman"/>
          <w:sz w:val="24"/>
          <w:szCs w:val="24"/>
          <w:highlight w:val="none"/>
          <w14:ligatures w14:val="standardContextual"/>
        </w:rPr>
        <w:t xml:space="preserve"> + NIR).</w:t>
      </w:r>
    </w:p>
    <w:p>
      <w:pPr>
        <w:spacing w:line="480" w:lineRule="auto"/>
        <w:jc w:val="center"/>
        <w:rPr>
          <w:rFonts w:ascii="Times New Roman" w:hAnsi="Times New Roman" w:cs="Times New Roman"/>
          <w:sz w:val="24"/>
          <w:szCs w:val="24"/>
        </w:rPr>
      </w:pPr>
      <w:r>
        <w:rPr>
          <w:rFonts w:hint="eastAsia" w:ascii="Times New Roman" w:hAnsi="Times New Roman" w:cs="Times New Roman"/>
          <w:sz w:val="24"/>
          <w:szCs w:val="24"/>
        </w:rPr>
        <w:drawing>
          <wp:inline distT="0" distB="0" distL="114300" distR="114300">
            <wp:extent cx="2904490" cy="2426970"/>
            <wp:effectExtent l="0" t="0" r="635" b="1905"/>
            <wp:docPr id="24" name="图片 24" descr="C:\Users\16277\Desktop\quercetin\最终排版20250206\SI\S23.jpg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16277\Desktop\quercetin\最终排版20250206\SI\S23.jpgS23"/>
                    <pic:cNvPicPr>
                      <a:picLocks noChangeAspect="1"/>
                    </pic:cNvPicPr>
                  </pic:nvPicPr>
                  <pic:blipFill>
                    <a:blip r:embed="rId26"/>
                    <a:srcRect/>
                    <a:stretch>
                      <a:fillRect/>
                    </a:stretch>
                  </pic:blipFill>
                  <pic:spPr>
                    <a:xfrm>
                      <a:off x="0" y="0"/>
                      <a:ext cx="2904490" cy="2426970"/>
                    </a:xfrm>
                    <a:prstGeom prst="rect">
                      <a:avLst/>
                    </a:prstGeom>
                  </pic:spPr>
                </pic:pic>
              </a:graphicData>
            </a:graphic>
          </wp:inline>
        </w:drawing>
      </w:r>
    </w:p>
    <w:p>
      <w:pPr>
        <w:spacing w:line="480" w:lineRule="auto"/>
        <w:rPr>
          <w:rFonts w:ascii="Times New Roman" w:hAnsi="Times New Roman" w:cs="Times New Roman"/>
          <w:sz w:val="24"/>
          <w:szCs w:val="24"/>
          <w:highlight w:val="none"/>
        </w:rPr>
      </w:pPr>
      <w:r>
        <w:rPr>
          <w:rFonts w:hint="eastAsia" w:ascii="Times New Roman" w:hAnsi="Times New Roman" w:cs="Times New Roman"/>
          <w:b/>
          <w:bCs/>
          <w:sz w:val="24"/>
          <w:szCs w:val="24"/>
          <w:highlight w:val="none"/>
        </w:rPr>
        <w:t>Figure S2</w:t>
      </w:r>
      <w:r>
        <w:rPr>
          <w:rFonts w:hint="eastAsia" w:ascii="Times New Roman" w:hAnsi="Times New Roman" w:cs="Times New Roman"/>
          <w:b/>
          <w:bCs/>
          <w:sz w:val="24"/>
          <w:szCs w:val="24"/>
          <w:highlight w:val="none"/>
          <w:lang w:val="en-US" w:eastAsia="zh-CN"/>
        </w:rPr>
        <w:t>3</w:t>
      </w:r>
      <w:r>
        <w:rPr>
          <w:rFonts w:hint="eastAsia" w:ascii="Times New Roman" w:hAnsi="Times New Roman" w:cs="Times New Roman"/>
          <w:b/>
          <w:bCs/>
          <w:sz w:val="24"/>
          <w:szCs w:val="24"/>
          <w:highlight w:val="none"/>
        </w:rPr>
        <w:t xml:space="preserve">. </w:t>
      </w:r>
      <w:r>
        <w:rPr>
          <w:rFonts w:hint="eastAsia" w:ascii="Times New Roman" w:hAnsi="Times New Roman" w:cs="Times New Roman"/>
          <w:sz w:val="24"/>
          <w:szCs w:val="24"/>
          <w:highlight w:val="none"/>
        </w:rPr>
        <w:t xml:space="preserve">Levels of cGAMP in the serum of Hepa1-6 tumor-bearing mice following different treatments. </w:t>
      </w:r>
      <w:r>
        <w:rPr>
          <w:rFonts w:ascii="Times New Roman" w:hAnsi="Times New Roman" w:cs="Times New Roman"/>
          <w:sz w:val="24"/>
          <w:szCs w:val="24"/>
          <w:highlight w:val="none"/>
        </w:rPr>
        <w:t xml:space="preserve">Differences between groups were analyzed using one-way ANOVA. Significance levels </w:t>
      </w:r>
      <w:r>
        <w:rPr>
          <w:rFonts w:hint="eastAsia" w:ascii="Times New Roman" w:hAnsi="Times New Roman" w:cs="Times New Roman"/>
          <w:sz w:val="24"/>
          <w:szCs w:val="24"/>
          <w:highlight w:val="none"/>
          <w:lang w:val="en-US" w:eastAsia="zh-CN"/>
        </w:rPr>
        <w:t>were</w:t>
      </w:r>
      <w:r>
        <w:rPr>
          <w:rFonts w:ascii="Times New Roman" w:hAnsi="Times New Roman" w:cs="Times New Roman"/>
          <w:sz w:val="24"/>
          <w:szCs w:val="24"/>
          <w:highlight w:val="none"/>
        </w:rPr>
        <w:t xml:space="preserve"> indicated as follows: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&lt;0.05,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&lt;0.01, ***</w:t>
      </w:r>
      <w:r>
        <w:rPr>
          <w:rFonts w:hint="eastAsia" w:ascii="Times New Roman" w:hAnsi="Times New Roman" w:cs="Times New Roman"/>
          <w:i/>
          <w:iCs/>
          <w:sz w:val="24"/>
          <w:szCs w:val="24"/>
          <w:highlight w:val="none"/>
        </w:rPr>
        <w:t>p</w:t>
      </w:r>
      <w:r>
        <w:rPr>
          <w:rFonts w:ascii="Times New Roman" w:hAnsi="Times New Roman" w:cs="Times New Roman"/>
          <w:sz w:val="24"/>
          <w:szCs w:val="24"/>
          <w:highlight w:val="none"/>
        </w:rPr>
        <w:t>&lt;0.001</w:t>
      </w:r>
      <w:r>
        <w:rPr>
          <w:rFonts w:hint="eastAsia" w:ascii="Times New Roman" w:hAnsi="Times New Roman" w:cs="Times New Roman"/>
          <w:sz w:val="24"/>
          <w:szCs w:val="24"/>
          <w:highlight w:val="none"/>
        </w:rPr>
        <w:t>, ****</w:t>
      </w:r>
      <w:r>
        <w:rPr>
          <w:rFonts w:hint="eastAsia" w:ascii="Times New Roman" w:hAnsi="Times New Roman" w:cs="Times New Roman"/>
          <w:i/>
          <w:iCs/>
          <w:sz w:val="24"/>
          <w:szCs w:val="24"/>
          <w:highlight w:val="none"/>
        </w:rPr>
        <w:t>p</w:t>
      </w:r>
      <w:r>
        <w:rPr>
          <w:rFonts w:hint="eastAsia" w:ascii="Times New Roman" w:hAnsi="Times New Roman" w:cs="Times New Roman"/>
          <w:sz w:val="24"/>
          <w:szCs w:val="24"/>
          <w:highlight w:val="none"/>
        </w:rPr>
        <w:t>&lt;0.0001</w:t>
      </w:r>
      <w:r>
        <w:rPr>
          <w:rFonts w:ascii="Times New Roman" w:hAnsi="Times New Roman" w:cs="Times New Roman"/>
          <w:sz w:val="24"/>
          <w:szCs w:val="24"/>
          <w:highlight w:val="none"/>
        </w:rPr>
        <w:t xml:space="preserve">. "ns" </w:t>
      </w:r>
      <w:r>
        <w:rPr>
          <w:rFonts w:hint="eastAsia" w:ascii="Times New Roman" w:hAnsi="Times New Roman" w:cs="Times New Roman"/>
          <w:sz w:val="24"/>
          <w:szCs w:val="24"/>
          <w:highlight w:val="none"/>
        </w:rPr>
        <w:t>indicated</w:t>
      </w:r>
      <w:r>
        <w:rPr>
          <w:rFonts w:ascii="Times New Roman" w:hAnsi="Times New Roman" w:cs="Times New Roman"/>
          <w:sz w:val="24"/>
          <w:szCs w:val="24"/>
          <w:highlight w:val="none"/>
        </w:rPr>
        <w:t xml:space="preserve"> no significant difference.</w:t>
      </w:r>
    </w:p>
    <w:p>
      <w:pPr>
        <w:spacing w:line="480" w:lineRule="auto"/>
        <w:rPr>
          <w:rFonts w:ascii="Times New Roman" w:hAnsi="Times New Roman" w:cs="Times New Roman"/>
          <w:sz w:val="24"/>
          <w:szCs w:val="24"/>
          <w:highlight w:val="yellow"/>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p>
    <w:p>
      <w:pPr>
        <w:spacing w:line="480" w:lineRule="auto"/>
        <w:rPr>
          <w:rFonts w:ascii="Times New Roman" w:hAnsi="Times New Roman" w:cs="Times New Roman"/>
          <w:b/>
          <w:bCs/>
          <w:sz w:val="24"/>
          <w:szCs w:val="24"/>
          <w:highlight w:val="yellow"/>
        </w:rPr>
      </w:pPr>
      <w:r>
        <w:rPr>
          <w:rFonts w:hint="eastAsia" w:ascii="Times New Roman" w:hAnsi="Times New Roman" w:cs="Times New Roman"/>
          <w:sz w:val="24"/>
          <w:szCs w:val="24"/>
        </w:rPr>
        <w:drawing>
          <wp:inline distT="0" distB="0" distL="114300" distR="114300">
            <wp:extent cx="5100320" cy="5288915"/>
            <wp:effectExtent l="0" t="0" r="5080" b="6985"/>
            <wp:docPr id="25" name="图片 25" descr="C:\Users\16277\Desktop\quercetin\最终排版20250206\SI\S24.jpg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16277\Desktop\quercetin\最终排版20250206\SI\S24.jpgS24"/>
                    <pic:cNvPicPr>
                      <a:picLocks noChangeAspect="1"/>
                    </pic:cNvPicPr>
                  </pic:nvPicPr>
                  <pic:blipFill>
                    <a:blip r:embed="rId27"/>
                    <a:srcRect/>
                    <a:stretch>
                      <a:fillRect/>
                    </a:stretch>
                  </pic:blipFill>
                  <pic:spPr>
                    <a:xfrm>
                      <a:off x="0" y="0"/>
                      <a:ext cx="5100320" cy="5288915"/>
                    </a:xfrm>
                    <a:prstGeom prst="rect">
                      <a:avLst/>
                    </a:prstGeom>
                  </pic:spPr>
                </pic:pic>
              </a:graphicData>
            </a:graphic>
          </wp:inline>
        </w:drawing>
      </w:r>
    </w:p>
    <w:p>
      <w:pPr>
        <w:spacing w:line="480" w:lineRule="auto"/>
        <w:rPr>
          <w:rFonts w:ascii="Times New Roman" w:hAnsi="Times New Roman" w:cs="Times New Roman"/>
          <w:sz w:val="24"/>
          <w:szCs w:val="24"/>
          <w:highlight w:val="none"/>
        </w:rPr>
      </w:pPr>
      <w:r>
        <w:rPr>
          <w:rFonts w:hint="eastAsia" w:ascii="Times New Roman" w:hAnsi="Times New Roman" w:cs="Times New Roman"/>
          <w:b/>
          <w:bCs/>
          <w:sz w:val="24"/>
          <w:szCs w:val="24"/>
          <w:highlight w:val="none"/>
        </w:rPr>
        <w:t>Figure S2</w:t>
      </w:r>
      <w:r>
        <w:rPr>
          <w:rFonts w:hint="eastAsia" w:ascii="Times New Roman" w:hAnsi="Times New Roman" w:cs="Times New Roman"/>
          <w:b/>
          <w:bCs/>
          <w:sz w:val="24"/>
          <w:szCs w:val="24"/>
          <w:highlight w:val="none"/>
          <w:lang w:val="en-US" w:eastAsia="zh-CN"/>
        </w:rPr>
        <w:t>4</w:t>
      </w:r>
      <w:r>
        <w:rPr>
          <w:rFonts w:hint="eastAsia" w:ascii="Times New Roman" w:hAnsi="Times New Roman" w:cs="Times New Roman"/>
          <w:b/>
          <w:bCs/>
          <w:sz w:val="24"/>
          <w:szCs w:val="24"/>
          <w:highlight w:val="none"/>
        </w:rPr>
        <w:t xml:space="preserve">. </w:t>
      </w:r>
      <w:r>
        <w:rPr>
          <w:rFonts w:hint="eastAsia" w:ascii="Times New Roman" w:hAnsi="Times New Roman" w:cs="Times New Roman"/>
          <w:sz w:val="24"/>
          <w:szCs w:val="24"/>
          <w:highlight w:val="none"/>
        </w:rPr>
        <w:t>(A) Schematic representation of the experimental procedure</w:t>
      </w:r>
      <w:r>
        <w:rPr>
          <w:rFonts w:hint="eastAsia"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rPr>
        <w:t xml:space="preserve"> Tumor growth over time for the primary tumor (B) and the secondary tumor (C) in each treatment group (n = 5)</w:t>
      </w:r>
      <w:r>
        <w:rPr>
          <w:rFonts w:hint="eastAsia"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rPr>
        <w:t xml:space="preserve"> (D) Time-dependent weight changes in mice from different treatment groups (n = 5)</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rPr>
        <w:t>(E) Visual images of primary and secondary tumors in each treatment group</w:t>
      </w:r>
      <w:r>
        <w:rPr>
          <w:rFonts w:hint="eastAsia"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rPr>
        <w:t xml:space="preserve"> (F) </w:t>
      </w:r>
      <w:r>
        <w:rPr>
          <w:rFonts w:ascii="Times New Roman" w:hAnsi="Times New Roman" w:cs="Times New Roman"/>
          <w:sz w:val="24"/>
          <w:szCs w:val="24"/>
          <w:highlight w:val="none"/>
        </w:rPr>
        <w:t>FCM patterns and (</w:t>
      </w:r>
      <w:r>
        <w:rPr>
          <w:rFonts w:hint="eastAsia" w:ascii="Times New Roman" w:hAnsi="Times New Roman" w:cs="Times New Roman"/>
          <w:sz w:val="24"/>
          <w:szCs w:val="24"/>
          <w:highlight w:val="none"/>
        </w:rPr>
        <w:t>G</w:t>
      </w:r>
      <w:r>
        <w:rPr>
          <w:rFonts w:ascii="Times New Roman" w:hAnsi="Times New Roman" w:cs="Times New Roman"/>
          <w:sz w:val="24"/>
          <w:szCs w:val="24"/>
          <w:highlight w:val="none"/>
        </w:rPr>
        <w:t>) quantitative analysis of CD8⁺ T cells within the CD3⁺ T cells population after 1</w:t>
      </w:r>
      <w:r>
        <w:rPr>
          <w:rFonts w:hint="eastAsia" w:ascii="Times New Roman" w:hAnsi="Times New Roman" w:cs="Times New Roman"/>
          <w:sz w:val="24"/>
          <w:szCs w:val="24"/>
          <w:highlight w:val="none"/>
        </w:rPr>
        <w:t>8</w:t>
      </w:r>
      <w:r>
        <w:rPr>
          <w:rFonts w:ascii="Times New Roman" w:hAnsi="Times New Roman" w:cs="Times New Roman"/>
          <w:sz w:val="24"/>
          <w:szCs w:val="24"/>
          <w:highlight w:val="none"/>
        </w:rPr>
        <w:t xml:space="preserve"> days</w:t>
      </w:r>
      <w:r>
        <w:rPr>
          <w:rFonts w:hint="eastAsia" w:ascii="Times New Roman" w:hAnsi="Times New Roman" w:cs="Times New Roman"/>
          <w:sz w:val="24"/>
          <w:szCs w:val="24"/>
          <w:highlight w:val="none"/>
        </w:rPr>
        <w:t xml:space="preserve"> in</w:t>
      </w:r>
      <w:r>
        <w:rPr>
          <w:rFonts w:ascii="Times New Roman" w:hAnsi="Times New Roman" w:cs="Times New Roman"/>
          <w:sz w:val="24"/>
          <w:szCs w:val="24"/>
          <w:highlight w:val="none"/>
        </w:rPr>
        <w:t xml:space="preserve"> different treatment groups</w:t>
      </w:r>
      <w:r>
        <w:rPr>
          <w:rFonts w:hint="eastAsia" w:ascii="Times New Roman" w:hAnsi="Times New Roman" w:cs="Times New Roman"/>
          <w:sz w:val="24"/>
          <w:szCs w:val="24"/>
          <w:highlight w:val="none"/>
        </w:rPr>
        <w:t>;</w:t>
      </w:r>
      <w:r>
        <w:rPr>
          <w:rFonts w:ascii="Times New Roman" w:hAnsi="Times New Roman" w:cs="Times New Roman"/>
          <w:sz w:val="24"/>
          <w:szCs w:val="24"/>
          <w:highlight w:val="none"/>
        </w:rPr>
        <w:t xml:space="preserve"> Statistical differences between groups were analyzed using </w:t>
      </w:r>
      <w:r>
        <w:rPr>
          <w:rFonts w:hint="eastAsia" w:ascii="Times New Roman" w:hAnsi="Times New Roman" w:cs="Times New Roman"/>
          <w:sz w:val="24"/>
          <w:szCs w:val="24"/>
          <w:highlight w:val="none"/>
        </w:rPr>
        <w:t>Student's t test</w:t>
      </w:r>
      <w:r>
        <w:rPr>
          <w:rFonts w:ascii="Times New Roman" w:hAnsi="Times New Roman" w:cs="Times New Roman"/>
          <w:sz w:val="24"/>
          <w:szCs w:val="24"/>
          <w:highlight w:val="none"/>
        </w:rPr>
        <w:t xml:space="preserve">. </w:t>
      </w:r>
      <w:r>
        <w:rPr>
          <w:rFonts w:hint="eastAsia" w:ascii="Times New Roman" w:hAnsi="Times New Roman" w:cs="Times New Roman"/>
          <w:sz w:val="24"/>
          <w:szCs w:val="24"/>
          <w:highlight w:val="none"/>
        </w:rPr>
        <w:t xml:space="preserve">Significance levels </w:t>
      </w:r>
      <w:r>
        <w:rPr>
          <w:rFonts w:hint="eastAsia" w:ascii="Times New Roman" w:hAnsi="Times New Roman" w:cs="Times New Roman"/>
          <w:sz w:val="24"/>
          <w:szCs w:val="24"/>
          <w:highlight w:val="none"/>
          <w:lang w:val="en-US" w:eastAsia="zh-CN"/>
        </w:rPr>
        <w:t>were</w:t>
      </w:r>
      <w:r>
        <w:rPr>
          <w:rFonts w:hint="eastAsia" w:ascii="Times New Roman" w:hAnsi="Times New Roman" w:cs="Times New Roman"/>
          <w:sz w:val="24"/>
          <w:szCs w:val="24"/>
          <w:highlight w:val="none"/>
        </w:rPr>
        <w:t xml:space="preserve"> indicated as follows: </w:t>
      </w:r>
      <w:r>
        <w:rPr>
          <w:rFonts w:ascii="Times New Roman" w:hAnsi="Times New Roman" w:cs="Times New Roman"/>
          <w:sz w:val="24"/>
          <w:szCs w:val="24"/>
          <w:highlight w:val="none"/>
        </w:rPr>
        <w:t>*</w:t>
      </w:r>
      <w:r>
        <w:rPr>
          <w:rFonts w:hint="eastAsia" w:ascii="Times New Roman" w:hAnsi="Times New Roman" w:cs="Times New Roman"/>
          <w:sz w:val="24"/>
          <w:szCs w:val="24"/>
          <w:highlight w:val="none"/>
        </w:rPr>
        <w:t>p</w:t>
      </w:r>
      <w:r>
        <w:rPr>
          <w:rFonts w:ascii="Times New Roman" w:hAnsi="Times New Roman" w:cs="Times New Roman"/>
          <w:sz w:val="24"/>
          <w:szCs w:val="24"/>
          <w:highlight w:val="none"/>
        </w:rPr>
        <w:t>&lt;0.05, **</w:t>
      </w:r>
      <w:r>
        <w:rPr>
          <w:rFonts w:hint="eastAsia" w:ascii="Times New Roman" w:hAnsi="Times New Roman" w:cs="Times New Roman"/>
          <w:sz w:val="24"/>
          <w:szCs w:val="24"/>
          <w:highlight w:val="none"/>
        </w:rPr>
        <w:t>p</w:t>
      </w:r>
      <w:r>
        <w:rPr>
          <w:rFonts w:ascii="Times New Roman" w:hAnsi="Times New Roman" w:cs="Times New Roman"/>
          <w:sz w:val="24"/>
          <w:szCs w:val="24"/>
          <w:highlight w:val="none"/>
        </w:rPr>
        <w:t>&lt;0.01, ***</w:t>
      </w:r>
      <w:r>
        <w:rPr>
          <w:rFonts w:hint="eastAsia" w:ascii="Times New Roman" w:hAnsi="Times New Roman" w:cs="Times New Roman"/>
          <w:sz w:val="24"/>
          <w:szCs w:val="24"/>
          <w:highlight w:val="none"/>
        </w:rPr>
        <w:t>p</w:t>
      </w:r>
      <w:r>
        <w:rPr>
          <w:rFonts w:ascii="Times New Roman" w:hAnsi="Times New Roman" w:cs="Times New Roman"/>
          <w:sz w:val="24"/>
          <w:szCs w:val="24"/>
          <w:highlight w:val="none"/>
        </w:rPr>
        <w:t>&lt;0.001</w:t>
      </w:r>
      <w:r>
        <w:rPr>
          <w:rFonts w:hint="eastAsia" w:ascii="Times New Roman" w:hAnsi="Times New Roman" w:cs="Times New Roman"/>
          <w:sz w:val="24"/>
          <w:szCs w:val="24"/>
          <w:highlight w:val="none"/>
        </w:rPr>
        <w:t>, ****p &lt; 0.0001</w:t>
      </w:r>
      <w:r>
        <w:rPr>
          <w:rFonts w:ascii="Times New Roman" w:hAnsi="Times New Roman" w:cs="Times New Roman"/>
          <w:sz w:val="24"/>
          <w:szCs w:val="24"/>
          <w:highlight w:val="none"/>
        </w:rPr>
        <w:t xml:space="preserve">. "ns" </w:t>
      </w:r>
      <w:r>
        <w:rPr>
          <w:rFonts w:hint="eastAsia" w:ascii="Times New Roman" w:hAnsi="Times New Roman" w:cs="Times New Roman"/>
          <w:sz w:val="24"/>
          <w:szCs w:val="24"/>
          <w:highlight w:val="none"/>
        </w:rPr>
        <w:t>indicated</w:t>
      </w:r>
      <w:r>
        <w:rPr>
          <w:rFonts w:ascii="Times New Roman" w:hAnsi="Times New Roman" w:cs="Times New Roman"/>
          <w:sz w:val="24"/>
          <w:szCs w:val="24"/>
          <w:highlight w:val="none"/>
        </w:rPr>
        <w:t xml:space="preserve"> no significant difference.</w:t>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3MzcwNjg3Mzc5MWYwMTg1ZGI2Yzk1NmJhYTE3MDgifQ=="/>
    <w:docVar w:name="KSO_WPS_MARK_KEY" w:val="8d28b60b-9bfa-4786-80fd-8894b166aeb1"/>
  </w:docVars>
  <w:rsids>
    <w:rsidRoot w:val="007F3554"/>
    <w:rsid w:val="0000461F"/>
    <w:rsid w:val="00022856"/>
    <w:rsid w:val="000F4787"/>
    <w:rsid w:val="00113E28"/>
    <w:rsid w:val="001D40A2"/>
    <w:rsid w:val="001D5EB9"/>
    <w:rsid w:val="001D6BB8"/>
    <w:rsid w:val="0028187B"/>
    <w:rsid w:val="002A78B9"/>
    <w:rsid w:val="00331100"/>
    <w:rsid w:val="003327F4"/>
    <w:rsid w:val="003D2766"/>
    <w:rsid w:val="004565CA"/>
    <w:rsid w:val="00461112"/>
    <w:rsid w:val="004773F3"/>
    <w:rsid w:val="004C1A46"/>
    <w:rsid w:val="004D6336"/>
    <w:rsid w:val="004F4B16"/>
    <w:rsid w:val="005051F5"/>
    <w:rsid w:val="00547447"/>
    <w:rsid w:val="00583CF7"/>
    <w:rsid w:val="005A76CE"/>
    <w:rsid w:val="005C56C3"/>
    <w:rsid w:val="00624BD1"/>
    <w:rsid w:val="006A2701"/>
    <w:rsid w:val="006F4184"/>
    <w:rsid w:val="00755232"/>
    <w:rsid w:val="00756538"/>
    <w:rsid w:val="007F3554"/>
    <w:rsid w:val="0082514E"/>
    <w:rsid w:val="009149C0"/>
    <w:rsid w:val="00952483"/>
    <w:rsid w:val="00A67AE5"/>
    <w:rsid w:val="00A750D4"/>
    <w:rsid w:val="00A772FF"/>
    <w:rsid w:val="00A9199E"/>
    <w:rsid w:val="00A97EBD"/>
    <w:rsid w:val="00BF5AE0"/>
    <w:rsid w:val="00C02E7B"/>
    <w:rsid w:val="00C151B8"/>
    <w:rsid w:val="00C43702"/>
    <w:rsid w:val="00CB37DC"/>
    <w:rsid w:val="00CD00E3"/>
    <w:rsid w:val="00CF293C"/>
    <w:rsid w:val="00D00D04"/>
    <w:rsid w:val="00DC00C8"/>
    <w:rsid w:val="00E1657D"/>
    <w:rsid w:val="00EA0662"/>
    <w:rsid w:val="00F314C7"/>
    <w:rsid w:val="00F93AC5"/>
    <w:rsid w:val="00FA36F3"/>
    <w:rsid w:val="00FD0E6A"/>
    <w:rsid w:val="01277E1F"/>
    <w:rsid w:val="015A4F4F"/>
    <w:rsid w:val="02C71B48"/>
    <w:rsid w:val="02CE203F"/>
    <w:rsid w:val="02DE65EA"/>
    <w:rsid w:val="03577A2F"/>
    <w:rsid w:val="039658A2"/>
    <w:rsid w:val="03AC1B29"/>
    <w:rsid w:val="03AD6B31"/>
    <w:rsid w:val="043428F5"/>
    <w:rsid w:val="0497393D"/>
    <w:rsid w:val="04E92697"/>
    <w:rsid w:val="05171224"/>
    <w:rsid w:val="064C52F5"/>
    <w:rsid w:val="06512E7E"/>
    <w:rsid w:val="08471E20"/>
    <w:rsid w:val="0901189E"/>
    <w:rsid w:val="097C1F9D"/>
    <w:rsid w:val="09A70672"/>
    <w:rsid w:val="0AD471C8"/>
    <w:rsid w:val="0AD959C3"/>
    <w:rsid w:val="0B5E5713"/>
    <w:rsid w:val="0C5222AD"/>
    <w:rsid w:val="0CB14942"/>
    <w:rsid w:val="0CE95398"/>
    <w:rsid w:val="0DA23BAB"/>
    <w:rsid w:val="0E0474BF"/>
    <w:rsid w:val="0EED352A"/>
    <w:rsid w:val="11CD2685"/>
    <w:rsid w:val="12C26AA2"/>
    <w:rsid w:val="12DC60D1"/>
    <w:rsid w:val="13963C5C"/>
    <w:rsid w:val="13C03A3F"/>
    <w:rsid w:val="14A80B86"/>
    <w:rsid w:val="14A87641"/>
    <w:rsid w:val="14E07D19"/>
    <w:rsid w:val="16094BB9"/>
    <w:rsid w:val="16C21480"/>
    <w:rsid w:val="16D231FD"/>
    <w:rsid w:val="18706DAC"/>
    <w:rsid w:val="18E1732E"/>
    <w:rsid w:val="19F417E5"/>
    <w:rsid w:val="1A606D71"/>
    <w:rsid w:val="1AF00E70"/>
    <w:rsid w:val="1BDA2570"/>
    <w:rsid w:val="1DCD2970"/>
    <w:rsid w:val="1E2E2AAB"/>
    <w:rsid w:val="1E737019"/>
    <w:rsid w:val="1F37430E"/>
    <w:rsid w:val="1F5667E0"/>
    <w:rsid w:val="1F6D07C1"/>
    <w:rsid w:val="1F9505EE"/>
    <w:rsid w:val="1FAA740D"/>
    <w:rsid w:val="20656014"/>
    <w:rsid w:val="20F326ED"/>
    <w:rsid w:val="213E5987"/>
    <w:rsid w:val="21605DF1"/>
    <w:rsid w:val="219D6C64"/>
    <w:rsid w:val="21D4251F"/>
    <w:rsid w:val="225466BF"/>
    <w:rsid w:val="22C3455B"/>
    <w:rsid w:val="23C16AD3"/>
    <w:rsid w:val="24635ABE"/>
    <w:rsid w:val="24D63EE5"/>
    <w:rsid w:val="250B0E94"/>
    <w:rsid w:val="25934320"/>
    <w:rsid w:val="25ED2BCF"/>
    <w:rsid w:val="26B96D85"/>
    <w:rsid w:val="26D95FE4"/>
    <w:rsid w:val="26EE2789"/>
    <w:rsid w:val="270B2B29"/>
    <w:rsid w:val="27400656"/>
    <w:rsid w:val="27B70AB5"/>
    <w:rsid w:val="28735258"/>
    <w:rsid w:val="28F12425"/>
    <w:rsid w:val="293E69E4"/>
    <w:rsid w:val="29453D02"/>
    <w:rsid w:val="29DA7B4A"/>
    <w:rsid w:val="2B3B011B"/>
    <w:rsid w:val="2BB43E43"/>
    <w:rsid w:val="2BBF19F7"/>
    <w:rsid w:val="2CBA4C5B"/>
    <w:rsid w:val="2E9F34F8"/>
    <w:rsid w:val="2EFC0033"/>
    <w:rsid w:val="2F313A92"/>
    <w:rsid w:val="2F4D6C47"/>
    <w:rsid w:val="2FF224B1"/>
    <w:rsid w:val="301B795E"/>
    <w:rsid w:val="30A56CD5"/>
    <w:rsid w:val="30A773F7"/>
    <w:rsid w:val="30C16364"/>
    <w:rsid w:val="30FC2C9E"/>
    <w:rsid w:val="3119508C"/>
    <w:rsid w:val="315F63F0"/>
    <w:rsid w:val="32AD175A"/>
    <w:rsid w:val="32B11E55"/>
    <w:rsid w:val="32C10B60"/>
    <w:rsid w:val="3415123D"/>
    <w:rsid w:val="34515C33"/>
    <w:rsid w:val="3494478F"/>
    <w:rsid w:val="366706B3"/>
    <w:rsid w:val="36F41EEB"/>
    <w:rsid w:val="3773505B"/>
    <w:rsid w:val="37B13D7F"/>
    <w:rsid w:val="37D20E57"/>
    <w:rsid w:val="3898033A"/>
    <w:rsid w:val="38D31721"/>
    <w:rsid w:val="38F8669B"/>
    <w:rsid w:val="39F534AC"/>
    <w:rsid w:val="3A1D08EB"/>
    <w:rsid w:val="3AF6107D"/>
    <w:rsid w:val="3B4F576B"/>
    <w:rsid w:val="3B514788"/>
    <w:rsid w:val="3BF24497"/>
    <w:rsid w:val="3CD43E2A"/>
    <w:rsid w:val="3CF651E6"/>
    <w:rsid w:val="3D0D14CD"/>
    <w:rsid w:val="3D945BA6"/>
    <w:rsid w:val="3DE26B28"/>
    <w:rsid w:val="3EA4641E"/>
    <w:rsid w:val="3EB5060A"/>
    <w:rsid w:val="3F7275DF"/>
    <w:rsid w:val="3FFA7B19"/>
    <w:rsid w:val="40EC61C1"/>
    <w:rsid w:val="42AB2D5A"/>
    <w:rsid w:val="42B42C81"/>
    <w:rsid w:val="45D96B96"/>
    <w:rsid w:val="46196C1E"/>
    <w:rsid w:val="462F33C3"/>
    <w:rsid w:val="46FB4148"/>
    <w:rsid w:val="47224B4B"/>
    <w:rsid w:val="47275169"/>
    <w:rsid w:val="47411B55"/>
    <w:rsid w:val="4743741A"/>
    <w:rsid w:val="47932B2D"/>
    <w:rsid w:val="485578E8"/>
    <w:rsid w:val="49AC40FF"/>
    <w:rsid w:val="49D33F18"/>
    <w:rsid w:val="4AB74C1F"/>
    <w:rsid w:val="4B1878D9"/>
    <w:rsid w:val="4B9C41C4"/>
    <w:rsid w:val="4BC45398"/>
    <w:rsid w:val="4C225BB3"/>
    <w:rsid w:val="4C2B14FE"/>
    <w:rsid w:val="4C431988"/>
    <w:rsid w:val="4C805486"/>
    <w:rsid w:val="4CBD7ED0"/>
    <w:rsid w:val="4D526783"/>
    <w:rsid w:val="4DD30EE6"/>
    <w:rsid w:val="4E7D7917"/>
    <w:rsid w:val="4EA2509B"/>
    <w:rsid w:val="4F0864F6"/>
    <w:rsid w:val="4F3E3A9F"/>
    <w:rsid w:val="4FDE405A"/>
    <w:rsid w:val="5031383E"/>
    <w:rsid w:val="504D5F3B"/>
    <w:rsid w:val="512A5C6B"/>
    <w:rsid w:val="517B14AD"/>
    <w:rsid w:val="51896775"/>
    <w:rsid w:val="52E42D79"/>
    <w:rsid w:val="53880AE4"/>
    <w:rsid w:val="54183C3E"/>
    <w:rsid w:val="54816FB3"/>
    <w:rsid w:val="54880E53"/>
    <w:rsid w:val="54C56556"/>
    <w:rsid w:val="54E95E6A"/>
    <w:rsid w:val="54EB4EAE"/>
    <w:rsid w:val="55A20082"/>
    <w:rsid w:val="55B3034F"/>
    <w:rsid w:val="56C04B10"/>
    <w:rsid w:val="571D3460"/>
    <w:rsid w:val="58941B42"/>
    <w:rsid w:val="58F10210"/>
    <w:rsid w:val="5983160D"/>
    <w:rsid w:val="59DB1995"/>
    <w:rsid w:val="5AD62ED8"/>
    <w:rsid w:val="5CD24261"/>
    <w:rsid w:val="5CEA26AB"/>
    <w:rsid w:val="5E714676"/>
    <w:rsid w:val="5ED04BA7"/>
    <w:rsid w:val="5F072CCB"/>
    <w:rsid w:val="5F971552"/>
    <w:rsid w:val="5FB46F10"/>
    <w:rsid w:val="5FF337F1"/>
    <w:rsid w:val="61C55970"/>
    <w:rsid w:val="621A15CC"/>
    <w:rsid w:val="628030A5"/>
    <w:rsid w:val="62937771"/>
    <w:rsid w:val="63B2033A"/>
    <w:rsid w:val="64995122"/>
    <w:rsid w:val="64AF6B29"/>
    <w:rsid w:val="650D0A68"/>
    <w:rsid w:val="652D4451"/>
    <w:rsid w:val="65F85FC3"/>
    <w:rsid w:val="661F722A"/>
    <w:rsid w:val="663676F9"/>
    <w:rsid w:val="66AD6467"/>
    <w:rsid w:val="681D761D"/>
    <w:rsid w:val="68243329"/>
    <w:rsid w:val="68FD13B2"/>
    <w:rsid w:val="698B594D"/>
    <w:rsid w:val="69961435"/>
    <w:rsid w:val="6A0C12BB"/>
    <w:rsid w:val="6A4E292F"/>
    <w:rsid w:val="6B6518CC"/>
    <w:rsid w:val="6C0001D7"/>
    <w:rsid w:val="6D3A52E9"/>
    <w:rsid w:val="6E0420EC"/>
    <w:rsid w:val="6F563B40"/>
    <w:rsid w:val="6F9C6B7D"/>
    <w:rsid w:val="70B46AD7"/>
    <w:rsid w:val="70CF69A0"/>
    <w:rsid w:val="70EB7643"/>
    <w:rsid w:val="717E187C"/>
    <w:rsid w:val="718971E6"/>
    <w:rsid w:val="718A5E55"/>
    <w:rsid w:val="72230B00"/>
    <w:rsid w:val="72A13B81"/>
    <w:rsid w:val="73832602"/>
    <w:rsid w:val="73E01C2A"/>
    <w:rsid w:val="74732EE7"/>
    <w:rsid w:val="74A571C1"/>
    <w:rsid w:val="75876595"/>
    <w:rsid w:val="76BB072D"/>
    <w:rsid w:val="76CB20D1"/>
    <w:rsid w:val="76FC0353"/>
    <w:rsid w:val="77191E2A"/>
    <w:rsid w:val="77516DBD"/>
    <w:rsid w:val="77971420"/>
    <w:rsid w:val="79892D64"/>
    <w:rsid w:val="79F90775"/>
    <w:rsid w:val="7A794B87"/>
    <w:rsid w:val="7A7A252E"/>
    <w:rsid w:val="7AA853FA"/>
    <w:rsid w:val="7B7A464E"/>
    <w:rsid w:val="7BD164CD"/>
    <w:rsid w:val="7C43726C"/>
    <w:rsid w:val="7CCA0FAE"/>
    <w:rsid w:val="7DC31BB4"/>
    <w:rsid w:val="7DEE7639"/>
    <w:rsid w:val="7E3720E4"/>
    <w:rsid w:val="7E822CBF"/>
    <w:rsid w:val="7EF05B9B"/>
    <w:rsid w:val="7F487639"/>
    <w:rsid w:val="7F8876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line number"/>
    <w:basedOn w:val="7"/>
    <w:semiHidden/>
    <w:unhideWhenUsed/>
    <w:qFormat/>
    <w:uiPriority w:val="99"/>
  </w:style>
  <w:style w:type="character" w:styleId="9">
    <w:name w:val="Hyperlink"/>
    <w:basedOn w:val="7"/>
    <w:unhideWhenUsed/>
    <w:qFormat/>
    <w:uiPriority w:val="99"/>
    <w:rPr>
      <w:color w:val="0000FF"/>
      <w:u w:val="single"/>
    </w:rPr>
  </w:style>
  <w:style w:type="character" w:styleId="10">
    <w:name w:val="annotation reference"/>
    <w:basedOn w:val="7"/>
    <w:semiHidden/>
    <w:unhideWhenUsed/>
    <w:qFormat/>
    <w:uiPriority w:val="99"/>
    <w:rPr>
      <w:sz w:val="21"/>
      <w:szCs w:val="21"/>
    </w:rPr>
  </w:style>
  <w:style w:type="character" w:customStyle="1" w:styleId="11">
    <w:name w:val="批注框文本 字符"/>
    <w:basedOn w:val="7"/>
    <w:link w:val="3"/>
    <w:semiHidden/>
    <w:qFormat/>
    <w:uiPriority w:val="99"/>
    <w:rPr>
      <w:kern w:val="2"/>
      <w:sz w:val="18"/>
      <w:szCs w:val="18"/>
      <w14:ligatures w14:val="standardContextual"/>
    </w:rPr>
  </w:style>
  <w:style w:type="character" w:customStyle="1" w:styleId="12">
    <w:name w:val="页眉 字符"/>
    <w:basedOn w:val="7"/>
    <w:link w:val="5"/>
    <w:qFormat/>
    <w:uiPriority w:val="99"/>
    <w:rPr>
      <w:kern w:val="2"/>
      <w:sz w:val="18"/>
      <w:szCs w:val="18"/>
      <w14:ligatures w14:val="standardContextual"/>
    </w:rPr>
  </w:style>
  <w:style w:type="character" w:customStyle="1" w:styleId="13">
    <w:name w:val="页脚 字符"/>
    <w:basedOn w:val="7"/>
    <w:link w:val="4"/>
    <w:qFormat/>
    <w:uiPriority w:val="99"/>
    <w:rPr>
      <w:kern w:val="2"/>
      <w:sz w:val="18"/>
      <w:szCs w:val="18"/>
      <w14:ligatures w14:val="standardContextual"/>
    </w:rPr>
  </w:style>
  <w:style w:type="paragraph" w:customStyle="1" w:styleId="14">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8" Type="http://schemas.openxmlformats.org/officeDocument/2006/relationships/fontTable" Target="fontTable.xml"/><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2366</Words>
  <Characters>14249</Characters>
  <Lines>122</Lines>
  <Paragraphs>34</Paragraphs>
  <TotalTime>22</TotalTime>
  <ScaleCrop>false</ScaleCrop>
  <LinksUpToDate>false</LinksUpToDate>
  <CharactersWithSpaces>16558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2025-02-14T08:43:00Z</dcterms:created>
  <dc:creator>土豆 树上的</dc:creator>
  <cp:lastModifiedBy>shmily*</cp:lastModifiedBy>
  <dcterms:modified xsi:type="dcterms:W3CDTF">2025-03-21T12:46:51Z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7DF4905B045248569F9D8057591BA493</vt:lpwstr>
  </property>
</Properties>
</file>