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EA9AF" w14:textId="77777777" w:rsidR="005E2004" w:rsidRPr="0097562B" w:rsidRDefault="005E2004" w:rsidP="005E2004">
      <w:pPr>
        <w:spacing w:before="340" w:after="330" w:line="578" w:lineRule="auto"/>
        <w:jc w:val="center"/>
        <w:outlineLvl w:val="0"/>
        <w:rPr>
          <w:rFonts w:ascii="Times New Roman" w:hAnsi="Times New Roman" w:cs="Times New Roman"/>
          <w:b/>
          <w:bCs/>
          <w:color w:val="000000" w:themeColor="text1"/>
          <w:kern w:val="44"/>
          <w:sz w:val="30"/>
          <w:szCs w:val="30"/>
        </w:rPr>
      </w:pPr>
      <w:bookmarkStart w:id="0" w:name="OLE_LINK12"/>
      <w:bookmarkStart w:id="1" w:name="OLE_LINK7"/>
      <w:r w:rsidRPr="0097562B">
        <w:rPr>
          <w:rFonts w:ascii="Times New Roman" w:hAnsi="Times New Roman" w:cs="Times New Roman"/>
          <w:b/>
          <w:bCs/>
          <w:color w:val="000000" w:themeColor="text1"/>
          <w:kern w:val="44"/>
          <w:sz w:val="30"/>
          <w:szCs w:val="30"/>
        </w:rPr>
        <w:t>Microglia-targeting nanosystems that cooperatively deliver Chinese herbal ingredients alleviate behavioral and cognitive deficits in Alzheimer's disease model mice</w:t>
      </w:r>
    </w:p>
    <w:bookmarkEnd w:id="0"/>
    <w:p w14:paraId="15145CE8" w14:textId="3101759E" w:rsidR="00477B85" w:rsidRPr="0097562B" w:rsidRDefault="00477B85" w:rsidP="0032679E">
      <w:pPr>
        <w:spacing w:line="480" w:lineRule="auto"/>
        <w:rPr>
          <w:rFonts w:ascii="Times New Roman" w:eastAsia="Times New Roman" w:hAnsi="Times New Roman" w:cs="Times New Roman"/>
          <w:color w:val="000000" w:themeColor="text1"/>
        </w:rPr>
      </w:pPr>
      <w:r w:rsidRPr="0097562B">
        <w:rPr>
          <w:rFonts w:ascii="Times New Roman" w:eastAsia="Times New Roman" w:hAnsi="Times New Roman" w:cs="Times New Roman"/>
          <w:color w:val="000000" w:themeColor="text1"/>
        </w:rPr>
        <w:t>Peng Zhou</w:t>
      </w:r>
      <w:r w:rsidRPr="0097562B">
        <w:rPr>
          <w:rFonts w:ascii="Times New Roman" w:eastAsia="Times New Roman" w:hAnsi="Times New Roman" w:cs="Times New Roman"/>
          <w:color w:val="000000" w:themeColor="text1"/>
          <w:vertAlign w:val="superscript"/>
        </w:rPr>
        <w:t>1</w:t>
      </w:r>
      <w:r w:rsidRPr="0097562B">
        <w:rPr>
          <w:rFonts w:ascii="Times New Roman" w:eastAsia="Times New Roman" w:hAnsi="Times New Roman" w:cs="Times New Roman"/>
          <w:color w:val="000000" w:themeColor="text1"/>
        </w:rPr>
        <w:t>, Quan Chao</w:t>
      </w:r>
      <w:r w:rsidRPr="0097562B">
        <w:rPr>
          <w:rFonts w:ascii="Times New Roman" w:eastAsia="Times New Roman" w:hAnsi="Times New Roman" w:cs="Times New Roman"/>
          <w:color w:val="000000" w:themeColor="text1"/>
          <w:vertAlign w:val="superscript"/>
        </w:rPr>
        <w:t>1</w:t>
      </w:r>
      <w:r w:rsidRPr="0097562B">
        <w:rPr>
          <w:rFonts w:ascii="Times New Roman" w:eastAsia="宋体" w:hAnsi="Times New Roman" w:cs="Times New Roman" w:hint="eastAsia"/>
          <w:color w:val="000000" w:themeColor="text1"/>
        </w:rPr>
        <w:t>,</w:t>
      </w:r>
      <w:r w:rsidRPr="0097562B">
        <w:rPr>
          <w:rFonts w:ascii="Times New Roman" w:eastAsia="Times New Roman" w:hAnsi="Times New Roman" w:cs="Times New Roman"/>
          <w:color w:val="000000" w:themeColor="text1"/>
        </w:rPr>
        <w:t xml:space="preserve"> Chen Li</w:t>
      </w:r>
      <w:r w:rsidRPr="0097562B">
        <w:rPr>
          <w:rFonts w:ascii="Times New Roman" w:eastAsia="Times New Roman" w:hAnsi="Times New Roman" w:cs="Times New Roman"/>
          <w:color w:val="000000" w:themeColor="text1"/>
          <w:vertAlign w:val="superscript"/>
        </w:rPr>
        <w:t>1</w:t>
      </w:r>
      <w:r w:rsidRPr="0097562B">
        <w:rPr>
          <w:rFonts w:ascii="Times New Roman" w:eastAsia="Times New Roman" w:hAnsi="Times New Roman" w:cs="Times New Roman"/>
          <w:color w:val="000000" w:themeColor="text1"/>
        </w:rPr>
        <w:t xml:space="preserve">, </w:t>
      </w:r>
      <w:r w:rsidRPr="0097562B">
        <w:rPr>
          <w:rFonts w:ascii="Times New Roman" w:hAnsi="Times New Roman" w:cs="Times New Roman"/>
          <w:color w:val="000000" w:themeColor="text1"/>
        </w:rPr>
        <w:t>Ningjing Wang</w:t>
      </w:r>
      <w:r w:rsidRPr="0097562B">
        <w:rPr>
          <w:rFonts w:ascii="Times New Roman" w:eastAsia="Times New Roman" w:hAnsi="Times New Roman" w:cs="Times New Roman"/>
          <w:color w:val="000000" w:themeColor="text1"/>
          <w:vertAlign w:val="superscript"/>
        </w:rPr>
        <w:t>1</w:t>
      </w:r>
      <w:r w:rsidRPr="0097562B">
        <w:rPr>
          <w:rFonts w:ascii="Times New Roman" w:hAnsi="Times New Roman" w:cs="Times New Roman"/>
          <w:color w:val="000000" w:themeColor="text1"/>
        </w:rPr>
        <w:t xml:space="preserve">, </w:t>
      </w:r>
      <w:r w:rsidRPr="0097562B">
        <w:rPr>
          <w:rFonts w:ascii="Times New Roman" w:eastAsia="Times New Roman" w:hAnsi="Times New Roman" w:cs="Times New Roman"/>
          <w:color w:val="000000" w:themeColor="text1"/>
        </w:rPr>
        <w:t>Siqi Guo</w:t>
      </w:r>
      <w:r w:rsidRPr="0097562B">
        <w:rPr>
          <w:rFonts w:ascii="Times New Roman" w:eastAsia="Times New Roman" w:hAnsi="Times New Roman" w:cs="Times New Roman"/>
          <w:color w:val="000000" w:themeColor="text1"/>
          <w:vertAlign w:val="superscript"/>
        </w:rPr>
        <w:t>1</w:t>
      </w:r>
      <w:r w:rsidRPr="0097562B">
        <w:rPr>
          <w:rFonts w:ascii="Times New Roman" w:hAnsi="Times New Roman" w:cs="Times New Roman"/>
          <w:color w:val="000000" w:themeColor="text1"/>
        </w:rPr>
        <w:t>, Pingping Wang</w:t>
      </w:r>
      <w:r w:rsidRPr="0097562B">
        <w:rPr>
          <w:rFonts w:ascii="Times New Roman" w:eastAsia="Times New Roman" w:hAnsi="Times New Roman" w:cs="Times New Roman"/>
          <w:color w:val="000000" w:themeColor="text1"/>
          <w:vertAlign w:val="superscript"/>
        </w:rPr>
        <w:t>1</w:t>
      </w:r>
      <w:r w:rsidRPr="0097562B">
        <w:rPr>
          <w:rFonts w:ascii="Times New Roman" w:hAnsi="Times New Roman" w:cs="Times New Roman"/>
          <w:color w:val="000000" w:themeColor="text1"/>
        </w:rPr>
        <w:t xml:space="preserve">, </w:t>
      </w:r>
      <w:r w:rsidRPr="0097562B">
        <w:rPr>
          <w:rFonts w:ascii="Times New Roman" w:eastAsia="Times New Roman" w:hAnsi="Times New Roman" w:cs="Times New Roman"/>
          <w:color w:val="000000" w:themeColor="text1"/>
        </w:rPr>
        <w:t>Pingyuan Ge</w:t>
      </w:r>
      <w:r w:rsidRPr="0097562B">
        <w:rPr>
          <w:rFonts w:ascii="Times New Roman" w:eastAsia="Times New Roman" w:hAnsi="Times New Roman" w:cs="Times New Roman"/>
          <w:color w:val="000000" w:themeColor="text1"/>
          <w:vertAlign w:val="superscript"/>
        </w:rPr>
        <w:t>1</w:t>
      </w:r>
      <w:r w:rsidRPr="0097562B">
        <w:rPr>
          <w:rFonts w:ascii="Times New Roman" w:eastAsia="Times New Roman" w:hAnsi="Times New Roman" w:cs="Times New Roman"/>
          <w:color w:val="000000" w:themeColor="text1"/>
        </w:rPr>
        <w:t>,</w:t>
      </w:r>
      <w:r w:rsidRPr="0097562B">
        <w:rPr>
          <w:rFonts w:ascii="Times New Roman" w:hAnsi="Times New Roman" w:cs="Times New Roman"/>
          <w:color w:val="000000" w:themeColor="text1"/>
        </w:rPr>
        <w:t xml:space="preserve"> </w:t>
      </w:r>
      <w:r w:rsidRPr="0097562B">
        <w:rPr>
          <w:rFonts w:ascii="Times New Roman" w:eastAsia="Times New Roman" w:hAnsi="Times New Roman" w:cs="Times New Roman"/>
          <w:color w:val="000000" w:themeColor="text1"/>
        </w:rPr>
        <w:t>Caihong Li</w:t>
      </w:r>
      <w:r w:rsidRPr="0097562B">
        <w:rPr>
          <w:rFonts w:ascii="Times New Roman" w:eastAsia="Times New Roman" w:hAnsi="Times New Roman" w:cs="Times New Roman"/>
          <w:color w:val="000000" w:themeColor="text1"/>
          <w:vertAlign w:val="superscript"/>
        </w:rPr>
        <w:t>1</w:t>
      </w:r>
      <w:r w:rsidRPr="0097562B">
        <w:rPr>
          <w:rFonts w:ascii="Times New Roman" w:eastAsia="Times New Roman" w:hAnsi="Times New Roman" w:cs="Times New Roman"/>
          <w:color w:val="000000" w:themeColor="text1"/>
        </w:rPr>
        <w:t>, Rui Guo</w:t>
      </w:r>
      <w:r w:rsidRPr="0097562B">
        <w:rPr>
          <w:rFonts w:ascii="Times New Roman" w:eastAsia="Times New Roman" w:hAnsi="Times New Roman" w:cs="Times New Roman"/>
          <w:color w:val="000000" w:themeColor="text1"/>
          <w:vertAlign w:val="superscript"/>
        </w:rPr>
        <w:t>1</w:t>
      </w:r>
      <w:r w:rsidRPr="0097562B">
        <w:rPr>
          <w:rFonts w:ascii="Times New Roman" w:eastAsia="Times New Roman" w:hAnsi="Times New Roman" w:cs="Times New Roman"/>
          <w:color w:val="000000" w:themeColor="text1"/>
        </w:rPr>
        <w:t>, Nianyun Yang</w:t>
      </w:r>
      <w:r w:rsidRPr="0097562B">
        <w:rPr>
          <w:rFonts w:ascii="Times New Roman" w:eastAsia="Times New Roman" w:hAnsi="Times New Roman" w:cs="Times New Roman"/>
          <w:color w:val="000000" w:themeColor="text1"/>
          <w:vertAlign w:val="superscript"/>
        </w:rPr>
        <w:t>1</w:t>
      </w:r>
      <w:r w:rsidRPr="0097562B">
        <w:rPr>
          <w:rFonts w:ascii="Times New Roman" w:eastAsia="Times New Roman" w:hAnsi="Times New Roman" w:cs="Times New Roman"/>
          <w:color w:val="000000" w:themeColor="text1"/>
        </w:rPr>
        <w:t>, Zhangdi Lu</w:t>
      </w:r>
      <w:r w:rsidRPr="0097562B">
        <w:rPr>
          <w:rFonts w:ascii="Times New Roman" w:eastAsia="Times New Roman" w:hAnsi="Times New Roman" w:cs="Times New Roman"/>
          <w:color w:val="000000" w:themeColor="text1"/>
          <w:vertAlign w:val="superscript"/>
        </w:rPr>
        <w:t>4</w:t>
      </w:r>
      <w:r w:rsidRPr="0097562B">
        <w:rPr>
          <w:rFonts w:ascii="Times New Roman" w:eastAsia="Times New Roman" w:hAnsi="Times New Roman" w:cs="Times New Roman"/>
          <w:color w:val="000000" w:themeColor="text1"/>
        </w:rPr>
        <w:t>, Zhishu Tang</w:t>
      </w:r>
      <w:r w:rsidRPr="0097562B">
        <w:rPr>
          <w:rFonts w:ascii="Times New Roman" w:eastAsia="Times New Roman" w:hAnsi="Times New Roman" w:cs="Times New Roman"/>
          <w:color w:val="000000" w:themeColor="text1"/>
          <w:vertAlign w:val="superscript"/>
        </w:rPr>
        <w:t>2,3</w:t>
      </w:r>
      <w:r w:rsidRPr="0097562B">
        <w:rPr>
          <w:rFonts w:ascii="Times New Roman" w:eastAsia="Times New Roman" w:hAnsi="Times New Roman" w:cs="Times New Roman"/>
          <w:color w:val="000000" w:themeColor="text1"/>
        </w:rPr>
        <w:t>, Qichun Zhang</w:t>
      </w:r>
      <w:r w:rsidRPr="0097562B">
        <w:rPr>
          <w:rFonts w:ascii="Times New Roman" w:eastAsia="Times New Roman" w:hAnsi="Times New Roman" w:cs="Times New Roman"/>
          <w:color w:val="000000" w:themeColor="text1"/>
          <w:vertAlign w:val="superscript"/>
        </w:rPr>
        <w:t>1</w:t>
      </w:r>
      <w:r w:rsidRPr="0097562B">
        <w:rPr>
          <w:rFonts w:ascii="Times New Roman" w:eastAsia="Times New Roman" w:hAnsi="Times New Roman" w:cs="Times New Roman"/>
          <w:color w:val="000000" w:themeColor="text1"/>
        </w:rPr>
        <w:t>, Tingming Fu</w:t>
      </w:r>
      <w:r w:rsidRPr="0097562B">
        <w:rPr>
          <w:rFonts w:ascii="Times New Roman" w:eastAsia="Times New Roman" w:hAnsi="Times New Roman" w:cs="Times New Roman"/>
          <w:color w:val="000000" w:themeColor="text1"/>
          <w:vertAlign w:val="superscript"/>
        </w:rPr>
        <w:t>1</w:t>
      </w:r>
      <w:r w:rsidRPr="0097562B">
        <w:rPr>
          <w:rFonts w:ascii="Times New Roman" w:eastAsia="Times New Roman" w:hAnsi="Times New Roman" w:cs="Times New Roman"/>
          <w:color w:val="000000" w:themeColor="text1"/>
        </w:rPr>
        <w:t>, Qingqing Xiao</w:t>
      </w:r>
      <w:r w:rsidRPr="0097562B">
        <w:rPr>
          <w:rFonts w:ascii="Times New Roman" w:eastAsia="Times New Roman" w:hAnsi="Times New Roman" w:cs="Times New Roman"/>
          <w:color w:val="000000" w:themeColor="text1"/>
          <w:vertAlign w:val="superscript"/>
        </w:rPr>
        <w:t>1,*</w:t>
      </w:r>
      <w:r w:rsidRPr="0097562B">
        <w:rPr>
          <w:rFonts w:ascii="Times New Roman" w:eastAsia="Times New Roman" w:hAnsi="Times New Roman" w:cs="Times New Roman"/>
          <w:color w:val="000000" w:themeColor="text1"/>
        </w:rPr>
        <w:t>, Huaxu Zhu</w:t>
      </w:r>
      <w:r w:rsidRPr="0097562B">
        <w:rPr>
          <w:rFonts w:ascii="Times New Roman" w:eastAsia="Times New Roman" w:hAnsi="Times New Roman" w:cs="Times New Roman"/>
          <w:color w:val="000000" w:themeColor="text1"/>
          <w:vertAlign w:val="superscript"/>
        </w:rPr>
        <w:t>1,*</w:t>
      </w:r>
    </w:p>
    <w:p w14:paraId="493CE974" w14:textId="77777777" w:rsidR="00477B85" w:rsidRPr="0097562B" w:rsidRDefault="00477B85" w:rsidP="0032679E">
      <w:pPr>
        <w:spacing w:line="480" w:lineRule="auto"/>
        <w:rPr>
          <w:rFonts w:ascii="Times New Roman" w:eastAsia="Times New Roman" w:hAnsi="Times New Roman" w:cs="Times New Roman"/>
          <w:color w:val="000000" w:themeColor="text1"/>
        </w:rPr>
      </w:pPr>
      <w:r w:rsidRPr="0097562B">
        <w:rPr>
          <w:rFonts w:ascii="Times New Roman" w:eastAsia="Times New Roman" w:hAnsi="Times New Roman" w:cs="Times New Roman"/>
          <w:color w:val="000000" w:themeColor="text1"/>
          <w:vertAlign w:val="superscript"/>
        </w:rPr>
        <w:t>1</w:t>
      </w:r>
      <w:r w:rsidRPr="0097562B">
        <w:rPr>
          <w:rFonts w:ascii="Times New Roman" w:eastAsia="Times New Roman" w:hAnsi="Times New Roman" w:cs="Times New Roman"/>
          <w:color w:val="000000" w:themeColor="text1"/>
        </w:rPr>
        <w:t>Jiangsu Botanical Medicine Refinement Engineering Research Center, Nanjing University of Chinese</w:t>
      </w:r>
      <w:r w:rsidRPr="0097562B">
        <w:rPr>
          <w:rFonts w:ascii="Times New Roman" w:hAnsi="Times New Roman" w:cs="Times New Roman"/>
          <w:color w:val="000000" w:themeColor="text1"/>
        </w:rPr>
        <w:t xml:space="preserve"> </w:t>
      </w:r>
      <w:r w:rsidRPr="0097562B">
        <w:rPr>
          <w:rFonts w:ascii="Times New Roman" w:eastAsia="Times New Roman" w:hAnsi="Times New Roman" w:cs="Times New Roman"/>
          <w:color w:val="000000" w:themeColor="text1"/>
        </w:rPr>
        <w:t>Medicine, Nanjing 210023, China</w:t>
      </w:r>
    </w:p>
    <w:p w14:paraId="40D4D152" w14:textId="77777777" w:rsidR="00477B85" w:rsidRPr="0097562B" w:rsidRDefault="00477B85" w:rsidP="0032679E">
      <w:pPr>
        <w:spacing w:line="480" w:lineRule="auto"/>
        <w:rPr>
          <w:rFonts w:ascii="Times New Roman" w:eastAsia="Times New Roman" w:hAnsi="Times New Roman" w:cs="Times New Roman"/>
          <w:color w:val="000000" w:themeColor="text1"/>
        </w:rPr>
      </w:pPr>
      <w:r w:rsidRPr="0097562B">
        <w:rPr>
          <w:rFonts w:ascii="Times New Roman" w:eastAsia="Times New Roman" w:hAnsi="Times New Roman" w:cs="Times New Roman"/>
          <w:color w:val="000000" w:themeColor="text1"/>
          <w:vertAlign w:val="superscript"/>
        </w:rPr>
        <w:t>2</w:t>
      </w:r>
      <w:r w:rsidRPr="0097562B">
        <w:rPr>
          <w:rFonts w:ascii="Times New Roman" w:eastAsia="Times New Roman" w:hAnsi="Times New Roman" w:cs="Times New Roman"/>
          <w:color w:val="000000" w:themeColor="text1"/>
        </w:rPr>
        <w:t>State Key Laboratory of Research &amp; Development of Characteristic Qin Medicine Resources,</w:t>
      </w:r>
      <w:r w:rsidRPr="0097562B">
        <w:rPr>
          <w:rFonts w:ascii="Times New Roman" w:hAnsi="Times New Roman" w:cs="Times New Roman"/>
          <w:color w:val="000000" w:themeColor="text1"/>
        </w:rPr>
        <w:t xml:space="preserve"> </w:t>
      </w:r>
      <w:r w:rsidRPr="0097562B">
        <w:rPr>
          <w:rFonts w:ascii="Times New Roman" w:eastAsia="Times New Roman" w:hAnsi="Times New Roman" w:cs="Times New Roman"/>
          <w:color w:val="000000" w:themeColor="text1"/>
        </w:rPr>
        <w:t>Shanxi University of Chinese Medicine, Xianyang 712038, China</w:t>
      </w:r>
    </w:p>
    <w:p w14:paraId="3F6F09E3" w14:textId="77777777" w:rsidR="00477B85" w:rsidRPr="0097562B" w:rsidRDefault="00477B85" w:rsidP="0032679E">
      <w:pPr>
        <w:spacing w:line="480" w:lineRule="auto"/>
        <w:rPr>
          <w:rFonts w:ascii="Times New Roman" w:eastAsia="Times New Roman" w:hAnsi="Times New Roman" w:cs="Times New Roman"/>
          <w:color w:val="000000" w:themeColor="text1"/>
        </w:rPr>
      </w:pPr>
      <w:r w:rsidRPr="0097562B">
        <w:rPr>
          <w:rFonts w:ascii="Times New Roman" w:eastAsia="Times New Roman" w:hAnsi="Times New Roman" w:cs="Times New Roman"/>
          <w:color w:val="000000" w:themeColor="text1"/>
          <w:vertAlign w:val="superscript"/>
        </w:rPr>
        <w:t>3</w:t>
      </w:r>
      <w:r w:rsidRPr="0097562B">
        <w:rPr>
          <w:rFonts w:ascii="Times New Roman" w:eastAsia="Times New Roman" w:hAnsi="Times New Roman" w:cs="Times New Roman"/>
          <w:color w:val="000000" w:themeColor="text1"/>
        </w:rPr>
        <w:t>China Academy of Chinese Medical Sciences, Beijing 100700, China</w:t>
      </w:r>
    </w:p>
    <w:p w14:paraId="21DB0DCD" w14:textId="77777777" w:rsidR="00477B85" w:rsidRPr="0097562B" w:rsidRDefault="00477B85" w:rsidP="0032679E">
      <w:pPr>
        <w:spacing w:line="480" w:lineRule="auto"/>
        <w:rPr>
          <w:rFonts w:ascii="Times New Roman" w:hAnsi="Times New Roman" w:cs="Times New Roman"/>
          <w:color w:val="000000" w:themeColor="text1"/>
        </w:rPr>
      </w:pPr>
      <w:r w:rsidRPr="0097562B">
        <w:rPr>
          <w:rFonts w:ascii="Times New Roman" w:hAnsi="Times New Roman" w:cs="Times New Roman"/>
          <w:color w:val="000000" w:themeColor="text1"/>
          <w:vertAlign w:val="superscript"/>
        </w:rPr>
        <w:t>4</w:t>
      </w:r>
      <w:r w:rsidRPr="0097562B">
        <w:rPr>
          <w:rFonts w:ascii="Times New Roman" w:eastAsia="Times New Roman" w:hAnsi="Times New Roman" w:cs="Times New Roman"/>
          <w:color w:val="000000" w:themeColor="text1"/>
        </w:rPr>
        <w:t xml:space="preserve"> </w:t>
      </w:r>
      <w:r w:rsidRPr="0097562B">
        <w:rPr>
          <w:rFonts w:ascii="Times New Roman" w:hAnsi="Times New Roman" w:cs="Times New Roman"/>
          <w:color w:val="000000" w:themeColor="text1"/>
        </w:rPr>
        <w:t>Polymer Science and Materials Chemistry, Exponent Ltd., Hong Kong 999077, China</w:t>
      </w:r>
    </w:p>
    <w:bookmarkEnd w:id="1"/>
    <w:p w14:paraId="6BAD3E1F" w14:textId="77777777" w:rsidR="00477B85" w:rsidRPr="0097562B" w:rsidRDefault="00477B85" w:rsidP="0032679E">
      <w:pPr>
        <w:spacing w:line="480" w:lineRule="auto"/>
        <w:rPr>
          <w:rFonts w:ascii="Times New Roman" w:hAnsi="Times New Roman" w:cs="Times New Roman"/>
          <w:color w:val="000000" w:themeColor="text1"/>
        </w:rPr>
      </w:pPr>
      <w:r w:rsidRPr="0097562B">
        <w:rPr>
          <w:rFonts w:ascii="Times New Roman" w:eastAsia="Times New Roman" w:hAnsi="Times New Roman" w:cs="Times New Roman"/>
          <w:color w:val="000000" w:themeColor="text1"/>
          <w:vertAlign w:val="superscript"/>
        </w:rPr>
        <w:t>*</w:t>
      </w:r>
      <w:r w:rsidRPr="0097562B">
        <w:rPr>
          <w:rFonts w:ascii="Times New Roman" w:eastAsia="Times New Roman" w:hAnsi="Times New Roman" w:cs="Times New Roman"/>
          <w:color w:val="000000" w:themeColor="text1"/>
        </w:rPr>
        <w:t>Corresponding</w:t>
      </w:r>
      <w:r w:rsidRPr="0097562B">
        <w:rPr>
          <w:rFonts w:ascii="Times New Roman" w:eastAsia="Times New Roman" w:hAnsi="Times New Roman" w:cs="Times New Roman"/>
          <w:color w:val="000000" w:themeColor="text1"/>
          <w:vertAlign w:val="superscript"/>
        </w:rPr>
        <w:t xml:space="preserve"> </w:t>
      </w:r>
      <w:r w:rsidRPr="0097562B">
        <w:rPr>
          <w:rFonts w:ascii="Times New Roman" w:hAnsi="Times New Roman" w:cs="Times New Roman"/>
          <w:color w:val="000000" w:themeColor="text1"/>
        </w:rPr>
        <w:t>authors: xiaoqq@njucm.edu.cn (Qingqing Xiao), zhuhx@njucm.edu.cn (Huaxu Zhu)</w:t>
      </w:r>
    </w:p>
    <w:p w14:paraId="16E6EF46" w14:textId="77777777" w:rsidR="007C231B" w:rsidRPr="0097562B" w:rsidRDefault="007C231B">
      <w:pPr>
        <w:rPr>
          <w:rFonts w:hint="eastAsia"/>
          <w:color w:val="000000" w:themeColor="text1"/>
        </w:rPr>
      </w:pPr>
    </w:p>
    <w:p w14:paraId="595F7D7D" w14:textId="77777777" w:rsidR="00477B85" w:rsidRPr="0097562B" w:rsidRDefault="00477B85">
      <w:pPr>
        <w:rPr>
          <w:rFonts w:hint="eastAsia"/>
          <w:color w:val="000000" w:themeColor="text1"/>
        </w:rPr>
      </w:pPr>
    </w:p>
    <w:p w14:paraId="12F87A0C" w14:textId="77777777" w:rsidR="00477B85" w:rsidRPr="0097562B" w:rsidRDefault="00477B85">
      <w:pPr>
        <w:rPr>
          <w:rFonts w:hint="eastAsia"/>
          <w:color w:val="000000" w:themeColor="text1"/>
        </w:rPr>
      </w:pPr>
    </w:p>
    <w:p w14:paraId="74C24169" w14:textId="77777777" w:rsidR="00477B85" w:rsidRPr="0097562B" w:rsidRDefault="00477B85">
      <w:pPr>
        <w:rPr>
          <w:rFonts w:hint="eastAsia"/>
        </w:rPr>
      </w:pPr>
    </w:p>
    <w:p w14:paraId="4B3CDC60" w14:textId="77777777" w:rsidR="00477B85" w:rsidRDefault="00477B85">
      <w:pPr>
        <w:rPr>
          <w:rFonts w:hint="eastAsia"/>
        </w:rPr>
      </w:pPr>
    </w:p>
    <w:p w14:paraId="251E1B29" w14:textId="77777777" w:rsidR="00477B85" w:rsidRDefault="00477B85">
      <w:pPr>
        <w:rPr>
          <w:rFonts w:hint="eastAsia"/>
        </w:rPr>
      </w:pPr>
    </w:p>
    <w:p w14:paraId="45868048" w14:textId="77777777" w:rsidR="00477B85" w:rsidRDefault="00477B85">
      <w:pPr>
        <w:rPr>
          <w:rFonts w:hint="eastAsia"/>
        </w:rPr>
      </w:pPr>
    </w:p>
    <w:p w14:paraId="567D91AC" w14:textId="77777777" w:rsidR="00477B85" w:rsidRDefault="00477B85">
      <w:pPr>
        <w:rPr>
          <w:rFonts w:hint="eastAsia"/>
        </w:rPr>
      </w:pPr>
    </w:p>
    <w:p w14:paraId="00E9AACB" w14:textId="77777777" w:rsidR="00477B85" w:rsidRDefault="00477B85">
      <w:pPr>
        <w:rPr>
          <w:rFonts w:hint="eastAsia"/>
        </w:rPr>
      </w:pPr>
    </w:p>
    <w:p w14:paraId="6E696F5D" w14:textId="77777777" w:rsidR="00477B85" w:rsidRDefault="00477B85">
      <w:pPr>
        <w:rPr>
          <w:rFonts w:hint="eastAsia"/>
        </w:rPr>
      </w:pPr>
    </w:p>
    <w:p w14:paraId="499A2381" w14:textId="77777777" w:rsidR="00477B85" w:rsidRDefault="00477B85">
      <w:pPr>
        <w:rPr>
          <w:rFonts w:hint="eastAsia"/>
        </w:rPr>
      </w:pPr>
    </w:p>
    <w:p w14:paraId="6FA89AA3" w14:textId="77777777" w:rsidR="00477B85" w:rsidRDefault="00477B85">
      <w:pPr>
        <w:rPr>
          <w:rFonts w:hint="eastAsia"/>
        </w:rPr>
      </w:pPr>
    </w:p>
    <w:p w14:paraId="0FD9CA59" w14:textId="77777777" w:rsidR="00477B85" w:rsidRDefault="00477B85">
      <w:pPr>
        <w:rPr>
          <w:rFonts w:hint="eastAsia"/>
        </w:rPr>
      </w:pPr>
    </w:p>
    <w:tbl>
      <w:tblPr>
        <w:tblStyle w:val="af5"/>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835"/>
        <w:gridCol w:w="2688"/>
      </w:tblGrid>
      <w:tr w:rsidR="00477B85" w:rsidRPr="00663AE5" w14:paraId="29E5149C" w14:textId="77777777" w:rsidTr="006D04B4">
        <w:trPr>
          <w:jc w:val="center"/>
        </w:trPr>
        <w:tc>
          <w:tcPr>
            <w:tcW w:w="2694" w:type="dxa"/>
            <w:tcBorders>
              <w:bottom w:val="single" w:sz="4" w:space="0" w:color="auto"/>
            </w:tcBorders>
          </w:tcPr>
          <w:p w14:paraId="7C260A79"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lastRenderedPageBreak/>
              <w:t>Preparation condition</w:t>
            </w:r>
          </w:p>
        </w:tc>
        <w:tc>
          <w:tcPr>
            <w:tcW w:w="2835" w:type="dxa"/>
            <w:tcBorders>
              <w:bottom w:val="single" w:sz="4" w:space="0" w:color="auto"/>
            </w:tcBorders>
          </w:tcPr>
          <w:p w14:paraId="5A6CCE93" w14:textId="77777777" w:rsidR="00477B85" w:rsidRPr="00FB37B2" w:rsidRDefault="00477B85" w:rsidP="006D04B4">
            <w:pPr>
              <w:jc w:val="left"/>
              <w:rPr>
                <w:rFonts w:ascii="Times New Roman" w:eastAsiaTheme="minorHAnsi" w:hAnsi="Times New Roman" w:cs="Times New Roman"/>
                <w:szCs w:val="21"/>
              </w:rPr>
            </w:pPr>
            <w:r w:rsidRPr="00FB37B2">
              <w:rPr>
                <w:rFonts w:ascii="Times New Roman" w:eastAsiaTheme="minorHAnsi" w:hAnsi="Times New Roman" w:cs="Times New Roman"/>
                <w:szCs w:val="21"/>
              </w:rPr>
              <w:t>Encapsulation efficiency (%)</w:t>
            </w:r>
          </w:p>
        </w:tc>
        <w:tc>
          <w:tcPr>
            <w:tcW w:w="2688" w:type="dxa"/>
            <w:tcBorders>
              <w:bottom w:val="single" w:sz="4" w:space="0" w:color="auto"/>
            </w:tcBorders>
          </w:tcPr>
          <w:p w14:paraId="1B3DB8BE" w14:textId="77777777" w:rsidR="00477B85" w:rsidRPr="00FB37B2" w:rsidRDefault="00477B85" w:rsidP="006D04B4">
            <w:pPr>
              <w:jc w:val="left"/>
              <w:rPr>
                <w:rFonts w:ascii="Times New Roman" w:eastAsiaTheme="minorHAnsi" w:hAnsi="Times New Roman" w:cs="Times New Roman"/>
                <w:szCs w:val="21"/>
              </w:rPr>
            </w:pPr>
            <w:r w:rsidRPr="00FB37B2">
              <w:rPr>
                <w:rFonts w:ascii="Times New Roman" w:eastAsiaTheme="minorHAnsi" w:hAnsi="Times New Roman" w:cs="Times New Roman"/>
                <w:szCs w:val="21"/>
              </w:rPr>
              <w:t>Drug loading capacity (%)</w:t>
            </w:r>
          </w:p>
        </w:tc>
      </w:tr>
      <w:tr w:rsidR="00477B85" w:rsidRPr="00663AE5" w14:paraId="5A315B88" w14:textId="77777777" w:rsidTr="006D04B4">
        <w:trPr>
          <w:jc w:val="center"/>
        </w:trPr>
        <w:tc>
          <w:tcPr>
            <w:tcW w:w="2694" w:type="dxa"/>
            <w:tcBorders>
              <w:top w:val="single" w:sz="4" w:space="0" w:color="auto"/>
            </w:tcBorders>
            <w:vAlign w:val="bottom"/>
          </w:tcPr>
          <w:p w14:paraId="5454785E"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Membrane material ratio (w/w)</w:t>
            </w:r>
          </w:p>
        </w:tc>
        <w:tc>
          <w:tcPr>
            <w:tcW w:w="2835" w:type="dxa"/>
            <w:tcBorders>
              <w:top w:val="single" w:sz="4" w:space="0" w:color="auto"/>
            </w:tcBorders>
          </w:tcPr>
          <w:p w14:paraId="479A83DE"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w:t>
            </w:r>
          </w:p>
        </w:tc>
        <w:tc>
          <w:tcPr>
            <w:tcW w:w="2688" w:type="dxa"/>
            <w:tcBorders>
              <w:top w:val="single" w:sz="4" w:space="0" w:color="auto"/>
            </w:tcBorders>
          </w:tcPr>
          <w:p w14:paraId="0DC1ADB3"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w:t>
            </w:r>
          </w:p>
        </w:tc>
      </w:tr>
      <w:tr w:rsidR="00477B85" w:rsidRPr="00663AE5" w14:paraId="09639776" w14:textId="77777777" w:rsidTr="006D04B4">
        <w:trPr>
          <w:jc w:val="center"/>
        </w:trPr>
        <w:tc>
          <w:tcPr>
            <w:tcW w:w="2694" w:type="dxa"/>
            <w:vAlign w:val="bottom"/>
          </w:tcPr>
          <w:p w14:paraId="32915064"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4:1</w:t>
            </w:r>
          </w:p>
        </w:tc>
        <w:tc>
          <w:tcPr>
            <w:tcW w:w="2835" w:type="dxa"/>
            <w:vAlign w:val="center"/>
          </w:tcPr>
          <w:p w14:paraId="0BC5D9F5"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47.8±4.42</w:t>
            </w:r>
          </w:p>
        </w:tc>
        <w:tc>
          <w:tcPr>
            <w:tcW w:w="2688" w:type="dxa"/>
            <w:vAlign w:val="center"/>
          </w:tcPr>
          <w:p w14:paraId="40474660"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1.50±0.14</w:t>
            </w:r>
          </w:p>
        </w:tc>
      </w:tr>
      <w:tr w:rsidR="00477B85" w:rsidRPr="00663AE5" w14:paraId="174A1945" w14:textId="77777777" w:rsidTr="006D04B4">
        <w:trPr>
          <w:jc w:val="center"/>
        </w:trPr>
        <w:tc>
          <w:tcPr>
            <w:tcW w:w="2694" w:type="dxa"/>
            <w:vAlign w:val="bottom"/>
          </w:tcPr>
          <w:p w14:paraId="4CB64163"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color w:val="FF0000"/>
                <w:szCs w:val="21"/>
              </w:rPr>
              <w:t>8:1</w:t>
            </w:r>
          </w:p>
        </w:tc>
        <w:tc>
          <w:tcPr>
            <w:tcW w:w="2835" w:type="dxa"/>
            <w:vAlign w:val="center"/>
          </w:tcPr>
          <w:p w14:paraId="06F763A9"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72.49±6.90</w:t>
            </w:r>
          </w:p>
        </w:tc>
        <w:tc>
          <w:tcPr>
            <w:tcW w:w="2688" w:type="dxa"/>
            <w:vAlign w:val="center"/>
          </w:tcPr>
          <w:p w14:paraId="5BB70510"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2.97±0.12</w:t>
            </w:r>
          </w:p>
        </w:tc>
      </w:tr>
      <w:tr w:rsidR="00477B85" w:rsidRPr="00663AE5" w14:paraId="7B1FD778" w14:textId="77777777" w:rsidTr="006D04B4">
        <w:trPr>
          <w:jc w:val="center"/>
        </w:trPr>
        <w:tc>
          <w:tcPr>
            <w:tcW w:w="2694" w:type="dxa"/>
            <w:vAlign w:val="bottom"/>
          </w:tcPr>
          <w:p w14:paraId="10B83978"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12:1</w:t>
            </w:r>
          </w:p>
        </w:tc>
        <w:tc>
          <w:tcPr>
            <w:tcW w:w="2835" w:type="dxa"/>
            <w:vAlign w:val="center"/>
          </w:tcPr>
          <w:p w14:paraId="06817C6D"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70.38±7.90</w:t>
            </w:r>
          </w:p>
        </w:tc>
        <w:tc>
          <w:tcPr>
            <w:tcW w:w="2688" w:type="dxa"/>
            <w:vAlign w:val="center"/>
          </w:tcPr>
          <w:p w14:paraId="308F0E2E"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2.42±0.27</w:t>
            </w:r>
          </w:p>
        </w:tc>
      </w:tr>
      <w:tr w:rsidR="00477B85" w:rsidRPr="00663AE5" w14:paraId="74BCCA17" w14:textId="77777777" w:rsidTr="006D04B4">
        <w:trPr>
          <w:jc w:val="center"/>
        </w:trPr>
        <w:tc>
          <w:tcPr>
            <w:tcW w:w="2694" w:type="dxa"/>
            <w:vAlign w:val="bottom"/>
          </w:tcPr>
          <w:p w14:paraId="0F9A11DB"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16:1</w:t>
            </w:r>
          </w:p>
        </w:tc>
        <w:tc>
          <w:tcPr>
            <w:tcW w:w="2835" w:type="dxa"/>
            <w:vAlign w:val="center"/>
          </w:tcPr>
          <w:p w14:paraId="24ABAA65"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26.86±2.70</w:t>
            </w:r>
          </w:p>
        </w:tc>
        <w:tc>
          <w:tcPr>
            <w:tcW w:w="2688" w:type="dxa"/>
            <w:vAlign w:val="center"/>
          </w:tcPr>
          <w:p w14:paraId="68B4A221"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0.93±0.10</w:t>
            </w:r>
          </w:p>
        </w:tc>
      </w:tr>
      <w:tr w:rsidR="00477B85" w:rsidRPr="00663AE5" w14:paraId="3E33FF27" w14:textId="77777777" w:rsidTr="006D04B4">
        <w:trPr>
          <w:jc w:val="center"/>
        </w:trPr>
        <w:tc>
          <w:tcPr>
            <w:tcW w:w="2694" w:type="dxa"/>
            <w:vAlign w:val="bottom"/>
          </w:tcPr>
          <w:p w14:paraId="09A1C919"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20:1</w:t>
            </w:r>
          </w:p>
        </w:tc>
        <w:tc>
          <w:tcPr>
            <w:tcW w:w="2835" w:type="dxa"/>
            <w:vAlign w:val="center"/>
          </w:tcPr>
          <w:p w14:paraId="1EAC778F"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26.35±12.52</w:t>
            </w:r>
          </w:p>
        </w:tc>
        <w:tc>
          <w:tcPr>
            <w:tcW w:w="2688" w:type="dxa"/>
            <w:vAlign w:val="center"/>
          </w:tcPr>
          <w:p w14:paraId="59737A9F"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0.92±0.44</w:t>
            </w:r>
          </w:p>
        </w:tc>
      </w:tr>
      <w:tr w:rsidR="00477B85" w:rsidRPr="00663AE5" w14:paraId="5D1CC514" w14:textId="77777777" w:rsidTr="006D04B4">
        <w:trPr>
          <w:jc w:val="center"/>
        </w:trPr>
        <w:tc>
          <w:tcPr>
            <w:tcW w:w="2694" w:type="dxa"/>
            <w:vAlign w:val="bottom"/>
          </w:tcPr>
          <w:p w14:paraId="6BD04964"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Drug-to-lipid ratio (w/w)</w:t>
            </w:r>
          </w:p>
        </w:tc>
        <w:tc>
          <w:tcPr>
            <w:tcW w:w="2835" w:type="dxa"/>
          </w:tcPr>
          <w:p w14:paraId="309C7372"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w:t>
            </w:r>
          </w:p>
        </w:tc>
        <w:tc>
          <w:tcPr>
            <w:tcW w:w="2688" w:type="dxa"/>
          </w:tcPr>
          <w:p w14:paraId="7D05A876"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w:t>
            </w:r>
          </w:p>
        </w:tc>
      </w:tr>
      <w:tr w:rsidR="00477B85" w:rsidRPr="00663AE5" w14:paraId="2BC3F4CD" w14:textId="77777777" w:rsidTr="006D04B4">
        <w:trPr>
          <w:jc w:val="center"/>
        </w:trPr>
        <w:tc>
          <w:tcPr>
            <w:tcW w:w="2694" w:type="dxa"/>
            <w:vAlign w:val="bottom"/>
          </w:tcPr>
          <w:p w14:paraId="33C1872E" w14:textId="4692B67E"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1:10</w:t>
            </w:r>
          </w:p>
        </w:tc>
        <w:tc>
          <w:tcPr>
            <w:tcW w:w="2835" w:type="dxa"/>
            <w:vAlign w:val="center"/>
          </w:tcPr>
          <w:p w14:paraId="226BAD4E"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77.45±7.67</w:t>
            </w:r>
          </w:p>
        </w:tc>
        <w:tc>
          <w:tcPr>
            <w:tcW w:w="2688" w:type="dxa"/>
            <w:vAlign w:val="center"/>
          </w:tcPr>
          <w:p w14:paraId="17E448A7"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9.14±0.75</w:t>
            </w:r>
          </w:p>
        </w:tc>
      </w:tr>
      <w:tr w:rsidR="00477B85" w:rsidRPr="00663AE5" w14:paraId="6CCE4CC8" w14:textId="77777777" w:rsidTr="006D04B4">
        <w:trPr>
          <w:jc w:val="center"/>
        </w:trPr>
        <w:tc>
          <w:tcPr>
            <w:tcW w:w="2694" w:type="dxa"/>
            <w:vAlign w:val="bottom"/>
          </w:tcPr>
          <w:p w14:paraId="179336EA" w14:textId="056FCFCD"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1:20</w:t>
            </w:r>
          </w:p>
        </w:tc>
        <w:tc>
          <w:tcPr>
            <w:tcW w:w="2835" w:type="dxa"/>
            <w:vAlign w:val="center"/>
          </w:tcPr>
          <w:p w14:paraId="05AE6BB4"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70.64±7.23</w:t>
            </w:r>
          </w:p>
        </w:tc>
        <w:tc>
          <w:tcPr>
            <w:tcW w:w="2688" w:type="dxa"/>
            <w:vAlign w:val="center"/>
          </w:tcPr>
          <w:p w14:paraId="0F6690D1"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5.59±0.37</w:t>
            </w:r>
          </w:p>
        </w:tc>
      </w:tr>
      <w:tr w:rsidR="00477B85" w:rsidRPr="00663AE5" w14:paraId="758A233E" w14:textId="77777777" w:rsidTr="006D04B4">
        <w:trPr>
          <w:jc w:val="center"/>
        </w:trPr>
        <w:tc>
          <w:tcPr>
            <w:tcW w:w="2694" w:type="dxa"/>
            <w:vAlign w:val="bottom"/>
          </w:tcPr>
          <w:p w14:paraId="416490F6" w14:textId="2D6A2278"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color w:val="FF0000"/>
                <w:szCs w:val="21"/>
              </w:rPr>
              <w:t>1:30</w:t>
            </w:r>
          </w:p>
        </w:tc>
        <w:tc>
          <w:tcPr>
            <w:tcW w:w="2835" w:type="dxa"/>
            <w:vAlign w:val="center"/>
          </w:tcPr>
          <w:p w14:paraId="4A1A1465"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90.99±0.83</w:t>
            </w:r>
          </w:p>
        </w:tc>
        <w:tc>
          <w:tcPr>
            <w:tcW w:w="2688" w:type="dxa"/>
            <w:vAlign w:val="center"/>
          </w:tcPr>
          <w:p w14:paraId="658D372A"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3.25±0.03</w:t>
            </w:r>
          </w:p>
        </w:tc>
      </w:tr>
      <w:tr w:rsidR="00477B85" w:rsidRPr="00663AE5" w14:paraId="2705E79C" w14:textId="77777777" w:rsidTr="006D04B4">
        <w:trPr>
          <w:jc w:val="center"/>
        </w:trPr>
        <w:tc>
          <w:tcPr>
            <w:tcW w:w="2694" w:type="dxa"/>
          </w:tcPr>
          <w:p w14:paraId="4F76EB52"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Ultrasound power (%)</w:t>
            </w:r>
          </w:p>
        </w:tc>
        <w:tc>
          <w:tcPr>
            <w:tcW w:w="2835" w:type="dxa"/>
          </w:tcPr>
          <w:p w14:paraId="202E94EA"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w:t>
            </w:r>
          </w:p>
        </w:tc>
        <w:tc>
          <w:tcPr>
            <w:tcW w:w="2688" w:type="dxa"/>
          </w:tcPr>
          <w:p w14:paraId="36138C9B"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w:t>
            </w:r>
          </w:p>
        </w:tc>
      </w:tr>
      <w:tr w:rsidR="00477B85" w:rsidRPr="00663AE5" w14:paraId="13ECBFA9" w14:textId="77777777" w:rsidTr="006D04B4">
        <w:trPr>
          <w:jc w:val="center"/>
        </w:trPr>
        <w:tc>
          <w:tcPr>
            <w:tcW w:w="2694" w:type="dxa"/>
          </w:tcPr>
          <w:p w14:paraId="28930239"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20</w:t>
            </w:r>
          </w:p>
        </w:tc>
        <w:tc>
          <w:tcPr>
            <w:tcW w:w="2835" w:type="dxa"/>
            <w:vAlign w:val="center"/>
          </w:tcPr>
          <w:p w14:paraId="2AC9012D"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77.45±7.67</w:t>
            </w:r>
          </w:p>
        </w:tc>
        <w:tc>
          <w:tcPr>
            <w:tcW w:w="2688" w:type="dxa"/>
            <w:vAlign w:val="center"/>
          </w:tcPr>
          <w:p w14:paraId="7C3EE539"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2.53±0.26</w:t>
            </w:r>
          </w:p>
        </w:tc>
      </w:tr>
      <w:tr w:rsidR="00477B85" w:rsidRPr="00663AE5" w14:paraId="3C8AD793" w14:textId="77777777" w:rsidTr="006D04B4">
        <w:trPr>
          <w:jc w:val="center"/>
        </w:trPr>
        <w:tc>
          <w:tcPr>
            <w:tcW w:w="2694" w:type="dxa"/>
          </w:tcPr>
          <w:p w14:paraId="7C8164EC"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25</w:t>
            </w:r>
          </w:p>
        </w:tc>
        <w:tc>
          <w:tcPr>
            <w:tcW w:w="2835" w:type="dxa"/>
            <w:vAlign w:val="center"/>
          </w:tcPr>
          <w:p w14:paraId="0B09AA39"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37.18±3.55</w:t>
            </w:r>
          </w:p>
        </w:tc>
        <w:tc>
          <w:tcPr>
            <w:tcW w:w="2688" w:type="dxa"/>
            <w:vAlign w:val="center"/>
          </w:tcPr>
          <w:p w14:paraId="0CD4032F"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1.23±0.12</w:t>
            </w:r>
          </w:p>
        </w:tc>
      </w:tr>
      <w:tr w:rsidR="00477B85" w:rsidRPr="00663AE5" w14:paraId="4CAF18C6" w14:textId="77777777" w:rsidTr="006D04B4">
        <w:trPr>
          <w:jc w:val="center"/>
        </w:trPr>
        <w:tc>
          <w:tcPr>
            <w:tcW w:w="2694" w:type="dxa"/>
          </w:tcPr>
          <w:p w14:paraId="357CF067"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30</w:t>
            </w:r>
          </w:p>
        </w:tc>
        <w:tc>
          <w:tcPr>
            <w:tcW w:w="2835" w:type="dxa"/>
            <w:vAlign w:val="center"/>
          </w:tcPr>
          <w:p w14:paraId="151F7CA2"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41.25±17.82</w:t>
            </w:r>
          </w:p>
        </w:tc>
        <w:tc>
          <w:tcPr>
            <w:tcW w:w="2688" w:type="dxa"/>
            <w:vAlign w:val="center"/>
          </w:tcPr>
          <w:p w14:paraId="73FD04D3"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1.37±0.59</w:t>
            </w:r>
          </w:p>
        </w:tc>
      </w:tr>
      <w:tr w:rsidR="00477B85" w:rsidRPr="00663AE5" w14:paraId="0EF9A6CB" w14:textId="77777777" w:rsidTr="006D04B4">
        <w:trPr>
          <w:jc w:val="center"/>
        </w:trPr>
        <w:tc>
          <w:tcPr>
            <w:tcW w:w="2694" w:type="dxa"/>
          </w:tcPr>
          <w:p w14:paraId="74564329"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35</w:t>
            </w:r>
          </w:p>
        </w:tc>
        <w:tc>
          <w:tcPr>
            <w:tcW w:w="2835" w:type="dxa"/>
            <w:vAlign w:val="center"/>
          </w:tcPr>
          <w:p w14:paraId="2C5B76EE"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37.82±6.13</w:t>
            </w:r>
          </w:p>
        </w:tc>
        <w:tc>
          <w:tcPr>
            <w:tcW w:w="2688" w:type="dxa"/>
            <w:vAlign w:val="center"/>
          </w:tcPr>
          <w:p w14:paraId="4BEE45D4"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1.25±0.21</w:t>
            </w:r>
          </w:p>
        </w:tc>
      </w:tr>
      <w:tr w:rsidR="00477B85" w:rsidRPr="00663AE5" w14:paraId="1EC831D8" w14:textId="77777777" w:rsidTr="006D04B4">
        <w:trPr>
          <w:jc w:val="center"/>
        </w:trPr>
        <w:tc>
          <w:tcPr>
            <w:tcW w:w="2694" w:type="dxa"/>
          </w:tcPr>
          <w:p w14:paraId="1A8065E2"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40</w:t>
            </w:r>
          </w:p>
        </w:tc>
        <w:tc>
          <w:tcPr>
            <w:tcW w:w="2835" w:type="dxa"/>
            <w:vAlign w:val="center"/>
          </w:tcPr>
          <w:p w14:paraId="4AD1420D"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35.31±2.67</w:t>
            </w:r>
          </w:p>
        </w:tc>
        <w:tc>
          <w:tcPr>
            <w:tcW w:w="2688" w:type="dxa"/>
            <w:vAlign w:val="center"/>
          </w:tcPr>
          <w:p w14:paraId="58DFDA57"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1.17±0.09</w:t>
            </w:r>
          </w:p>
        </w:tc>
      </w:tr>
      <w:tr w:rsidR="00477B85" w:rsidRPr="00663AE5" w14:paraId="29AD931F" w14:textId="77777777" w:rsidTr="00FB37B2">
        <w:trPr>
          <w:jc w:val="center"/>
        </w:trPr>
        <w:tc>
          <w:tcPr>
            <w:tcW w:w="2694" w:type="dxa"/>
          </w:tcPr>
          <w:p w14:paraId="012CF713" w14:textId="0CB7B80F"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Ultrasound duration</w:t>
            </w:r>
            <w:r w:rsidR="00FB37B2">
              <w:rPr>
                <w:rFonts w:ascii="Times New Roman" w:eastAsiaTheme="minorHAnsi" w:hAnsi="Times New Roman" w:cs="Times New Roman" w:hint="eastAsia"/>
                <w:szCs w:val="21"/>
              </w:rPr>
              <w:t xml:space="preserve"> (min)</w:t>
            </w:r>
          </w:p>
        </w:tc>
        <w:tc>
          <w:tcPr>
            <w:tcW w:w="2835" w:type="dxa"/>
            <w:vAlign w:val="center"/>
          </w:tcPr>
          <w:p w14:paraId="350F51F2"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w:t>
            </w:r>
          </w:p>
        </w:tc>
        <w:tc>
          <w:tcPr>
            <w:tcW w:w="2688" w:type="dxa"/>
            <w:vAlign w:val="center"/>
          </w:tcPr>
          <w:p w14:paraId="27C773AE"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w:t>
            </w:r>
          </w:p>
        </w:tc>
      </w:tr>
      <w:tr w:rsidR="00477B85" w:rsidRPr="00663AE5" w14:paraId="6993E0A3" w14:textId="77777777" w:rsidTr="00FB37B2">
        <w:trPr>
          <w:jc w:val="center"/>
        </w:trPr>
        <w:tc>
          <w:tcPr>
            <w:tcW w:w="2694" w:type="dxa"/>
          </w:tcPr>
          <w:p w14:paraId="02F1D13D"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10</w:t>
            </w:r>
          </w:p>
        </w:tc>
        <w:tc>
          <w:tcPr>
            <w:tcW w:w="2835" w:type="dxa"/>
            <w:vAlign w:val="center"/>
          </w:tcPr>
          <w:p w14:paraId="11F4B923"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69.01±3.94</w:t>
            </w:r>
          </w:p>
        </w:tc>
        <w:tc>
          <w:tcPr>
            <w:tcW w:w="2688" w:type="dxa"/>
            <w:vAlign w:val="center"/>
          </w:tcPr>
          <w:p w14:paraId="746F36BD"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2.26±0.13</w:t>
            </w:r>
          </w:p>
        </w:tc>
      </w:tr>
      <w:tr w:rsidR="00477B85" w:rsidRPr="00663AE5" w14:paraId="4411330A" w14:textId="77777777" w:rsidTr="00FB37B2">
        <w:trPr>
          <w:jc w:val="center"/>
        </w:trPr>
        <w:tc>
          <w:tcPr>
            <w:tcW w:w="2694" w:type="dxa"/>
          </w:tcPr>
          <w:p w14:paraId="691DCC11"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15</w:t>
            </w:r>
          </w:p>
        </w:tc>
        <w:tc>
          <w:tcPr>
            <w:tcW w:w="2835" w:type="dxa"/>
            <w:vAlign w:val="center"/>
          </w:tcPr>
          <w:p w14:paraId="372A95DF"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40.53±8.21</w:t>
            </w:r>
          </w:p>
        </w:tc>
        <w:tc>
          <w:tcPr>
            <w:tcW w:w="2688" w:type="dxa"/>
            <w:vAlign w:val="center"/>
          </w:tcPr>
          <w:p w14:paraId="77C462DA"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1.34±0.27</w:t>
            </w:r>
          </w:p>
        </w:tc>
      </w:tr>
      <w:tr w:rsidR="00477B85" w:rsidRPr="00663AE5" w14:paraId="43C483F9" w14:textId="77777777" w:rsidTr="00FB37B2">
        <w:trPr>
          <w:jc w:val="center"/>
        </w:trPr>
        <w:tc>
          <w:tcPr>
            <w:tcW w:w="2694" w:type="dxa"/>
          </w:tcPr>
          <w:p w14:paraId="62DFEB8F"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20</w:t>
            </w:r>
          </w:p>
        </w:tc>
        <w:tc>
          <w:tcPr>
            <w:tcW w:w="2835" w:type="dxa"/>
            <w:vAlign w:val="center"/>
          </w:tcPr>
          <w:p w14:paraId="435CC07D"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56.81±11.31</w:t>
            </w:r>
          </w:p>
        </w:tc>
        <w:tc>
          <w:tcPr>
            <w:tcW w:w="2688" w:type="dxa"/>
            <w:vAlign w:val="center"/>
          </w:tcPr>
          <w:p w14:paraId="585158B2"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1.87±0.38</w:t>
            </w:r>
          </w:p>
        </w:tc>
      </w:tr>
      <w:tr w:rsidR="00477B85" w:rsidRPr="00663AE5" w14:paraId="0F22E707" w14:textId="77777777" w:rsidTr="00FB37B2">
        <w:trPr>
          <w:jc w:val="center"/>
        </w:trPr>
        <w:tc>
          <w:tcPr>
            <w:tcW w:w="2694" w:type="dxa"/>
          </w:tcPr>
          <w:p w14:paraId="6507C318"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25</w:t>
            </w:r>
          </w:p>
        </w:tc>
        <w:tc>
          <w:tcPr>
            <w:tcW w:w="2835" w:type="dxa"/>
            <w:vAlign w:val="center"/>
          </w:tcPr>
          <w:p w14:paraId="75D44F2D"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63.28±11.02</w:t>
            </w:r>
          </w:p>
        </w:tc>
        <w:tc>
          <w:tcPr>
            <w:tcW w:w="2688" w:type="dxa"/>
            <w:vAlign w:val="center"/>
          </w:tcPr>
          <w:p w14:paraId="6CEE5AEB"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szCs w:val="21"/>
              </w:rPr>
              <w:t>2.08±0.38</w:t>
            </w:r>
          </w:p>
        </w:tc>
      </w:tr>
      <w:tr w:rsidR="00477B85" w:rsidRPr="00663AE5" w14:paraId="6D9EDA70" w14:textId="77777777" w:rsidTr="00FB37B2">
        <w:trPr>
          <w:jc w:val="center"/>
        </w:trPr>
        <w:tc>
          <w:tcPr>
            <w:tcW w:w="2694" w:type="dxa"/>
          </w:tcPr>
          <w:p w14:paraId="4905C28C" w14:textId="77777777" w:rsidR="00477B85" w:rsidRPr="00FB37B2" w:rsidRDefault="00477B85" w:rsidP="006D04B4">
            <w:pPr>
              <w:jc w:val="center"/>
              <w:rPr>
                <w:rFonts w:ascii="Times New Roman" w:eastAsiaTheme="minorHAnsi" w:hAnsi="Times New Roman" w:cs="Times New Roman"/>
                <w:szCs w:val="21"/>
              </w:rPr>
            </w:pPr>
            <w:r w:rsidRPr="00FB37B2">
              <w:rPr>
                <w:rFonts w:ascii="Times New Roman" w:eastAsiaTheme="minorHAnsi" w:hAnsi="Times New Roman" w:cs="Times New Roman"/>
                <w:color w:val="FF0000"/>
                <w:szCs w:val="21"/>
              </w:rPr>
              <w:t>30</w:t>
            </w:r>
          </w:p>
        </w:tc>
        <w:tc>
          <w:tcPr>
            <w:tcW w:w="2835" w:type="dxa"/>
            <w:vAlign w:val="center"/>
          </w:tcPr>
          <w:p w14:paraId="7D0547E0" w14:textId="77777777" w:rsidR="00477B85" w:rsidRPr="00FB37B2" w:rsidRDefault="00477B85" w:rsidP="00FB37B2">
            <w:pPr>
              <w:ind w:firstLineChars="400" w:firstLine="840"/>
              <w:rPr>
                <w:rFonts w:ascii="Times New Roman" w:eastAsiaTheme="minorHAnsi" w:hAnsi="Times New Roman" w:cs="Times New Roman"/>
                <w:szCs w:val="21"/>
              </w:rPr>
            </w:pPr>
            <w:r w:rsidRPr="00FB37B2">
              <w:rPr>
                <w:rFonts w:ascii="Times New Roman" w:eastAsiaTheme="minorHAnsi" w:hAnsi="Times New Roman" w:cs="Times New Roman"/>
                <w:szCs w:val="21"/>
              </w:rPr>
              <w:t>77.45±7.6</w:t>
            </w:r>
            <w:r w:rsidRPr="001F251D">
              <w:rPr>
                <w:rFonts w:ascii="Times New Roman" w:eastAsiaTheme="minorHAnsi" w:hAnsi="Times New Roman" w:cs="Times New Roman"/>
                <w:szCs w:val="21"/>
              </w:rPr>
              <w:t>0</w:t>
            </w:r>
          </w:p>
        </w:tc>
        <w:tc>
          <w:tcPr>
            <w:tcW w:w="2688" w:type="dxa"/>
            <w:vAlign w:val="center"/>
          </w:tcPr>
          <w:p w14:paraId="4EA36678" w14:textId="77777777" w:rsidR="00477B85" w:rsidRPr="00FB37B2" w:rsidRDefault="00477B85" w:rsidP="006D04B4">
            <w:pPr>
              <w:jc w:val="center"/>
              <w:rPr>
                <w:rFonts w:ascii="Times New Roman" w:eastAsiaTheme="minorHAnsi" w:hAnsi="Times New Roman" w:cs="Times New Roman"/>
                <w:szCs w:val="21"/>
              </w:rPr>
            </w:pPr>
            <w:bookmarkStart w:id="2" w:name="_Hlk188785222"/>
            <w:r w:rsidRPr="00FB37B2">
              <w:rPr>
                <w:rFonts w:ascii="Times New Roman" w:eastAsiaTheme="minorHAnsi" w:hAnsi="Times New Roman" w:cs="Times New Roman"/>
                <w:szCs w:val="21"/>
              </w:rPr>
              <w:t>2.53</w:t>
            </w:r>
            <w:bookmarkEnd w:id="2"/>
            <w:r w:rsidRPr="00FB37B2">
              <w:rPr>
                <w:rFonts w:ascii="Times New Roman" w:eastAsiaTheme="minorHAnsi" w:hAnsi="Times New Roman" w:cs="Times New Roman"/>
                <w:szCs w:val="21"/>
              </w:rPr>
              <w:t>±0.25</w:t>
            </w:r>
          </w:p>
        </w:tc>
      </w:tr>
    </w:tbl>
    <w:p w14:paraId="022EFA85" w14:textId="77777777" w:rsidR="00477B85" w:rsidRPr="00FB37B2" w:rsidRDefault="00477B85" w:rsidP="00477B85">
      <w:pPr>
        <w:jc w:val="center"/>
        <w:rPr>
          <w:rFonts w:hint="eastAsia"/>
          <w:b/>
          <w:bCs/>
        </w:rPr>
      </w:pPr>
    </w:p>
    <w:p w14:paraId="38B38C2E" w14:textId="02FC4302" w:rsidR="00477B85" w:rsidRPr="00FB37B2" w:rsidRDefault="00477B85" w:rsidP="0032679E">
      <w:pPr>
        <w:spacing w:line="480" w:lineRule="auto"/>
        <w:rPr>
          <w:rFonts w:ascii="Times New Roman" w:hAnsi="Times New Roman" w:cs="Times New Roman"/>
        </w:rPr>
      </w:pPr>
      <w:r w:rsidRPr="00FB37B2">
        <w:rPr>
          <w:rFonts w:ascii="Times New Roman" w:hAnsi="Times New Roman" w:cs="Times New Roman"/>
          <w:b/>
          <w:bCs/>
        </w:rPr>
        <w:t>Table S1. The Tf-Lip-Ber preparation process optimization.</w:t>
      </w:r>
      <w:r w:rsidRPr="00FB37B2">
        <w:rPr>
          <w:rFonts w:ascii="Times New Roman" w:hAnsi="Times New Roman" w:cs="Times New Roman"/>
        </w:rPr>
        <w:t xml:space="preserve"> </w:t>
      </w:r>
      <w:r w:rsidRPr="008E6FDB">
        <w:rPr>
          <w:rFonts w:ascii="Times New Roman" w:hAnsi="Times New Roman" w:cs="Times New Roman"/>
        </w:rPr>
        <w:t>The membrane material ratio is the proportion of Tf-</w:t>
      </w:r>
      <w:r>
        <w:rPr>
          <w:rFonts w:ascii="Times New Roman" w:hAnsi="Times New Roman" w:cs="Times New Roman" w:hint="eastAsia"/>
        </w:rPr>
        <w:t>m</w:t>
      </w:r>
      <w:r w:rsidRPr="008E6FDB">
        <w:rPr>
          <w:rFonts w:ascii="Times New Roman" w:hAnsi="Times New Roman" w:cs="Times New Roman"/>
        </w:rPr>
        <w:t>PEG2000 to PC.</w:t>
      </w:r>
      <w:r w:rsidRPr="008E6FDB">
        <w:t xml:space="preserve"> </w:t>
      </w:r>
      <w:r w:rsidRPr="008E6FDB">
        <w:rPr>
          <w:rFonts w:ascii="Times New Roman" w:hAnsi="Times New Roman" w:cs="Times New Roman"/>
        </w:rPr>
        <w:t xml:space="preserve">The drug-to-lipid ratio is the proportion of </w:t>
      </w:r>
      <w:r>
        <w:rPr>
          <w:rFonts w:ascii="Times New Roman" w:hAnsi="Times New Roman" w:cs="Times New Roman" w:hint="eastAsia"/>
        </w:rPr>
        <w:t>B</w:t>
      </w:r>
      <w:r w:rsidRPr="008E6FDB">
        <w:rPr>
          <w:rFonts w:ascii="Times New Roman" w:hAnsi="Times New Roman" w:cs="Times New Roman"/>
        </w:rPr>
        <w:t>e to the two types of membrane materials.</w:t>
      </w:r>
      <w:r>
        <w:rPr>
          <w:rFonts w:ascii="Times New Roman" w:hAnsi="Times New Roman" w:cs="Times New Roman" w:hint="eastAsia"/>
        </w:rPr>
        <w:t xml:space="preserve"> </w:t>
      </w:r>
      <w:r w:rsidRPr="00FB37B2">
        <w:rPr>
          <w:rFonts w:ascii="Times New Roman" w:hAnsi="Times New Roman" w:cs="Times New Roman"/>
        </w:rPr>
        <w:t xml:space="preserve">As results, the Tf-Lip-Ber was prepared with the membrane ratio of 1:8, the drug to lipid ratio of 1:30, the ultrasonic power of 20%, and the ultrasonic time of 30min. </w:t>
      </w:r>
      <w:bookmarkStart w:id="3" w:name="OLE_LINK5"/>
      <w:r w:rsidRPr="00FB37B2">
        <w:rPr>
          <w:rFonts w:ascii="Times New Roman" w:hAnsi="Times New Roman" w:cs="Times New Roman"/>
        </w:rPr>
        <w:t>Data are presented as the mean ± SD</w:t>
      </w:r>
      <w:r w:rsidR="003A08BE">
        <w:rPr>
          <w:rFonts w:ascii="Times New Roman" w:hAnsi="Times New Roman" w:cs="Times New Roman" w:hint="eastAsia"/>
        </w:rPr>
        <w:t>s</w:t>
      </w:r>
      <w:r w:rsidRPr="00FB37B2">
        <w:rPr>
          <w:rFonts w:ascii="Times New Roman" w:hAnsi="Times New Roman" w:cs="Times New Roman"/>
        </w:rPr>
        <w:t xml:space="preserve"> (n</w:t>
      </w:r>
      <w:r w:rsidR="00BA50B9">
        <w:rPr>
          <w:rFonts w:ascii="Times New Roman" w:hAnsi="Times New Roman" w:cs="Times New Roman" w:hint="eastAsia"/>
        </w:rPr>
        <w:t xml:space="preserve"> </w:t>
      </w:r>
      <w:r w:rsidRPr="00FB37B2">
        <w:rPr>
          <w:rFonts w:ascii="Times New Roman" w:hAnsi="Times New Roman" w:cs="Times New Roman"/>
        </w:rPr>
        <w:t>=</w:t>
      </w:r>
      <w:r w:rsidR="00BA50B9">
        <w:rPr>
          <w:rFonts w:ascii="Times New Roman" w:hAnsi="Times New Roman" w:cs="Times New Roman" w:hint="eastAsia"/>
        </w:rPr>
        <w:t xml:space="preserve"> </w:t>
      </w:r>
      <w:r w:rsidRPr="00FB37B2">
        <w:rPr>
          <w:rFonts w:ascii="Times New Roman" w:hAnsi="Times New Roman" w:cs="Times New Roman"/>
        </w:rPr>
        <w:t xml:space="preserve">3). </w:t>
      </w:r>
    </w:p>
    <w:bookmarkEnd w:id="3"/>
    <w:p w14:paraId="5B159BD3" w14:textId="77777777" w:rsidR="00477B85" w:rsidRPr="00FB37B2" w:rsidRDefault="00477B85" w:rsidP="0032679E">
      <w:pPr>
        <w:spacing w:line="480" w:lineRule="auto"/>
        <w:rPr>
          <w:rFonts w:ascii="Times New Roman" w:hAnsi="Times New Roman" w:cs="Times New Roman"/>
          <w:noProof/>
        </w:rPr>
      </w:pPr>
    </w:p>
    <w:p w14:paraId="6707C2B2" w14:textId="51D6F3A2" w:rsidR="00477B85" w:rsidRPr="00AE2F4E" w:rsidRDefault="00F67968" w:rsidP="0032679E">
      <w:pPr>
        <w:spacing w:line="480" w:lineRule="auto"/>
        <w:jc w:val="left"/>
        <w:rPr>
          <w:rFonts w:hint="eastAsia"/>
        </w:rPr>
      </w:pPr>
      <w:r>
        <w:rPr>
          <w:noProof/>
        </w:rPr>
        <w:lastRenderedPageBreak/>
        <w:drawing>
          <wp:inline distT="0" distB="0" distL="0" distR="0" wp14:anchorId="63BEB7AA" wp14:editId="32854553">
            <wp:extent cx="5274310" cy="3592195"/>
            <wp:effectExtent l="0" t="0" r="2540" b="8255"/>
            <wp:docPr id="4242297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592195"/>
                    </a:xfrm>
                    <a:prstGeom prst="rect">
                      <a:avLst/>
                    </a:prstGeom>
                    <a:noFill/>
                    <a:ln>
                      <a:noFill/>
                    </a:ln>
                  </pic:spPr>
                </pic:pic>
              </a:graphicData>
            </a:graphic>
          </wp:inline>
        </w:drawing>
      </w:r>
    </w:p>
    <w:p w14:paraId="2FC506B9" w14:textId="77777777" w:rsidR="00477B85" w:rsidRPr="00FB37B2" w:rsidRDefault="00477B85" w:rsidP="00477B85">
      <w:pPr>
        <w:jc w:val="left"/>
        <w:rPr>
          <w:rFonts w:ascii="Times New Roman" w:hAnsi="Times New Roman" w:cs="Times New Roman"/>
        </w:rPr>
      </w:pPr>
    </w:p>
    <w:p w14:paraId="349FBBCD" w14:textId="1A347638" w:rsidR="00477B85" w:rsidRPr="00FB37B2" w:rsidRDefault="00477B85" w:rsidP="0032679E">
      <w:pPr>
        <w:spacing w:line="480" w:lineRule="auto"/>
        <w:rPr>
          <w:rFonts w:ascii="Times New Roman" w:hAnsi="Times New Roman" w:cs="Times New Roman"/>
        </w:rPr>
      </w:pPr>
      <w:r w:rsidRPr="00FB37B2">
        <w:rPr>
          <w:rFonts w:ascii="Times New Roman" w:hAnsi="Times New Roman" w:cs="Times New Roman"/>
          <w:b/>
          <w:bCs/>
        </w:rPr>
        <w:t>Fig</w:t>
      </w:r>
      <w:r w:rsidR="00FB37B2">
        <w:rPr>
          <w:rFonts w:ascii="Times New Roman" w:hAnsi="Times New Roman" w:cs="Times New Roman" w:hint="eastAsia"/>
          <w:b/>
          <w:bCs/>
        </w:rPr>
        <w:t>.</w:t>
      </w:r>
      <w:r w:rsidRPr="00FB37B2">
        <w:rPr>
          <w:rFonts w:ascii="Times New Roman" w:hAnsi="Times New Roman" w:cs="Times New Roman"/>
          <w:b/>
          <w:bCs/>
        </w:rPr>
        <w:t xml:space="preserve"> S1. Preparation and characterization of Tf-Lip-Ber and Exo. </w:t>
      </w:r>
      <w:r w:rsidRPr="00FB37B2">
        <w:rPr>
          <w:rFonts w:ascii="Times New Roman" w:hAnsi="Times New Roman" w:cs="Times New Roman"/>
        </w:rPr>
        <w:t xml:space="preserve">(A) The particle size distribution of Tf-Lip-Ber was determined by Marvin particle size analyzer, and the average particle size was 158 nm. (B) Representative transmission electron microscope image of Lip. Scale bar, 50 nm. (C) The stability of Tf-Lip-Ber within 48 h was measured by Malvern particle size analyzer. (D) The particle size distribution of Exo was measured by Malvern particle size analyzer, with an average particle size of 150 nm. </w:t>
      </w:r>
      <w:r w:rsidR="00F67968" w:rsidRPr="00FB37B2">
        <w:rPr>
          <w:rFonts w:ascii="Times New Roman" w:hAnsi="Times New Roman" w:cs="Times New Roman"/>
        </w:rPr>
        <w:t>(</w:t>
      </w:r>
      <w:r w:rsidR="00F67968">
        <w:rPr>
          <w:rFonts w:ascii="Times New Roman" w:hAnsi="Times New Roman" w:cs="Times New Roman" w:hint="eastAsia"/>
        </w:rPr>
        <w:t>E</w:t>
      </w:r>
      <w:r w:rsidR="00F67968" w:rsidRPr="00FB37B2">
        <w:rPr>
          <w:rFonts w:ascii="Times New Roman" w:hAnsi="Times New Roman" w:cs="Times New Roman"/>
        </w:rPr>
        <w:t xml:space="preserve">) Representative transmission electron microscope images of Exo. Scale bar, 100 nm. </w:t>
      </w:r>
      <w:r w:rsidRPr="00FB37B2">
        <w:rPr>
          <w:rFonts w:ascii="Times New Roman" w:hAnsi="Times New Roman" w:cs="Times New Roman"/>
        </w:rPr>
        <w:t>(</w:t>
      </w:r>
      <w:r w:rsidR="00F67968">
        <w:rPr>
          <w:rFonts w:ascii="Times New Roman" w:hAnsi="Times New Roman" w:cs="Times New Roman" w:hint="eastAsia"/>
        </w:rPr>
        <w:t>F</w:t>
      </w:r>
      <w:r w:rsidRPr="00FB37B2">
        <w:rPr>
          <w:rFonts w:ascii="Times New Roman" w:hAnsi="Times New Roman" w:cs="Times New Roman"/>
        </w:rPr>
        <w:t xml:space="preserve">) Western blot analysis of exosome characteristic proteins CD81, TSG101 and Alix. Repeat for 3 times. </w:t>
      </w:r>
    </w:p>
    <w:p w14:paraId="46ADAC9E" w14:textId="7E10A6C6" w:rsidR="00477B85" w:rsidRDefault="00DD281D">
      <w:pPr>
        <w:rPr>
          <w:rFonts w:hint="eastAsia"/>
        </w:rPr>
      </w:pPr>
      <w:r>
        <w:rPr>
          <w:noProof/>
        </w:rPr>
        <w:lastRenderedPageBreak/>
        <w:drawing>
          <wp:inline distT="0" distB="0" distL="0" distR="0" wp14:anchorId="5FDAFBA1" wp14:editId="50BEEA93">
            <wp:extent cx="5274310" cy="3980815"/>
            <wp:effectExtent l="0" t="0" r="2540" b="635"/>
            <wp:docPr id="9438597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980815"/>
                    </a:xfrm>
                    <a:prstGeom prst="rect">
                      <a:avLst/>
                    </a:prstGeom>
                    <a:noFill/>
                    <a:ln>
                      <a:noFill/>
                    </a:ln>
                  </pic:spPr>
                </pic:pic>
              </a:graphicData>
            </a:graphic>
          </wp:inline>
        </w:drawing>
      </w:r>
    </w:p>
    <w:p w14:paraId="52C6CEDB" w14:textId="77777777" w:rsidR="00DD281D" w:rsidRDefault="00DD281D" w:rsidP="0032679E">
      <w:pPr>
        <w:spacing w:line="480" w:lineRule="auto"/>
        <w:rPr>
          <w:rFonts w:hint="eastAsia"/>
        </w:rPr>
      </w:pPr>
    </w:p>
    <w:p w14:paraId="61B70744" w14:textId="28165314" w:rsidR="00DD281D" w:rsidRPr="00FB37B2" w:rsidRDefault="00DD281D" w:rsidP="0032679E">
      <w:pPr>
        <w:spacing w:line="480" w:lineRule="auto"/>
        <w:rPr>
          <w:rFonts w:ascii="Times New Roman" w:hAnsi="Times New Roman" w:cs="Times New Roman"/>
        </w:rPr>
      </w:pPr>
      <w:bookmarkStart w:id="4" w:name="OLE_LINK38"/>
      <w:r w:rsidRPr="00FB37B2">
        <w:rPr>
          <w:rFonts w:ascii="Times New Roman" w:hAnsi="Times New Roman" w:cs="Times New Roman"/>
          <w:b/>
          <w:bCs/>
        </w:rPr>
        <w:t>Fig</w:t>
      </w:r>
      <w:r w:rsidR="00FB37B2">
        <w:rPr>
          <w:rFonts w:ascii="Times New Roman" w:hAnsi="Times New Roman" w:cs="Times New Roman" w:hint="eastAsia"/>
          <w:b/>
          <w:bCs/>
        </w:rPr>
        <w:t>.</w:t>
      </w:r>
      <w:r w:rsidRPr="00FB37B2">
        <w:rPr>
          <w:rFonts w:ascii="Times New Roman" w:hAnsi="Times New Roman" w:cs="Times New Roman"/>
          <w:b/>
          <w:bCs/>
        </w:rPr>
        <w:t xml:space="preserve"> S2</w:t>
      </w:r>
      <w:r w:rsidR="0032679E">
        <w:rPr>
          <w:rFonts w:ascii="Times New Roman" w:hAnsi="Times New Roman" w:cs="Times New Roman" w:hint="eastAsia"/>
          <w:b/>
          <w:bCs/>
        </w:rPr>
        <w:t>.</w:t>
      </w:r>
      <w:r w:rsidRPr="00FB37B2">
        <w:rPr>
          <w:rFonts w:ascii="Times New Roman" w:hAnsi="Times New Roman" w:cs="Times New Roman"/>
        </w:rPr>
        <w:t xml:space="preserve"> </w:t>
      </w:r>
      <w:bookmarkEnd w:id="4"/>
      <w:r w:rsidRPr="00FB37B2">
        <w:rPr>
          <w:rFonts w:ascii="Times New Roman" w:hAnsi="Times New Roman" w:cs="Times New Roman"/>
          <w:b/>
          <w:bCs/>
        </w:rPr>
        <w:t>Cellular uptake and in vitro uptake mechanisms of Tf-hEVs-Ber/Pal.</w:t>
      </w:r>
      <w:r w:rsidRPr="00FB37B2">
        <w:rPr>
          <w:rFonts w:ascii="Times New Roman" w:hAnsi="Times New Roman" w:cs="Times New Roman"/>
          <w:bCs/>
          <w:sz w:val="24"/>
          <w:szCs w:val="24"/>
        </w:rPr>
        <w:t xml:space="preserve"> </w:t>
      </w:r>
      <w:r w:rsidRPr="00FB37B2">
        <w:rPr>
          <w:rFonts w:ascii="Times New Roman" w:hAnsi="Times New Roman" w:cs="Times New Roman"/>
        </w:rPr>
        <w:t>Cellular uptake of FITC (green) labelled Tf-hEVs-Ber/Pal with increasing (A) time and (B) concentration was determined by flow cytometry. The concentration of FITC is 125 μM and the incubation time was 4 h. (C) Intracellular accumulation of Tf-hEVs-Ber/Pal was quantitatively measured by flow cytometry. BV2 cells were pre-incubated with different endocytosis pathway inhibitors for 30 minutes, followed by incubation with FITC-labeled Tf-hEVs-Ber/Pal for 2 h.</w:t>
      </w:r>
    </w:p>
    <w:p w14:paraId="5D3F5544" w14:textId="737A9E5B" w:rsidR="00DD281D" w:rsidRDefault="0097562B" w:rsidP="00DD281D">
      <w:pPr>
        <w:spacing w:line="480" w:lineRule="auto"/>
        <w:rPr>
          <w:rFonts w:hint="eastAsia"/>
        </w:rPr>
      </w:pPr>
      <w:r>
        <w:rPr>
          <w:noProof/>
        </w:rPr>
        <w:lastRenderedPageBreak/>
        <w:drawing>
          <wp:inline distT="0" distB="0" distL="0" distR="0" wp14:anchorId="62FA1E67" wp14:editId="1B99156A">
            <wp:extent cx="5274310" cy="4290060"/>
            <wp:effectExtent l="0" t="0" r="2540" b="0"/>
            <wp:docPr id="1097522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4290060"/>
                    </a:xfrm>
                    <a:prstGeom prst="rect">
                      <a:avLst/>
                    </a:prstGeom>
                    <a:noFill/>
                    <a:ln>
                      <a:noFill/>
                    </a:ln>
                  </pic:spPr>
                </pic:pic>
              </a:graphicData>
            </a:graphic>
          </wp:inline>
        </w:drawing>
      </w:r>
    </w:p>
    <w:p w14:paraId="0065F3DA" w14:textId="5CAEF670" w:rsidR="001A43FA" w:rsidRPr="00952148" w:rsidRDefault="00102B0E" w:rsidP="00DF1FCB">
      <w:pPr>
        <w:spacing w:line="480" w:lineRule="auto"/>
        <w:rPr>
          <w:rFonts w:ascii="Times New Roman" w:hAnsi="Times New Roman" w:cs="Times New Roman"/>
          <w:b/>
          <w:bCs/>
          <w:color w:val="0070C0"/>
        </w:rPr>
      </w:pPr>
      <w:bookmarkStart w:id="5" w:name="_Hlk191467576"/>
      <w:r w:rsidRPr="00DF1FCB">
        <w:rPr>
          <w:rFonts w:ascii="Times New Roman" w:hAnsi="Times New Roman" w:cs="Times New Roman"/>
          <w:b/>
          <w:bCs/>
        </w:rPr>
        <w:t>Fig. S3</w:t>
      </w:r>
      <w:bookmarkStart w:id="6" w:name="OLE_LINK1"/>
      <w:bookmarkStart w:id="7" w:name="_Hlk191565669"/>
      <w:r w:rsidR="0032679E" w:rsidRPr="00DF1FCB">
        <w:rPr>
          <w:rFonts w:ascii="Times New Roman" w:hAnsi="Times New Roman" w:cs="Times New Roman"/>
          <w:b/>
          <w:bCs/>
        </w:rPr>
        <w:t>.</w:t>
      </w:r>
      <w:r w:rsidR="0032679E" w:rsidRPr="00DF1FCB">
        <w:rPr>
          <w:rFonts w:ascii="Times New Roman" w:hAnsi="Times New Roman" w:cs="Times New Roman" w:hint="eastAsia"/>
          <w:b/>
          <w:bCs/>
        </w:rPr>
        <w:t xml:space="preserve"> </w:t>
      </w:r>
      <w:r w:rsidR="00BC1113" w:rsidRPr="00DF1FCB">
        <w:rPr>
          <w:rFonts w:ascii="Times New Roman" w:hAnsi="Times New Roman" w:cs="Times New Roman"/>
          <w:b/>
          <w:bCs/>
        </w:rPr>
        <w:t>C</w:t>
      </w:r>
      <w:r w:rsidR="00BC1113" w:rsidRPr="00DF1FCB">
        <w:rPr>
          <w:rFonts w:ascii="Times New Roman" w:hAnsi="Times New Roman" w:cs="Times New Roman" w:hint="eastAsia"/>
          <w:b/>
          <w:bCs/>
        </w:rPr>
        <w:t>ell</w:t>
      </w:r>
      <w:r w:rsidR="00BC1113" w:rsidRPr="00DF1FCB">
        <w:rPr>
          <w:rFonts w:ascii="Times New Roman" w:hAnsi="Times New Roman" w:cs="Times New Roman"/>
          <w:b/>
          <w:bCs/>
        </w:rPr>
        <w:t xml:space="preserve"> </w:t>
      </w:r>
      <w:r w:rsidR="00BC1113" w:rsidRPr="00DF1FCB">
        <w:rPr>
          <w:rFonts w:ascii="Times New Roman" w:hAnsi="Times New Roman" w:cs="Times New Roman" w:hint="eastAsia"/>
          <w:b/>
          <w:bCs/>
        </w:rPr>
        <w:t>selection</w:t>
      </w:r>
      <w:r w:rsidR="00BC1113" w:rsidRPr="00DF1FCB">
        <w:rPr>
          <w:rFonts w:ascii="Times New Roman" w:hAnsi="Times New Roman" w:cs="Times New Roman"/>
          <w:b/>
          <w:bCs/>
        </w:rPr>
        <w:t xml:space="preserve"> </w:t>
      </w:r>
      <w:r w:rsidR="00BC1113" w:rsidRPr="00DF1FCB">
        <w:rPr>
          <w:rFonts w:ascii="Times New Roman" w:hAnsi="Times New Roman" w:cs="Times New Roman" w:hint="eastAsia"/>
          <w:b/>
          <w:bCs/>
        </w:rPr>
        <w:t>for</w:t>
      </w:r>
      <w:r w:rsidR="00BC1113" w:rsidRPr="00DF1FCB">
        <w:rPr>
          <w:rFonts w:ascii="Times New Roman" w:hAnsi="Times New Roman" w:cs="Times New Roman"/>
          <w:b/>
          <w:bCs/>
        </w:rPr>
        <w:t xml:space="preserve"> the in vitro BBB model</w:t>
      </w:r>
      <w:r w:rsidR="00170C9E" w:rsidRPr="00DF1FCB">
        <w:rPr>
          <w:rFonts w:ascii="Times New Roman" w:hAnsi="Times New Roman" w:cs="Times New Roman"/>
          <w:b/>
          <w:bCs/>
        </w:rPr>
        <w:t xml:space="preserve"> construction</w:t>
      </w:r>
      <w:r w:rsidR="00BC1113" w:rsidRPr="00DF1FCB">
        <w:rPr>
          <w:rFonts w:ascii="Times New Roman" w:hAnsi="Times New Roman" w:cs="Times New Roman"/>
          <w:b/>
          <w:bCs/>
        </w:rPr>
        <w:t>. The e</w:t>
      </w:r>
      <w:r w:rsidR="0032679E" w:rsidRPr="00DF1FCB">
        <w:rPr>
          <w:rFonts w:ascii="Times New Roman" w:hAnsi="Times New Roman" w:cs="Times New Roman"/>
          <w:b/>
          <w:bCs/>
        </w:rPr>
        <w:t>xpression of Transferrin</w:t>
      </w:r>
      <w:r w:rsidR="00BC1113" w:rsidRPr="00DF1FCB">
        <w:rPr>
          <w:rFonts w:ascii="Times New Roman" w:hAnsi="Times New Roman" w:cs="Times New Roman"/>
          <w:b/>
          <w:bCs/>
        </w:rPr>
        <w:t xml:space="preserve"> </w:t>
      </w:r>
      <w:r w:rsidR="00BC1113" w:rsidRPr="00DF1FCB">
        <w:rPr>
          <w:rFonts w:ascii="Times New Roman" w:hAnsi="Times New Roman" w:cs="Times New Roman" w:hint="eastAsia"/>
          <w:b/>
          <w:bCs/>
        </w:rPr>
        <w:t>receptor</w:t>
      </w:r>
      <w:r w:rsidR="0032679E" w:rsidRPr="00DF1FCB">
        <w:rPr>
          <w:rFonts w:ascii="Times New Roman" w:hAnsi="Times New Roman" w:cs="Times New Roman"/>
          <w:b/>
          <w:bCs/>
        </w:rPr>
        <w:t xml:space="preserve"> (Tf</w:t>
      </w:r>
      <w:r w:rsidR="00BC1113" w:rsidRPr="00DF1FCB">
        <w:rPr>
          <w:rFonts w:ascii="Times New Roman" w:hAnsi="Times New Roman" w:cs="Times New Roman"/>
          <w:b/>
          <w:bCs/>
        </w:rPr>
        <w:t>R</w:t>
      </w:r>
      <w:r w:rsidR="0032679E" w:rsidRPr="00DF1FCB">
        <w:rPr>
          <w:rFonts w:ascii="Times New Roman" w:hAnsi="Times New Roman" w:cs="Times New Roman"/>
          <w:b/>
          <w:bCs/>
        </w:rPr>
        <w:t>) and Tf-hEVs-Ber/Pal interaction with TfR</w:t>
      </w:r>
      <w:r w:rsidR="00BC1113" w:rsidRPr="00DF1FCB">
        <w:rPr>
          <w:rFonts w:ascii="Times New Roman" w:hAnsi="Times New Roman" w:cs="Times New Roman"/>
          <w:b/>
          <w:bCs/>
        </w:rPr>
        <w:t xml:space="preserve"> were observed</w:t>
      </w:r>
      <w:r w:rsidR="0032679E" w:rsidRPr="00DF1FCB">
        <w:rPr>
          <w:rFonts w:ascii="Times New Roman" w:hAnsi="Times New Roman" w:cs="Times New Roman"/>
          <w:b/>
          <w:bCs/>
        </w:rPr>
        <w:t xml:space="preserve"> in bEnd.3 Cells</w:t>
      </w:r>
      <w:r w:rsidR="00BC1113" w:rsidRPr="00DF1FCB">
        <w:rPr>
          <w:rFonts w:ascii="Times New Roman" w:hAnsi="Times New Roman" w:cs="Times New Roman"/>
          <w:b/>
          <w:bCs/>
        </w:rPr>
        <w:t xml:space="preserve"> and HEK293 cells</w:t>
      </w:r>
      <w:r w:rsidR="0032679E" w:rsidRPr="00DF1FCB">
        <w:rPr>
          <w:rFonts w:ascii="Times New Roman" w:hAnsi="Times New Roman" w:cs="Times New Roman"/>
          <w:b/>
          <w:bCs/>
        </w:rPr>
        <w:t>.</w:t>
      </w:r>
      <w:r w:rsidR="0032679E" w:rsidRPr="00DF1FCB">
        <w:rPr>
          <w:rFonts w:hint="eastAsia"/>
        </w:rPr>
        <w:t xml:space="preserve"> </w:t>
      </w:r>
      <w:r w:rsidR="001A43FA" w:rsidRPr="00DF1FCB">
        <w:rPr>
          <w:rFonts w:asciiTheme="majorBidi" w:hAnsiTheme="majorBidi" w:cstheme="majorBidi"/>
          <w:bCs/>
          <w:szCs w:val="21"/>
        </w:rPr>
        <w:t>(A) Confocal microscopy analysis of Tf expression in bEnd.3 cells. (B) Flow cytometric analysis of TfR expression in</w:t>
      </w:r>
      <w:r w:rsidR="00BC1113" w:rsidRPr="00DF1FCB">
        <w:rPr>
          <w:rFonts w:asciiTheme="majorBidi" w:hAnsiTheme="majorBidi" w:cstheme="majorBidi"/>
          <w:bCs/>
          <w:szCs w:val="21"/>
        </w:rPr>
        <w:t xml:space="preserve"> HEK293</w:t>
      </w:r>
      <w:r w:rsidR="00170C9E" w:rsidRPr="00DF1FCB">
        <w:rPr>
          <w:rFonts w:asciiTheme="majorBidi" w:hAnsiTheme="majorBidi" w:cstheme="majorBidi"/>
          <w:bCs/>
          <w:szCs w:val="21"/>
        </w:rPr>
        <w:t xml:space="preserve"> and bEnd.3 </w:t>
      </w:r>
      <w:r w:rsidR="001A43FA" w:rsidRPr="00DF1FCB">
        <w:rPr>
          <w:rFonts w:asciiTheme="majorBidi" w:hAnsiTheme="majorBidi" w:cstheme="majorBidi"/>
          <w:bCs/>
          <w:szCs w:val="21"/>
        </w:rPr>
        <w:t>cells. (C) Quantification of average fluorescence intensity. The HEK293–untreated and bEnd.3–untreated groups received no treatment</w:t>
      </w:r>
      <w:r w:rsidR="00170C9E" w:rsidRPr="00DF1FCB">
        <w:rPr>
          <w:rFonts w:asciiTheme="majorBidi" w:hAnsiTheme="majorBidi" w:cstheme="majorBidi"/>
          <w:bCs/>
          <w:szCs w:val="21"/>
        </w:rPr>
        <w:t>, which was blank cells</w:t>
      </w:r>
      <w:r w:rsidR="001A43FA" w:rsidRPr="00DF1FCB">
        <w:rPr>
          <w:rFonts w:asciiTheme="majorBidi" w:hAnsiTheme="majorBidi" w:cstheme="majorBidi"/>
          <w:bCs/>
          <w:szCs w:val="21"/>
        </w:rPr>
        <w:t>. Tf</w:t>
      </w:r>
      <w:r w:rsidR="00170C9E" w:rsidRPr="00DF1FCB">
        <w:rPr>
          <w:rFonts w:asciiTheme="majorBidi" w:hAnsiTheme="majorBidi" w:cstheme="majorBidi"/>
          <w:bCs/>
          <w:szCs w:val="21"/>
        </w:rPr>
        <w:t>R</w:t>
      </w:r>
      <w:r w:rsidR="001A43FA" w:rsidRPr="00DF1FCB">
        <w:rPr>
          <w:rFonts w:asciiTheme="majorBidi" w:hAnsiTheme="majorBidi" w:cstheme="majorBidi"/>
          <w:bCs/>
          <w:szCs w:val="21"/>
        </w:rPr>
        <w:t xml:space="preserve"> was labeled with a CD71 primary antibody and stained with Alexa Fluor 647 (red)</w:t>
      </w:r>
      <w:r w:rsidR="00170C9E" w:rsidRPr="00DF1FCB">
        <w:rPr>
          <w:rFonts w:asciiTheme="majorBidi" w:hAnsiTheme="majorBidi" w:cstheme="majorBidi"/>
          <w:bCs/>
          <w:szCs w:val="21"/>
        </w:rPr>
        <w:t xml:space="preserve">-labeled second antibody both in the confocal and flow. (D) Interaction between Tf-hEVs-Ber/Pal and TfR which observed by confocal. </w:t>
      </w:r>
      <w:r w:rsidR="001A43FA" w:rsidRPr="00DF1FCB">
        <w:rPr>
          <w:rFonts w:asciiTheme="majorBidi" w:hAnsiTheme="majorBidi" w:cstheme="majorBidi"/>
          <w:bCs/>
          <w:szCs w:val="21"/>
        </w:rPr>
        <w:t xml:space="preserve">(E) Flow cytometry analysis of FITC-Tf-hEVs-Ber/Pal uptake in HEK293 and bEnd.3 cells under normal conditions </w:t>
      </w:r>
      <w:r w:rsidR="00170C9E" w:rsidRPr="00DF1FCB">
        <w:rPr>
          <w:rFonts w:asciiTheme="majorBidi" w:hAnsiTheme="majorBidi" w:cstheme="majorBidi"/>
          <w:bCs/>
          <w:szCs w:val="21"/>
        </w:rPr>
        <w:t>or</w:t>
      </w:r>
      <w:r w:rsidR="001A43FA" w:rsidRPr="00DF1FCB">
        <w:rPr>
          <w:rFonts w:asciiTheme="majorBidi" w:hAnsiTheme="majorBidi" w:cstheme="majorBidi"/>
          <w:bCs/>
          <w:szCs w:val="21"/>
        </w:rPr>
        <w:t xml:space="preserve"> Tf</w:t>
      </w:r>
      <w:r w:rsidR="00170C9E" w:rsidRPr="00DF1FCB">
        <w:rPr>
          <w:rFonts w:asciiTheme="majorBidi" w:hAnsiTheme="majorBidi" w:cstheme="majorBidi"/>
          <w:bCs/>
          <w:szCs w:val="21"/>
        </w:rPr>
        <w:t xml:space="preserve"> incubation in advance</w:t>
      </w:r>
      <w:r w:rsidR="001A43FA" w:rsidRPr="00DF1FCB">
        <w:rPr>
          <w:rFonts w:asciiTheme="majorBidi" w:hAnsiTheme="majorBidi" w:cstheme="majorBidi"/>
          <w:bCs/>
          <w:szCs w:val="21"/>
        </w:rPr>
        <w:t xml:space="preserve">. (F) Quantitative analysis of average fluorescence intensity. Cells were pretreated with Tf for 30 min and incubated with FITC-Tf-hEVs-Ber/Pal (62.5 μM) for 4 h. </w:t>
      </w:r>
      <w:r w:rsidR="00170C9E" w:rsidRPr="00DF1FCB">
        <w:rPr>
          <w:rFonts w:asciiTheme="majorBidi" w:hAnsiTheme="majorBidi" w:cstheme="majorBidi"/>
          <w:bCs/>
          <w:szCs w:val="21"/>
        </w:rPr>
        <w:t xml:space="preserve">The nuclei were stained with DAPI </w:t>
      </w:r>
      <w:r w:rsidR="00170C9E" w:rsidRPr="00DF1FCB">
        <w:rPr>
          <w:rFonts w:asciiTheme="majorBidi" w:hAnsiTheme="majorBidi" w:cstheme="majorBidi"/>
          <w:bCs/>
          <w:szCs w:val="21"/>
        </w:rPr>
        <w:lastRenderedPageBreak/>
        <w:t xml:space="preserve">(blue). Images were acquired using confocal laser scanning microscopy. Scale bar: 10 μm. </w:t>
      </w:r>
      <w:r w:rsidR="001A43FA" w:rsidRPr="00DF1FCB">
        <w:rPr>
          <w:rFonts w:asciiTheme="majorBidi" w:hAnsiTheme="majorBidi" w:cstheme="majorBidi"/>
          <w:bCs/>
          <w:szCs w:val="21"/>
        </w:rPr>
        <w:t xml:space="preserve">Data are presented as mean ± SD (n = 6). Statistical significance was determined using Student’s t-test: </w:t>
      </w:r>
      <w:r w:rsidR="001A43FA" w:rsidRPr="00DF1FCB">
        <w:rPr>
          <w:rFonts w:asciiTheme="majorBidi" w:hAnsiTheme="majorBidi" w:cstheme="majorBidi"/>
          <w:bCs/>
          <w:i/>
          <w:iCs/>
          <w:szCs w:val="21"/>
        </w:rPr>
        <w:t>***P &lt; 0.001</w:t>
      </w:r>
      <w:r w:rsidR="001A43FA" w:rsidRPr="00DF1FCB">
        <w:rPr>
          <w:rFonts w:asciiTheme="majorBidi" w:hAnsiTheme="majorBidi" w:cstheme="majorBidi"/>
          <w:bCs/>
          <w:szCs w:val="21"/>
        </w:rPr>
        <w:t>, ns indicates no significant difference.</w:t>
      </w:r>
    </w:p>
    <w:bookmarkEnd w:id="6"/>
    <w:bookmarkEnd w:id="7"/>
    <w:p w14:paraId="45FF07CA" w14:textId="2302FBD2" w:rsidR="00817E90" w:rsidRPr="0097562B" w:rsidRDefault="00817E90" w:rsidP="00DD281D">
      <w:pPr>
        <w:spacing w:line="480" w:lineRule="auto"/>
        <w:rPr>
          <w:rFonts w:ascii="Times New Roman" w:hAnsi="Times New Roman" w:cs="Times New Roman"/>
          <w:color w:val="000000" w:themeColor="text1"/>
        </w:rPr>
      </w:pPr>
    </w:p>
    <w:tbl>
      <w:tblPr>
        <w:tblStyle w:val="af5"/>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6"/>
        <w:gridCol w:w="1579"/>
        <w:gridCol w:w="1468"/>
        <w:gridCol w:w="1318"/>
        <w:gridCol w:w="1075"/>
      </w:tblGrid>
      <w:tr w:rsidR="0097562B" w:rsidRPr="0097562B" w14:paraId="3F3E0A00" w14:textId="326FB20A" w:rsidTr="00817E90">
        <w:trPr>
          <w:jc w:val="center"/>
        </w:trPr>
        <w:tc>
          <w:tcPr>
            <w:tcW w:w="2866" w:type="dxa"/>
            <w:tcBorders>
              <w:bottom w:val="single" w:sz="4" w:space="0" w:color="auto"/>
            </w:tcBorders>
            <w:vAlign w:val="center"/>
          </w:tcPr>
          <w:p w14:paraId="2A3CE4B2" w14:textId="77777777" w:rsidR="00817E90" w:rsidRPr="0097562B" w:rsidRDefault="00817E90" w:rsidP="00C40028">
            <w:pPr>
              <w:ind w:firstLineChars="400" w:firstLine="840"/>
              <w:rPr>
                <w:rFonts w:ascii="Times New Roman" w:hAnsi="Times New Roman" w:cs="Times New Roman"/>
                <w:color w:val="000000" w:themeColor="text1"/>
                <w:szCs w:val="21"/>
              </w:rPr>
            </w:pPr>
            <w:bookmarkStart w:id="8" w:name="_Hlk191407016"/>
            <w:bookmarkEnd w:id="5"/>
            <w:r w:rsidRPr="0097562B">
              <w:rPr>
                <w:rFonts w:ascii="Times New Roman" w:hAnsi="Times New Roman" w:cs="Times New Roman" w:hint="eastAsia"/>
                <w:color w:val="000000" w:themeColor="text1"/>
                <w:szCs w:val="21"/>
              </w:rPr>
              <w:t>Argument</w:t>
            </w:r>
          </w:p>
        </w:tc>
        <w:tc>
          <w:tcPr>
            <w:tcW w:w="1579" w:type="dxa"/>
            <w:tcBorders>
              <w:bottom w:val="single" w:sz="4" w:space="0" w:color="auto"/>
            </w:tcBorders>
            <w:vAlign w:val="center"/>
          </w:tcPr>
          <w:p w14:paraId="7D1E5554" w14:textId="77777777" w:rsidR="00817E90" w:rsidRPr="0097562B" w:rsidRDefault="00817E90" w:rsidP="00C40028">
            <w:pPr>
              <w:ind w:firstLineChars="100" w:firstLine="210"/>
              <w:rPr>
                <w:rFonts w:ascii="Times New Roman" w:hAnsi="Times New Roman" w:cs="Times New Roman"/>
                <w:color w:val="000000" w:themeColor="text1"/>
                <w:szCs w:val="21"/>
              </w:rPr>
            </w:pPr>
            <w:r w:rsidRPr="0097562B">
              <w:rPr>
                <w:rFonts w:ascii="Times New Roman" w:hAnsi="Times New Roman" w:cs="Times New Roman" w:hint="eastAsia"/>
                <w:color w:val="000000" w:themeColor="text1"/>
                <w:szCs w:val="21"/>
              </w:rPr>
              <w:t>Control</w:t>
            </w:r>
          </w:p>
        </w:tc>
        <w:tc>
          <w:tcPr>
            <w:tcW w:w="1468" w:type="dxa"/>
            <w:tcBorders>
              <w:bottom w:val="single" w:sz="4" w:space="0" w:color="auto"/>
            </w:tcBorders>
            <w:vAlign w:val="center"/>
          </w:tcPr>
          <w:p w14:paraId="0FBC8176" w14:textId="77777777" w:rsidR="00817E90" w:rsidRPr="0097562B" w:rsidRDefault="00817E90" w:rsidP="00C40028">
            <w:pPr>
              <w:jc w:val="center"/>
              <w:rPr>
                <w:rFonts w:ascii="Times New Roman" w:hAnsi="Times New Roman" w:cs="Times New Roman"/>
                <w:color w:val="000000" w:themeColor="text1"/>
                <w:szCs w:val="21"/>
              </w:rPr>
            </w:pPr>
            <w:r w:rsidRPr="0097562B">
              <w:rPr>
                <w:rFonts w:ascii="Times New Roman" w:hAnsi="Times New Roman" w:cs="Times New Roman" w:hint="eastAsia"/>
                <w:color w:val="000000" w:themeColor="text1"/>
                <w:szCs w:val="21"/>
              </w:rPr>
              <w:t>Tf-hEVs-Ber/Pal</w:t>
            </w:r>
          </w:p>
        </w:tc>
        <w:tc>
          <w:tcPr>
            <w:tcW w:w="1318" w:type="dxa"/>
            <w:tcBorders>
              <w:bottom w:val="single" w:sz="4" w:space="0" w:color="auto"/>
            </w:tcBorders>
            <w:vAlign w:val="center"/>
          </w:tcPr>
          <w:p w14:paraId="4DBF4EC7" w14:textId="77777777" w:rsidR="00817E90" w:rsidRPr="0097562B" w:rsidRDefault="00817E90" w:rsidP="00C40028">
            <w:pPr>
              <w:jc w:val="center"/>
              <w:rPr>
                <w:rFonts w:ascii="Times New Roman" w:hAnsi="Times New Roman" w:cs="Times New Roman"/>
                <w:color w:val="000000" w:themeColor="text1"/>
                <w:szCs w:val="21"/>
              </w:rPr>
            </w:pPr>
            <w:r w:rsidRPr="0097562B">
              <w:rPr>
                <w:rFonts w:ascii="Times New Roman" w:hAnsi="Times New Roman" w:cs="Times New Roman" w:hint="eastAsia"/>
                <w:color w:val="000000" w:themeColor="text1"/>
                <w:szCs w:val="21"/>
              </w:rPr>
              <w:t>Reference range</w:t>
            </w:r>
          </w:p>
        </w:tc>
        <w:tc>
          <w:tcPr>
            <w:tcW w:w="1075" w:type="dxa"/>
            <w:tcBorders>
              <w:bottom w:val="single" w:sz="4" w:space="0" w:color="auto"/>
            </w:tcBorders>
          </w:tcPr>
          <w:p w14:paraId="020DF34B" w14:textId="6820973F" w:rsidR="00817E90" w:rsidRPr="0097562B" w:rsidRDefault="00817E90" w:rsidP="00817E90">
            <w:pPr>
              <w:ind w:firstLineChars="150" w:firstLine="315"/>
              <w:rPr>
                <w:rFonts w:ascii="Times New Roman" w:hAnsi="Times New Roman" w:cs="Times New Roman"/>
                <w:color w:val="000000" w:themeColor="text1"/>
                <w:szCs w:val="21"/>
              </w:rPr>
            </w:pPr>
            <w:r w:rsidRPr="0097562B">
              <w:rPr>
                <w:rFonts w:ascii="Times New Roman" w:hAnsi="Times New Roman" w:cs="Times New Roman" w:hint="eastAsia"/>
                <w:color w:val="000000" w:themeColor="text1"/>
                <w:szCs w:val="21"/>
              </w:rPr>
              <w:t>U</w:t>
            </w:r>
            <w:r w:rsidRPr="0097562B">
              <w:rPr>
                <w:rFonts w:ascii="Times New Roman" w:hAnsi="Times New Roman" w:cs="Times New Roman"/>
                <w:color w:val="000000" w:themeColor="text1"/>
                <w:szCs w:val="21"/>
              </w:rPr>
              <w:t>nit</w:t>
            </w:r>
          </w:p>
        </w:tc>
      </w:tr>
      <w:tr w:rsidR="0097562B" w:rsidRPr="0097562B" w14:paraId="3A6257A8" w14:textId="6C3B2690" w:rsidTr="000C3208">
        <w:trPr>
          <w:jc w:val="center"/>
        </w:trPr>
        <w:tc>
          <w:tcPr>
            <w:tcW w:w="2866" w:type="dxa"/>
            <w:tcBorders>
              <w:top w:val="single" w:sz="4" w:space="0" w:color="auto"/>
            </w:tcBorders>
            <w:vAlign w:val="center"/>
          </w:tcPr>
          <w:p w14:paraId="4A127672" w14:textId="77777777" w:rsidR="00817E90" w:rsidRPr="0097562B" w:rsidRDefault="00817E90" w:rsidP="00817E90">
            <w:pPr>
              <w:jc w:val="center"/>
              <w:rPr>
                <w:rFonts w:ascii="Times New Roman" w:hAnsi="Times New Roman" w:cs="Times New Roman"/>
                <w:color w:val="000000" w:themeColor="text1"/>
                <w:szCs w:val="21"/>
              </w:rPr>
            </w:pPr>
            <w:r w:rsidRPr="0097562B">
              <w:rPr>
                <w:rFonts w:ascii="Times New Roman" w:eastAsia="等线" w:hAnsi="Times New Roman" w:cs="Times New Roman"/>
                <w:color w:val="000000" w:themeColor="text1"/>
                <w:szCs w:val="21"/>
              </w:rPr>
              <w:t>White Blood Cell Count (WBC)</w:t>
            </w:r>
          </w:p>
        </w:tc>
        <w:tc>
          <w:tcPr>
            <w:tcW w:w="1579" w:type="dxa"/>
            <w:tcBorders>
              <w:top w:val="single" w:sz="4" w:space="0" w:color="auto"/>
            </w:tcBorders>
            <w:vAlign w:val="center"/>
          </w:tcPr>
          <w:p w14:paraId="4156C217"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1.83 ± 0.57</w:t>
            </w:r>
          </w:p>
        </w:tc>
        <w:tc>
          <w:tcPr>
            <w:tcW w:w="1468" w:type="dxa"/>
            <w:tcBorders>
              <w:top w:val="single" w:sz="4" w:space="0" w:color="auto"/>
            </w:tcBorders>
            <w:vAlign w:val="center"/>
          </w:tcPr>
          <w:p w14:paraId="3860BB8E"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1.67 ± 0.66</w:t>
            </w:r>
          </w:p>
        </w:tc>
        <w:tc>
          <w:tcPr>
            <w:tcW w:w="1318" w:type="dxa"/>
            <w:tcBorders>
              <w:top w:val="single" w:sz="4" w:space="0" w:color="auto"/>
            </w:tcBorders>
            <w:vAlign w:val="center"/>
          </w:tcPr>
          <w:p w14:paraId="72081033"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0.8 - 10.6</w:t>
            </w:r>
          </w:p>
        </w:tc>
        <w:tc>
          <w:tcPr>
            <w:tcW w:w="1075" w:type="dxa"/>
            <w:tcBorders>
              <w:top w:val="single" w:sz="4" w:space="0" w:color="auto"/>
            </w:tcBorders>
            <w:vAlign w:val="center"/>
          </w:tcPr>
          <w:p w14:paraId="3443437F" w14:textId="168464DB"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hAnsi="Times New Roman" w:cs="Times New Roman"/>
                <w:color w:val="000000" w:themeColor="text1"/>
                <w:kern w:val="0"/>
                <w:szCs w:val="21"/>
              </w:rPr>
              <w:t>10</w:t>
            </w:r>
            <w:r w:rsidRPr="0097562B">
              <w:rPr>
                <w:rFonts w:ascii="Times New Roman" w:hAnsi="Times New Roman" w:cs="Times New Roman"/>
                <w:color w:val="000000" w:themeColor="text1"/>
                <w:kern w:val="0"/>
                <w:szCs w:val="21"/>
                <w:vertAlign w:val="superscript"/>
              </w:rPr>
              <w:t>9</w:t>
            </w:r>
            <w:r w:rsidRPr="0097562B">
              <w:rPr>
                <w:rFonts w:ascii="Times New Roman" w:hAnsi="Times New Roman" w:cs="Times New Roman"/>
                <w:color w:val="000000" w:themeColor="text1"/>
                <w:kern w:val="0"/>
                <w:szCs w:val="21"/>
              </w:rPr>
              <w:t>/L</w:t>
            </w:r>
          </w:p>
        </w:tc>
      </w:tr>
      <w:tr w:rsidR="0097562B" w:rsidRPr="0097562B" w14:paraId="55FBA9AA" w14:textId="1381402C" w:rsidTr="000C3208">
        <w:trPr>
          <w:jc w:val="center"/>
        </w:trPr>
        <w:tc>
          <w:tcPr>
            <w:tcW w:w="2866" w:type="dxa"/>
            <w:vAlign w:val="center"/>
          </w:tcPr>
          <w:p w14:paraId="69C9ADDB" w14:textId="77777777" w:rsidR="00817E90" w:rsidRPr="0097562B" w:rsidRDefault="00817E90" w:rsidP="00817E90">
            <w:pPr>
              <w:jc w:val="center"/>
              <w:rPr>
                <w:rFonts w:ascii="Times New Roman" w:hAnsi="Times New Roman" w:cs="Times New Roman"/>
                <w:color w:val="000000" w:themeColor="text1"/>
                <w:szCs w:val="21"/>
              </w:rPr>
            </w:pPr>
            <w:r w:rsidRPr="0097562B">
              <w:rPr>
                <w:rFonts w:ascii="Times New Roman" w:eastAsia="等线" w:hAnsi="Times New Roman" w:cs="Times New Roman"/>
                <w:color w:val="000000" w:themeColor="text1"/>
                <w:szCs w:val="21"/>
              </w:rPr>
              <w:t>Lymphocyte Count (Lymph#)</w:t>
            </w:r>
          </w:p>
        </w:tc>
        <w:tc>
          <w:tcPr>
            <w:tcW w:w="1579" w:type="dxa"/>
            <w:vAlign w:val="center"/>
          </w:tcPr>
          <w:p w14:paraId="791FA4FD"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1.5 ± 0.4</w:t>
            </w:r>
          </w:p>
        </w:tc>
        <w:tc>
          <w:tcPr>
            <w:tcW w:w="1468" w:type="dxa"/>
            <w:vAlign w:val="center"/>
          </w:tcPr>
          <w:p w14:paraId="4E097678"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1.27 ± 0.35</w:t>
            </w:r>
          </w:p>
        </w:tc>
        <w:tc>
          <w:tcPr>
            <w:tcW w:w="1318" w:type="dxa"/>
            <w:vAlign w:val="center"/>
          </w:tcPr>
          <w:p w14:paraId="5C12BD79"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0.6 - 8.9</w:t>
            </w:r>
          </w:p>
        </w:tc>
        <w:tc>
          <w:tcPr>
            <w:tcW w:w="1075" w:type="dxa"/>
            <w:vAlign w:val="center"/>
          </w:tcPr>
          <w:p w14:paraId="60879413" w14:textId="701DD908"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hAnsi="Times New Roman" w:cs="Times New Roman"/>
                <w:color w:val="000000" w:themeColor="text1"/>
                <w:kern w:val="0"/>
                <w:szCs w:val="21"/>
              </w:rPr>
              <w:t>10</w:t>
            </w:r>
            <w:r w:rsidRPr="0097562B">
              <w:rPr>
                <w:rFonts w:ascii="Times New Roman" w:hAnsi="Times New Roman" w:cs="Times New Roman"/>
                <w:color w:val="000000" w:themeColor="text1"/>
                <w:kern w:val="0"/>
                <w:szCs w:val="21"/>
                <w:vertAlign w:val="superscript"/>
              </w:rPr>
              <w:t>9</w:t>
            </w:r>
            <w:r w:rsidRPr="0097562B">
              <w:rPr>
                <w:rFonts w:ascii="Times New Roman" w:hAnsi="Times New Roman" w:cs="Times New Roman"/>
                <w:color w:val="000000" w:themeColor="text1"/>
                <w:kern w:val="0"/>
                <w:szCs w:val="21"/>
              </w:rPr>
              <w:t>/L</w:t>
            </w:r>
          </w:p>
        </w:tc>
      </w:tr>
      <w:tr w:rsidR="0097562B" w:rsidRPr="0097562B" w14:paraId="74F852C8" w14:textId="4C4890AB" w:rsidTr="000C3208">
        <w:trPr>
          <w:jc w:val="center"/>
        </w:trPr>
        <w:tc>
          <w:tcPr>
            <w:tcW w:w="2866" w:type="dxa"/>
            <w:vAlign w:val="center"/>
          </w:tcPr>
          <w:p w14:paraId="32A8CF60" w14:textId="77777777" w:rsidR="00817E90" w:rsidRPr="0097562B" w:rsidRDefault="00817E90" w:rsidP="00817E90">
            <w:pPr>
              <w:jc w:val="center"/>
              <w:rPr>
                <w:rFonts w:ascii="Times New Roman" w:hAnsi="Times New Roman" w:cs="Times New Roman"/>
                <w:color w:val="000000" w:themeColor="text1"/>
                <w:szCs w:val="21"/>
              </w:rPr>
            </w:pPr>
            <w:r w:rsidRPr="0097562B">
              <w:rPr>
                <w:rFonts w:ascii="Times New Roman" w:eastAsia="等线" w:hAnsi="Times New Roman" w:cs="Times New Roman"/>
                <w:color w:val="000000" w:themeColor="text1"/>
                <w:szCs w:val="21"/>
              </w:rPr>
              <w:t>Monocyte Count (Mon#)</w:t>
            </w:r>
          </w:p>
        </w:tc>
        <w:tc>
          <w:tcPr>
            <w:tcW w:w="1579" w:type="dxa"/>
            <w:vAlign w:val="center"/>
          </w:tcPr>
          <w:p w14:paraId="11286FF1"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0.03 ± 0.06</w:t>
            </w:r>
          </w:p>
        </w:tc>
        <w:tc>
          <w:tcPr>
            <w:tcW w:w="1468" w:type="dxa"/>
            <w:vAlign w:val="center"/>
          </w:tcPr>
          <w:p w14:paraId="575B30C3"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0.07 ± 0.06</w:t>
            </w:r>
          </w:p>
        </w:tc>
        <w:tc>
          <w:tcPr>
            <w:tcW w:w="1318" w:type="dxa"/>
            <w:vAlign w:val="center"/>
          </w:tcPr>
          <w:p w14:paraId="606A9C3A"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0.04 - 1.4</w:t>
            </w:r>
          </w:p>
        </w:tc>
        <w:tc>
          <w:tcPr>
            <w:tcW w:w="1075" w:type="dxa"/>
            <w:vAlign w:val="center"/>
          </w:tcPr>
          <w:p w14:paraId="16E2BBF4" w14:textId="441BFFF1"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hAnsi="Times New Roman" w:cs="Times New Roman"/>
                <w:color w:val="000000" w:themeColor="text1"/>
                <w:kern w:val="0"/>
                <w:szCs w:val="21"/>
              </w:rPr>
              <w:t>10</w:t>
            </w:r>
            <w:r w:rsidRPr="0097562B">
              <w:rPr>
                <w:rFonts w:ascii="Times New Roman" w:hAnsi="Times New Roman" w:cs="Times New Roman"/>
                <w:color w:val="000000" w:themeColor="text1"/>
                <w:kern w:val="0"/>
                <w:szCs w:val="21"/>
                <w:vertAlign w:val="superscript"/>
              </w:rPr>
              <w:t>9</w:t>
            </w:r>
            <w:r w:rsidRPr="0097562B">
              <w:rPr>
                <w:rFonts w:ascii="Times New Roman" w:hAnsi="Times New Roman" w:cs="Times New Roman"/>
                <w:color w:val="000000" w:themeColor="text1"/>
                <w:kern w:val="0"/>
                <w:szCs w:val="21"/>
              </w:rPr>
              <w:t>/L</w:t>
            </w:r>
          </w:p>
        </w:tc>
      </w:tr>
      <w:tr w:rsidR="0097562B" w:rsidRPr="0097562B" w14:paraId="14502A36" w14:textId="13512C3A" w:rsidTr="000C3208">
        <w:trPr>
          <w:jc w:val="center"/>
        </w:trPr>
        <w:tc>
          <w:tcPr>
            <w:tcW w:w="2866" w:type="dxa"/>
            <w:vAlign w:val="center"/>
          </w:tcPr>
          <w:p w14:paraId="758CAA34" w14:textId="77777777" w:rsidR="00817E90" w:rsidRPr="0097562B" w:rsidRDefault="00817E90" w:rsidP="00817E90">
            <w:pPr>
              <w:jc w:val="center"/>
              <w:rPr>
                <w:rFonts w:ascii="Times New Roman" w:hAnsi="Times New Roman" w:cs="Times New Roman"/>
                <w:color w:val="000000" w:themeColor="text1"/>
                <w:szCs w:val="21"/>
              </w:rPr>
            </w:pPr>
            <w:r w:rsidRPr="0097562B">
              <w:rPr>
                <w:rFonts w:ascii="Times New Roman" w:eastAsia="等线" w:hAnsi="Times New Roman" w:cs="Times New Roman"/>
                <w:color w:val="000000" w:themeColor="text1"/>
                <w:szCs w:val="21"/>
              </w:rPr>
              <w:t>Granulocyte Count (Gran#)</w:t>
            </w:r>
          </w:p>
        </w:tc>
        <w:tc>
          <w:tcPr>
            <w:tcW w:w="1579" w:type="dxa"/>
            <w:vAlign w:val="center"/>
          </w:tcPr>
          <w:p w14:paraId="306A8E4B"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0.063±0.046</w:t>
            </w:r>
          </w:p>
        </w:tc>
        <w:tc>
          <w:tcPr>
            <w:tcW w:w="1468" w:type="dxa"/>
            <w:vAlign w:val="center"/>
          </w:tcPr>
          <w:p w14:paraId="02E1A166"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0.37 ± 0.26</w:t>
            </w:r>
          </w:p>
        </w:tc>
        <w:tc>
          <w:tcPr>
            <w:tcW w:w="1318" w:type="dxa"/>
            <w:vAlign w:val="center"/>
          </w:tcPr>
          <w:p w14:paraId="24F98AD7"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0.23 - 3.6</w:t>
            </w:r>
          </w:p>
        </w:tc>
        <w:tc>
          <w:tcPr>
            <w:tcW w:w="1075" w:type="dxa"/>
            <w:vAlign w:val="center"/>
          </w:tcPr>
          <w:p w14:paraId="2C1A6378" w14:textId="01369A18"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hAnsi="Times New Roman" w:cs="Times New Roman"/>
                <w:color w:val="000000" w:themeColor="text1"/>
                <w:kern w:val="0"/>
                <w:szCs w:val="21"/>
              </w:rPr>
              <w:t>10</w:t>
            </w:r>
            <w:r w:rsidRPr="0097562B">
              <w:rPr>
                <w:rFonts w:ascii="Times New Roman" w:hAnsi="Times New Roman" w:cs="Times New Roman"/>
                <w:color w:val="000000" w:themeColor="text1"/>
                <w:kern w:val="0"/>
                <w:szCs w:val="21"/>
                <w:vertAlign w:val="superscript"/>
              </w:rPr>
              <w:t>9</w:t>
            </w:r>
            <w:r w:rsidRPr="0097562B">
              <w:rPr>
                <w:rFonts w:ascii="Times New Roman" w:hAnsi="Times New Roman" w:cs="Times New Roman"/>
                <w:color w:val="000000" w:themeColor="text1"/>
                <w:kern w:val="0"/>
                <w:szCs w:val="21"/>
              </w:rPr>
              <w:t>/L</w:t>
            </w:r>
          </w:p>
        </w:tc>
      </w:tr>
      <w:tr w:rsidR="0097562B" w:rsidRPr="0097562B" w14:paraId="0134F05D" w14:textId="0B66C77E" w:rsidTr="000C3208">
        <w:trPr>
          <w:jc w:val="center"/>
        </w:trPr>
        <w:tc>
          <w:tcPr>
            <w:tcW w:w="2866" w:type="dxa"/>
            <w:vAlign w:val="center"/>
          </w:tcPr>
          <w:p w14:paraId="62700466" w14:textId="77777777" w:rsidR="00817E90" w:rsidRPr="0097562B" w:rsidRDefault="00817E90" w:rsidP="00817E90">
            <w:pPr>
              <w:jc w:val="center"/>
              <w:rPr>
                <w:rFonts w:ascii="Times New Roman" w:hAnsi="Times New Roman" w:cs="Times New Roman"/>
                <w:color w:val="000000" w:themeColor="text1"/>
                <w:szCs w:val="21"/>
              </w:rPr>
            </w:pPr>
            <w:r w:rsidRPr="0097562B">
              <w:rPr>
                <w:rFonts w:ascii="Times New Roman" w:eastAsia="等线" w:hAnsi="Times New Roman" w:cs="Times New Roman"/>
                <w:color w:val="000000" w:themeColor="text1"/>
                <w:szCs w:val="21"/>
              </w:rPr>
              <w:t>Lymphocyte Percentage (Lymph%)</w:t>
            </w:r>
          </w:p>
        </w:tc>
        <w:tc>
          <w:tcPr>
            <w:tcW w:w="1579" w:type="dxa"/>
            <w:vAlign w:val="center"/>
          </w:tcPr>
          <w:p w14:paraId="7E65B264"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81.13 ± 0.58</w:t>
            </w:r>
          </w:p>
        </w:tc>
        <w:tc>
          <w:tcPr>
            <w:tcW w:w="1468" w:type="dxa"/>
            <w:vAlign w:val="center"/>
          </w:tcPr>
          <w:p w14:paraId="1E799167"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78.93 ± 8.64</w:t>
            </w:r>
          </w:p>
        </w:tc>
        <w:tc>
          <w:tcPr>
            <w:tcW w:w="1318" w:type="dxa"/>
            <w:vAlign w:val="center"/>
          </w:tcPr>
          <w:p w14:paraId="38CBE5A0"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40 - 92</w:t>
            </w:r>
          </w:p>
        </w:tc>
        <w:tc>
          <w:tcPr>
            <w:tcW w:w="1075" w:type="dxa"/>
            <w:vAlign w:val="center"/>
          </w:tcPr>
          <w:p w14:paraId="00FFD889" w14:textId="71F3C836"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hAnsi="Times New Roman" w:cs="Times New Roman"/>
                <w:color w:val="000000" w:themeColor="text1"/>
                <w:kern w:val="0"/>
                <w:szCs w:val="21"/>
              </w:rPr>
              <w:t>%</w:t>
            </w:r>
          </w:p>
        </w:tc>
      </w:tr>
      <w:tr w:rsidR="0097562B" w:rsidRPr="0097562B" w14:paraId="243A1B6B" w14:textId="7222B63D" w:rsidTr="000C3208">
        <w:trPr>
          <w:jc w:val="center"/>
        </w:trPr>
        <w:tc>
          <w:tcPr>
            <w:tcW w:w="2866" w:type="dxa"/>
            <w:vAlign w:val="center"/>
          </w:tcPr>
          <w:p w14:paraId="66F5CCF7" w14:textId="77777777" w:rsidR="00817E90" w:rsidRPr="0097562B" w:rsidRDefault="00817E90" w:rsidP="00817E90">
            <w:pPr>
              <w:jc w:val="center"/>
              <w:rPr>
                <w:rFonts w:ascii="Times New Roman" w:hAnsi="Times New Roman" w:cs="Times New Roman"/>
                <w:color w:val="000000" w:themeColor="text1"/>
                <w:szCs w:val="21"/>
              </w:rPr>
            </w:pPr>
            <w:r w:rsidRPr="0097562B">
              <w:rPr>
                <w:rFonts w:ascii="Times New Roman" w:eastAsia="等线" w:hAnsi="Times New Roman" w:cs="Times New Roman"/>
                <w:color w:val="000000" w:themeColor="text1"/>
                <w:szCs w:val="21"/>
              </w:rPr>
              <w:t>Monocyte Percentage (Mon%)</w:t>
            </w:r>
          </w:p>
        </w:tc>
        <w:tc>
          <w:tcPr>
            <w:tcW w:w="1579" w:type="dxa"/>
            <w:vAlign w:val="center"/>
          </w:tcPr>
          <w:p w14:paraId="7EC50DDF"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2.53 ± 0.15</w:t>
            </w:r>
          </w:p>
        </w:tc>
        <w:tc>
          <w:tcPr>
            <w:tcW w:w="1468" w:type="dxa"/>
            <w:vAlign w:val="center"/>
          </w:tcPr>
          <w:p w14:paraId="68B23020"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2.13 ± 0.31</w:t>
            </w:r>
          </w:p>
        </w:tc>
        <w:tc>
          <w:tcPr>
            <w:tcW w:w="1318" w:type="dxa"/>
            <w:vAlign w:val="center"/>
          </w:tcPr>
          <w:p w14:paraId="16ED2F3E"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0.9 - 18</w:t>
            </w:r>
          </w:p>
        </w:tc>
        <w:tc>
          <w:tcPr>
            <w:tcW w:w="1075" w:type="dxa"/>
            <w:vAlign w:val="center"/>
          </w:tcPr>
          <w:p w14:paraId="38B64463" w14:textId="3054A393"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hAnsi="Times New Roman" w:cs="Times New Roman"/>
                <w:color w:val="000000" w:themeColor="text1"/>
                <w:kern w:val="0"/>
                <w:szCs w:val="21"/>
              </w:rPr>
              <w:t>%</w:t>
            </w:r>
          </w:p>
        </w:tc>
      </w:tr>
      <w:tr w:rsidR="0097562B" w:rsidRPr="0097562B" w14:paraId="692005FF" w14:textId="436A6381" w:rsidTr="000C3208">
        <w:trPr>
          <w:jc w:val="center"/>
        </w:trPr>
        <w:tc>
          <w:tcPr>
            <w:tcW w:w="2866" w:type="dxa"/>
            <w:vAlign w:val="center"/>
          </w:tcPr>
          <w:p w14:paraId="643A8CB2" w14:textId="77777777" w:rsidR="00817E90" w:rsidRPr="0097562B" w:rsidRDefault="00817E90" w:rsidP="00817E90">
            <w:pPr>
              <w:jc w:val="center"/>
              <w:rPr>
                <w:rFonts w:ascii="Times New Roman" w:hAnsi="Times New Roman" w:cs="Times New Roman"/>
                <w:color w:val="000000" w:themeColor="text1"/>
                <w:szCs w:val="21"/>
              </w:rPr>
            </w:pPr>
            <w:r w:rsidRPr="0097562B">
              <w:rPr>
                <w:rFonts w:ascii="Times New Roman" w:eastAsia="等线" w:hAnsi="Times New Roman" w:cs="Times New Roman"/>
                <w:color w:val="000000" w:themeColor="text1"/>
                <w:szCs w:val="21"/>
              </w:rPr>
              <w:t>Granulocyte Percentage (Gran%)</w:t>
            </w:r>
          </w:p>
        </w:tc>
        <w:tc>
          <w:tcPr>
            <w:tcW w:w="1579" w:type="dxa"/>
            <w:vAlign w:val="center"/>
          </w:tcPr>
          <w:p w14:paraId="353464AD"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16.33 ± 0.25</w:t>
            </w:r>
          </w:p>
        </w:tc>
        <w:tc>
          <w:tcPr>
            <w:tcW w:w="1468" w:type="dxa"/>
            <w:vAlign w:val="center"/>
          </w:tcPr>
          <w:p w14:paraId="36071CC9"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18.93 ± 8.43</w:t>
            </w:r>
          </w:p>
        </w:tc>
        <w:tc>
          <w:tcPr>
            <w:tcW w:w="1318" w:type="dxa"/>
            <w:vAlign w:val="center"/>
          </w:tcPr>
          <w:p w14:paraId="49E81FFD"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6.5 - 50</w:t>
            </w:r>
          </w:p>
        </w:tc>
        <w:tc>
          <w:tcPr>
            <w:tcW w:w="1075" w:type="dxa"/>
            <w:vAlign w:val="center"/>
          </w:tcPr>
          <w:p w14:paraId="63782806" w14:textId="3A13FDDE"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hAnsi="Times New Roman" w:cs="Times New Roman"/>
                <w:color w:val="000000" w:themeColor="text1"/>
                <w:kern w:val="0"/>
                <w:szCs w:val="21"/>
              </w:rPr>
              <w:t>%</w:t>
            </w:r>
          </w:p>
        </w:tc>
      </w:tr>
      <w:tr w:rsidR="0097562B" w:rsidRPr="0097562B" w14:paraId="377E576F" w14:textId="13A4580E" w:rsidTr="000C3208">
        <w:trPr>
          <w:jc w:val="center"/>
        </w:trPr>
        <w:tc>
          <w:tcPr>
            <w:tcW w:w="2866" w:type="dxa"/>
            <w:vAlign w:val="center"/>
          </w:tcPr>
          <w:p w14:paraId="0C9306B8" w14:textId="77777777" w:rsidR="00817E90" w:rsidRPr="0097562B" w:rsidRDefault="00817E90" w:rsidP="00817E90">
            <w:pPr>
              <w:jc w:val="center"/>
              <w:rPr>
                <w:rFonts w:ascii="Times New Roman" w:hAnsi="Times New Roman" w:cs="Times New Roman"/>
                <w:color w:val="000000" w:themeColor="text1"/>
                <w:szCs w:val="21"/>
              </w:rPr>
            </w:pPr>
            <w:r w:rsidRPr="0097562B">
              <w:rPr>
                <w:rFonts w:ascii="Times New Roman" w:eastAsia="等线" w:hAnsi="Times New Roman" w:cs="Times New Roman"/>
                <w:color w:val="000000" w:themeColor="text1"/>
                <w:szCs w:val="21"/>
              </w:rPr>
              <w:t>Red Blood Cell Count (RBC)</w:t>
            </w:r>
          </w:p>
        </w:tc>
        <w:tc>
          <w:tcPr>
            <w:tcW w:w="1579" w:type="dxa"/>
            <w:vAlign w:val="center"/>
          </w:tcPr>
          <w:p w14:paraId="7F7576B7"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7.48 ± 0.36</w:t>
            </w:r>
          </w:p>
        </w:tc>
        <w:tc>
          <w:tcPr>
            <w:tcW w:w="1468" w:type="dxa"/>
            <w:vAlign w:val="center"/>
          </w:tcPr>
          <w:p w14:paraId="58583B52"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7.53 ± 0.77</w:t>
            </w:r>
          </w:p>
        </w:tc>
        <w:tc>
          <w:tcPr>
            <w:tcW w:w="1318" w:type="dxa"/>
            <w:vAlign w:val="center"/>
          </w:tcPr>
          <w:p w14:paraId="4BE8A7E8"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6.5 - 11.5</w:t>
            </w:r>
          </w:p>
        </w:tc>
        <w:tc>
          <w:tcPr>
            <w:tcW w:w="1075" w:type="dxa"/>
            <w:vAlign w:val="center"/>
          </w:tcPr>
          <w:p w14:paraId="22D2DDD1" w14:textId="7BE8369F"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hAnsi="Times New Roman" w:cs="Times New Roman"/>
                <w:color w:val="000000" w:themeColor="text1"/>
                <w:kern w:val="0"/>
                <w:szCs w:val="21"/>
              </w:rPr>
              <w:t>10</w:t>
            </w:r>
            <w:r w:rsidRPr="0097562B">
              <w:rPr>
                <w:rFonts w:ascii="Times New Roman" w:hAnsi="Times New Roman" w:cs="Times New Roman"/>
                <w:color w:val="000000" w:themeColor="text1"/>
                <w:kern w:val="0"/>
                <w:szCs w:val="21"/>
                <w:vertAlign w:val="superscript"/>
              </w:rPr>
              <w:t>12</w:t>
            </w:r>
            <w:r w:rsidRPr="0097562B">
              <w:rPr>
                <w:rFonts w:ascii="Times New Roman" w:hAnsi="Times New Roman" w:cs="Times New Roman"/>
                <w:color w:val="000000" w:themeColor="text1"/>
                <w:kern w:val="0"/>
                <w:szCs w:val="21"/>
              </w:rPr>
              <w:t>/L</w:t>
            </w:r>
          </w:p>
        </w:tc>
      </w:tr>
      <w:tr w:rsidR="0097562B" w:rsidRPr="0097562B" w14:paraId="115655D6" w14:textId="0E944E68" w:rsidTr="000C3208">
        <w:trPr>
          <w:jc w:val="center"/>
        </w:trPr>
        <w:tc>
          <w:tcPr>
            <w:tcW w:w="2866" w:type="dxa"/>
            <w:vAlign w:val="center"/>
          </w:tcPr>
          <w:p w14:paraId="04ED033C" w14:textId="77777777" w:rsidR="00817E90" w:rsidRPr="0097562B" w:rsidRDefault="00817E90" w:rsidP="00817E90">
            <w:pPr>
              <w:jc w:val="center"/>
              <w:rPr>
                <w:rFonts w:ascii="Times New Roman" w:hAnsi="Times New Roman" w:cs="Times New Roman"/>
                <w:color w:val="000000" w:themeColor="text1"/>
                <w:szCs w:val="21"/>
              </w:rPr>
            </w:pPr>
            <w:r w:rsidRPr="0097562B">
              <w:rPr>
                <w:rFonts w:ascii="Times New Roman" w:eastAsia="等线" w:hAnsi="Times New Roman" w:cs="Times New Roman"/>
                <w:color w:val="000000" w:themeColor="text1"/>
                <w:szCs w:val="21"/>
              </w:rPr>
              <w:t>Hemoglobin (HGB)</w:t>
            </w:r>
          </w:p>
        </w:tc>
        <w:tc>
          <w:tcPr>
            <w:tcW w:w="1579" w:type="dxa"/>
            <w:vAlign w:val="center"/>
          </w:tcPr>
          <w:p w14:paraId="13A1DA55"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125.33 ± 8.33</w:t>
            </w:r>
          </w:p>
        </w:tc>
        <w:tc>
          <w:tcPr>
            <w:tcW w:w="1468" w:type="dxa"/>
            <w:vAlign w:val="center"/>
          </w:tcPr>
          <w:p w14:paraId="4341B7EF"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126.33 ± 13.28</w:t>
            </w:r>
          </w:p>
        </w:tc>
        <w:tc>
          <w:tcPr>
            <w:tcW w:w="1318" w:type="dxa"/>
            <w:vAlign w:val="center"/>
          </w:tcPr>
          <w:p w14:paraId="4B3A297C"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110 - 165</w:t>
            </w:r>
          </w:p>
        </w:tc>
        <w:tc>
          <w:tcPr>
            <w:tcW w:w="1075" w:type="dxa"/>
            <w:vAlign w:val="center"/>
          </w:tcPr>
          <w:p w14:paraId="6A909716" w14:textId="70F1C20A"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hAnsi="Times New Roman" w:cs="Times New Roman"/>
                <w:color w:val="000000" w:themeColor="text1"/>
                <w:kern w:val="0"/>
                <w:szCs w:val="21"/>
              </w:rPr>
              <w:t>g/L</w:t>
            </w:r>
          </w:p>
        </w:tc>
      </w:tr>
      <w:tr w:rsidR="0097562B" w:rsidRPr="0097562B" w14:paraId="518F1DB9" w14:textId="480126BF" w:rsidTr="000C3208">
        <w:trPr>
          <w:jc w:val="center"/>
        </w:trPr>
        <w:tc>
          <w:tcPr>
            <w:tcW w:w="2866" w:type="dxa"/>
            <w:vAlign w:val="center"/>
          </w:tcPr>
          <w:p w14:paraId="3827B9C6" w14:textId="77777777" w:rsidR="00817E90" w:rsidRPr="0097562B" w:rsidRDefault="00817E90" w:rsidP="00817E90">
            <w:pPr>
              <w:jc w:val="center"/>
              <w:rPr>
                <w:rFonts w:ascii="Times New Roman" w:hAnsi="Times New Roman" w:cs="Times New Roman"/>
                <w:color w:val="000000" w:themeColor="text1"/>
                <w:szCs w:val="21"/>
              </w:rPr>
            </w:pPr>
            <w:r w:rsidRPr="0097562B">
              <w:rPr>
                <w:rFonts w:ascii="Times New Roman" w:eastAsia="等线" w:hAnsi="Times New Roman" w:cs="Times New Roman"/>
                <w:color w:val="000000" w:themeColor="text1"/>
                <w:szCs w:val="21"/>
              </w:rPr>
              <w:t>Hematocrit (HCT)</w:t>
            </w:r>
          </w:p>
        </w:tc>
        <w:tc>
          <w:tcPr>
            <w:tcW w:w="1579" w:type="dxa"/>
            <w:vAlign w:val="center"/>
          </w:tcPr>
          <w:p w14:paraId="670EC242"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39.23 ± 2.06</w:t>
            </w:r>
          </w:p>
        </w:tc>
        <w:tc>
          <w:tcPr>
            <w:tcW w:w="1468" w:type="dxa"/>
            <w:vAlign w:val="center"/>
          </w:tcPr>
          <w:p w14:paraId="3C3F5C4E"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39.53 ± 3.74</w:t>
            </w:r>
          </w:p>
        </w:tc>
        <w:tc>
          <w:tcPr>
            <w:tcW w:w="1318" w:type="dxa"/>
            <w:vAlign w:val="center"/>
          </w:tcPr>
          <w:p w14:paraId="65C4FF9D"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35 - 55</w:t>
            </w:r>
          </w:p>
        </w:tc>
        <w:tc>
          <w:tcPr>
            <w:tcW w:w="1075" w:type="dxa"/>
            <w:vAlign w:val="center"/>
          </w:tcPr>
          <w:p w14:paraId="6F383B9C" w14:textId="05ADDD71"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hAnsi="Times New Roman" w:cs="Times New Roman"/>
                <w:color w:val="000000" w:themeColor="text1"/>
                <w:kern w:val="0"/>
                <w:szCs w:val="21"/>
              </w:rPr>
              <w:t>%</w:t>
            </w:r>
          </w:p>
        </w:tc>
      </w:tr>
      <w:tr w:rsidR="0097562B" w:rsidRPr="0097562B" w14:paraId="563809E2" w14:textId="5B53C1C9" w:rsidTr="000C3208">
        <w:trPr>
          <w:jc w:val="center"/>
        </w:trPr>
        <w:tc>
          <w:tcPr>
            <w:tcW w:w="2866" w:type="dxa"/>
            <w:vAlign w:val="center"/>
          </w:tcPr>
          <w:p w14:paraId="7A742D6D" w14:textId="77777777" w:rsidR="00817E90" w:rsidRPr="0097562B" w:rsidRDefault="00817E90" w:rsidP="00817E90">
            <w:pPr>
              <w:jc w:val="center"/>
              <w:rPr>
                <w:rFonts w:ascii="Times New Roman" w:hAnsi="Times New Roman" w:cs="Times New Roman"/>
                <w:color w:val="000000" w:themeColor="text1"/>
                <w:szCs w:val="21"/>
              </w:rPr>
            </w:pPr>
            <w:r w:rsidRPr="0097562B">
              <w:rPr>
                <w:rFonts w:ascii="Times New Roman" w:eastAsia="等线" w:hAnsi="Times New Roman" w:cs="Times New Roman"/>
                <w:color w:val="000000" w:themeColor="text1"/>
                <w:szCs w:val="21"/>
              </w:rPr>
              <w:t>Mean Corpuscular Volume (MCV)</w:t>
            </w:r>
          </w:p>
        </w:tc>
        <w:tc>
          <w:tcPr>
            <w:tcW w:w="1579" w:type="dxa"/>
            <w:vAlign w:val="center"/>
          </w:tcPr>
          <w:p w14:paraId="55FFAC07"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52.5 ± 1.82</w:t>
            </w:r>
          </w:p>
        </w:tc>
        <w:tc>
          <w:tcPr>
            <w:tcW w:w="1468" w:type="dxa"/>
            <w:vAlign w:val="center"/>
          </w:tcPr>
          <w:p w14:paraId="4C776514"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52.57 ± 0.21</w:t>
            </w:r>
          </w:p>
        </w:tc>
        <w:tc>
          <w:tcPr>
            <w:tcW w:w="1318" w:type="dxa"/>
            <w:vAlign w:val="center"/>
          </w:tcPr>
          <w:p w14:paraId="1B6D969F"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41 - 55</w:t>
            </w:r>
          </w:p>
        </w:tc>
        <w:tc>
          <w:tcPr>
            <w:tcW w:w="1075" w:type="dxa"/>
            <w:vAlign w:val="center"/>
          </w:tcPr>
          <w:p w14:paraId="373E2E70" w14:textId="7A14E96D"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hAnsi="Times New Roman" w:cs="Times New Roman"/>
                <w:color w:val="000000" w:themeColor="text1"/>
                <w:kern w:val="0"/>
                <w:szCs w:val="21"/>
              </w:rPr>
              <w:t>fL</w:t>
            </w:r>
          </w:p>
        </w:tc>
      </w:tr>
      <w:tr w:rsidR="0097562B" w:rsidRPr="0097562B" w14:paraId="684BCEAD" w14:textId="6788402C" w:rsidTr="000C3208">
        <w:trPr>
          <w:jc w:val="center"/>
        </w:trPr>
        <w:tc>
          <w:tcPr>
            <w:tcW w:w="2866" w:type="dxa"/>
            <w:vAlign w:val="center"/>
          </w:tcPr>
          <w:p w14:paraId="3EDFFED0" w14:textId="77777777" w:rsidR="00817E90" w:rsidRPr="0097562B" w:rsidRDefault="00817E90" w:rsidP="00817E90">
            <w:pPr>
              <w:jc w:val="center"/>
              <w:rPr>
                <w:rFonts w:ascii="Times New Roman" w:hAnsi="Times New Roman" w:cs="Times New Roman"/>
                <w:color w:val="000000" w:themeColor="text1"/>
                <w:szCs w:val="21"/>
              </w:rPr>
            </w:pPr>
            <w:r w:rsidRPr="0097562B">
              <w:rPr>
                <w:rFonts w:ascii="Times New Roman" w:eastAsia="等线" w:hAnsi="Times New Roman" w:cs="Times New Roman"/>
                <w:color w:val="000000" w:themeColor="text1"/>
                <w:szCs w:val="21"/>
              </w:rPr>
              <w:t>Mean Corpuscular Hemoglobin (MCH)</w:t>
            </w:r>
          </w:p>
        </w:tc>
        <w:tc>
          <w:tcPr>
            <w:tcW w:w="1579" w:type="dxa"/>
            <w:vAlign w:val="center"/>
          </w:tcPr>
          <w:p w14:paraId="323F57FE"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16.7 ± 0.4</w:t>
            </w:r>
          </w:p>
        </w:tc>
        <w:tc>
          <w:tcPr>
            <w:tcW w:w="1468" w:type="dxa"/>
            <w:vAlign w:val="center"/>
          </w:tcPr>
          <w:p w14:paraId="431F6A5D"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16.7 ± 0.36</w:t>
            </w:r>
          </w:p>
        </w:tc>
        <w:tc>
          <w:tcPr>
            <w:tcW w:w="1318" w:type="dxa"/>
            <w:vAlign w:val="center"/>
          </w:tcPr>
          <w:p w14:paraId="27404961"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13 - 18</w:t>
            </w:r>
          </w:p>
        </w:tc>
        <w:tc>
          <w:tcPr>
            <w:tcW w:w="1075" w:type="dxa"/>
            <w:vAlign w:val="center"/>
          </w:tcPr>
          <w:p w14:paraId="7112CEBE" w14:textId="0F4BEF5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hAnsi="Times New Roman" w:cs="Times New Roman"/>
                <w:color w:val="000000" w:themeColor="text1"/>
                <w:kern w:val="0"/>
                <w:szCs w:val="21"/>
              </w:rPr>
              <w:t>pg</w:t>
            </w:r>
          </w:p>
        </w:tc>
      </w:tr>
      <w:tr w:rsidR="0097562B" w:rsidRPr="0097562B" w14:paraId="1C3DE63D" w14:textId="79924B67" w:rsidTr="000C3208">
        <w:trPr>
          <w:jc w:val="center"/>
        </w:trPr>
        <w:tc>
          <w:tcPr>
            <w:tcW w:w="2866" w:type="dxa"/>
            <w:vAlign w:val="center"/>
          </w:tcPr>
          <w:p w14:paraId="3F44A4C8" w14:textId="77777777" w:rsidR="00817E90" w:rsidRPr="0097562B" w:rsidRDefault="00817E90" w:rsidP="00817E90">
            <w:pPr>
              <w:jc w:val="center"/>
              <w:rPr>
                <w:rFonts w:ascii="Times New Roman" w:hAnsi="Times New Roman" w:cs="Times New Roman"/>
                <w:color w:val="000000" w:themeColor="text1"/>
                <w:szCs w:val="21"/>
              </w:rPr>
            </w:pPr>
            <w:r w:rsidRPr="0097562B">
              <w:rPr>
                <w:rFonts w:ascii="Times New Roman" w:eastAsia="等线" w:hAnsi="Times New Roman" w:cs="Times New Roman"/>
                <w:color w:val="000000" w:themeColor="text1"/>
                <w:szCs w:val="21"/>
              </w:rPr>
              <w:t>Mean Corpuscular Hemoglobin Concentration (MCHC)</w:t>
            </w:r>
          </w:p>
        </w:tc>
        <w:tc>
          <w:tcPr>
            <w:tcW w:w="1579" w:type="dxa"/>
            <w:vAlign w:val="center"/>
          </w:tcPr>
          <w:p w14:paraId="47724FA4"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319 ± 6.24</w:t>
            </w:r>
          </w:p>
        </w:tc>
        <w:tc>
          <w:tcPr>
            <w:tcW w:w="1468" w:type="dxa"/>
            <w:vAlign w:val="center"/>
          </w:tcPr>
          <w:p w14:paraId="07662F42"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319 ± 6.67</w:t>
            </w:r>
          </w:p>
        </w:tc>
        <w:tc>
          <w:tcPr>
            <w:tcW w:w="1318" w:type="dxa"/>
            <w:vAlign w:val="center"/>
          </w:tcPr>
          <w:p w14:paraId="762FA0EF"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300 - 360</w:t>
            </w:r>
          </w:p>
        </w:tc>
        <w:tc>
          <w:tcPr>
            <w:tcW w:w="1075" w:type="dxa"/>
            <w:vAlign w:val="center"/>
          </w:tcPr>
          <w:p w14:paraId="7C639C56" w14:textId="6F299014"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hAnsi="Times New Roman" w:cs="Times New Roman"/>
                <w:color w:val="000000" w:themeColor="text1"/>
                <w:kern w:val="0"/>
                <w:szCs w:val="21"/>
              </w:rPr>
              <w:t>g/L</w:t>
            </w:r>
          </w:p>
        </w:tc>
      </w:tr>
      <w:tr w:rsidR="0097562B" w:rsidRPr="0097562B" w14:paraId="66927153" w14:textId="14717B11" w:rsidTr="000C3208">
        <w:trPr>
          <w:jc w:val="center"/>
        </w:trPr>
        <w:tc>
          <w:tcPr>
            <w:tcW w:w="2866" w:type="dxa"/>
            <w:vAlign w:val="center"/>
          </w:tcPr>
          <w:p w14:paraId="0DB67DEB" w14:textId="77777777" w:rsidR="00817E90" w:rsidRPr="0097562B" w:rsidRDefault="00817E90" w:rsidP="00817E90">
            <w:pPr>
              <w:jc w:val="center"/>
              <w:rPr>
                <w:rFonts w:ascii="Times New Roman" w:hAnsi="Times New Roman" w:cs="Times New Roman"/>
                <w:color w:val="000000" w:themeColor="text1"/>
                <w:szCs w:val="21"/>
              </w:rPr>
            </w:pPr>
            <w:r w:rsidRPr="0097562B">
              <w:rPr>
                <w:rFonts w:ascii="Times New Roman" w:eastAsia="等线" w:hAnsi="Times New Roman" w:cs="Times New Roman"/>
                <w:color w:val="000000" w:themeColor="text1"/>
                <w:szCs w:val="21"/>
              </w:rPr>
              <w:t>Red Cell Distribution Width (RDW)</w:t>
            </w:r>
          </w:p>
        </w:tc>
        <w:tc>
          <w:tcPr>
            <w:tcW w:w="1579" w:type="dxa"/>
            <w:vAlign w:val="center"/>
          </w:tcPr>
          <w:p w14:paraId="2D0945FD"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15.6 ± 0.9</w:t>
            </w:r>
          </w:p>
        </w:tc>
        <w:tc>
          <w:tcPr>
            <w:tcW w:w="1468" w:type="dxa"/>
            <w:vAlign w:val="center"/>
          </w:tcPr>
          <w:p w14:paraId="57CEB56E"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14.9 ± 0.6</w:t>
            </w:r>
          </w:p>
        </w:tc>
        <w:tc>
          <w:tcPr>
            <w:tcW w:w="1318" w:type="dxa"/>
            <w:vAlign w:val="center"/>
          </w:tcPr>
          <w:p w14:paraId="3013117B"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hAnsi="Times New Roman" w:cs="Times New Roman"/>
                <w:color w:val="000000" w:themeColor="text1"/>
                <w:kern w:val="0"/>
                <w:szCs w:val="21"/>
              </w:rPr>
              <w:t>12-19</w:t>
            </w:r>
          </w:p>
        </w:tc>
        <w:tc>
          <w:tcPr>
            <w:tcW w:w="1075" w:type="dxa"/>
            <w:vAlign w:val="center"/>
          </w:tcPr>
          <w:p w14:paraId="608AFD56" w14:textId="2889474D" w:rsidR="00817E90" w:rsidRPr="0097562B" w:rsidRDefault="00817E90" w:rsidP="00817E90">
            <w:pPr>
              <w:jc w:val="center"/>
              <w:rPr>
                <w:rFonts w:ascii="Times New Roman" w:hAnsi="Times New Roman" w:cs="Times New Roman"/>
                <w:color w:val="000000" w:themeColor="text1"/>
                <w:kern w:val="0"/>
                <w:szCs w:val="21"/>
              </w:rPr>
            </w:pPr>
            <w:r w:rsidRPr="0097562B">
              <w:rPr>
                <w:rFonts w:ascii="Times New Roman" w:hAnsi="Times New Roman" w:cs="Times New Roman"/>
                <w:color w:val="000000" w:themeColor="text1"/>
                <w:kern w:val="0"/>
                <w:szCs w:val="21"/>
              </w:rPr>
              <w:t>%</w:t>
            </w:r>
          </w:p>
        </w:tc>
      </w:tr>
      <w:tr w:rsidR="0097562B" w:rsidRPr="0097562B" w14:paraId="71F6874C" w14:textId="4F25B4FE" w:rsidTr="000C3208">
        <w:trPr>
          <w:jc w:val="center"/>
        </w:trPr>
        <w:tc>
          <w:tcPr>
            <w:tcW w:w="2866" w:type="dxa"/>
            <w:vAlign w:val="center"/>
          </w:tcPr>
          <w:p w14:paraId="1B126E99" w14:textId="77777777" w:rsidR="00817E90" w:rsidRPr="0097562B" w:rsidRDefault="00817E90" w:rsidP="00817E90">
            <w:pPr>
              <w:jc w:val="center"/>
              <w:rPr>
                <w:rFonts w:ascii="Times New Roman" w:hAnsi="Times New Roman" w:cs="Times New Roman"/>
                <w:color w:val="000000" w:themeColor="text1"/>
                <w:szCs w:val="21"/>
              </w:rPr>
            </w:pPr>
            <w:r w:rsidRPr="0097562B">
              <w:rPr>
                <w:rFonts w:ascii="Times New Roman" w:eastAsia="等线" w:hAnsi="Times New Roman" w:cs="Times New Roman"/>
                <w:color w:val="000000" w:themeColor="text1"/>
                <w:szCs w:val="21"/>
              </w:rPr>
              <w:t>Platelet Count (PLT)</w:t>
            </w:r>
          </w:p>
        </w:tc>
        <w:tc>
          <w:tcPr>
            <w:tcW w:w="1579" w:type="dxa"/>
            <w:vAlign w:val="center"/>
          </w:tcPr>
          <w:p w14:paraId="2D299736"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808 ± 274.56</w:t>
            </w:r>
          </w:p>
        </w:tc>
        <w:tc>
          <w:tcPr>
            <w:tcW w:w="1468" w:type="dxa"/>
            <w:vAlign w:val="center"/>
          </w:tcPr>
          <w:p w14:paraId="2F9AABDD"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1125.67 ± 269.27</w:t>
            </w:r>
          </w:p>
        </w:tc>
        <w:tc>
          <w:tcPr>
            <w:tcW w:w="1318" w:type="dxa"/>
            <w:vAlign w:val="center"/>
          </w:tcPr>
          <w:p w14:paraId="5BC00E6E"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400 - 1600</w:t>
            </w:r>
          </w:p>
        </w:tc>
        <w:tc>
          <w:tcPr>
            <w:tcW w:w="1075" w:type="dxa"/>
            <w:vAlign w:val="center"/>
          </w:tcPr>
          <w:p w14:paraId="749D4B90" w14:textId="26C24085"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hAnsi="Times New Roman" w:cs="Times New Roman"/>
                <w:color w:val="000000" w:themeColor="text1"/>
                <w:kern w:val="0"/>
                <w:szCs w:val="21"/>
              </w:rPr>
              <w:t>10</w:t>
            </w:r>
            <w:r w:rsidRPr="0097562B">
              <w:rPr>
                <w:rFonts w:ascii="Times New Roman" w:hAnsi="Times New Roman" w:cs="Times New Roman"/>
                <w:color w:val="000000" w:themeColor="text1"/>
                <w:kern w:val="0"/>
                <w:szCs w:val="21"/>
                <w:vertAlign w:val="superscript"/>
              </w:rPr>
              <w:t>9</w:t>
            </w:r>
            <w:r w:rsidRPr="0097562B">
              <w:rPr>
                <w:rFonts w:ascii="Times New Roman" w:hAnsi="Times New Roman" w:cs="Times New Roman"/>
                <w:color w:val="000000" w:themeColor="text1"/>
                <w:kern w:val="0"/>
                <w:szCs w:val="21"/>
              </w:rPr>
              <w:t>/L</w:t>
            </w:r>
          </w:p>
        </w:tc>
      </w:tr>
      <w:tr w:rsidR="0097562B" w:rsidRPr="0097562B" w14:paraId="75E488A7" w14:textId="5168C49A" w:rsidTr="000C3208">
        <w:trPr>
          <w:jc w:val="center"/>
        </w:trPr>
        <w:tc>
          <w:tcPr>
            <w:tcW w:w="2866" w:type="dxa"/>
            <w:vAlign w:val="center"/>
          </w:tcPr>
          <w:p w14:paraId="19B159AF" w14:textId="77777777" w:rsidR="00817E90" w:rsidRPr="0097562B" w:rsidRDefault="00817E90" w:rsidP="00817E90">
            <w:pPr>
              <w:jc w:val="center"/>
              <w:rPr>
                <w:rFonts w:ascii="Times New Roman" w:hAnsi="Times New Roman" w:cs="Times New Roman"/>
                <w:color w:val="000000" w:themeColor="text1"/>
                <w:szCs w:val="21"/>
              </w:rPr>
            </w:pPr>
            <w:r w:rsidRPr="0097562B">
              <w:rPr>
                <w:rFonts w:ascii="Times New Roman" w:eastAsia="等线" w:hAnsi="Times New Roman" w:cs="Times New Roman"/>
                <w:color w:val="000000" w:themeColor="text1"/>
                <w:szCs w:val="21"/>
              </w:rPr>
              <w:t>Mean Platelet Volume (MPV)</w:t>
            </w:r>
          </w:p>
        </w:tc>
        <w:tc>
          <w:tcPr>
            <w:tcW w:w="1579" w:type="dxa"/>
            <w:vAlign w:val="center"/>
          </w:tcPr>
          <w:p w14:paraId="43CA57C7"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6.57 ± 0.37</w:t>
            </w:r>
          </w:p>
        </w:tc>
        <w:tc>
          <w:tcPr>
            <w:tcW w:w="1468" w:type="dxa"/>
            <w:vAlign w:val="center"/>
          </w:tcPr>
          <w:p w14:paraId="449658E4"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6.5 ± 0.3</w:t>
            </w:r>
          </w:p>
        </w:tc>
        <w:tc>
          <w:tcPr>
            <w:tcW w:w="1318" w:type="dxa"/>
            <w:vAlign w:val="center"/>
          </w:tcPr>
          <w:p w14:paraId="56DCF65F"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4.0 - 6.2</w:t>
            </w:r>
          </w:p>
        </w:tc>
        <w:tc>
          <w:tcPr>
            <w:tcW w:w="1075" w:type="dxa"/>
            <w:vAlign w:val="center"/>
          </w:tcPr>
          <w:p w14:paraId="3B4B3A5D" w14:textId="37E233C1"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hAnsi="Times New Roman" w:cs="Times New Roman"/>
                <w:color w:val="000000" w:themeColor="text1"/>
                <w:kern w:val="0"/>
                <w:szCs w:val="21"/>
              </w:rPr>
              <w:t>fL</w:t>
            </w:r>
          </w:p>
        </w:tc>
      </w:tr>
      <w:tr w:rsidR="0097562B" w:rsidRPr="0097562B" w14:paraId="5E06E82C" w14:textId="500AC346" w:rsidTr="000C3208">
        <w:trPr>
          <w:jc w:val="center"/>
        </w:trPr>
        <w:tc>
          <w:tcPr>
            <w:tcW w:w="2866" w:type="dxa"/>
            <w:vAlign w:val="center"/>
          </w:tcPr>
          <w:p w14:paraId="5B5B6F52"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Platelet Distribution Width (PDW)</w:t>
            </w:r>
          </w:p>
        </w:tc>
        <w:tc>
          <w:tcPr>
            <w:tcW w:w="1579" w:type="dxa"/>
            <w:vAlign w:val="center"/>
          </w:tcPr>
          <w:p w14:paraId="5DCA71FB"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16.43 ± 0.49</w:t>
            </w:r>
          </w:p>
        </w:tc>
        <w:tc>
          <w:tcPr>
            <w:tcW w:w="1468" w:type="dxa"/>
            <w:vAlign w:val="center"/>
          </w:tcPr>
          <w:p w14:paraId="3A83982E"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16.2 ± 0.12</w:t>
            </w:r>
          </w:p>
        </w:tc>
        <w:tc>
          <w:tcPr>
            <w:tcW w:w="1318" w:type="dxa"/>
            <w:vAlign w:val="center"/>
          </w:tcPr>
          <w:p w14:paraId="6571E910" w14:textId="77777777" w:rsidR="00817E90" w:rsidRPr="0097562B" w:rsidRDefault="00817E90" w:rsidP="00817E90">
            <w:pPr>
              <w:jc w:val="center"/>
              <w:rPr>
                <w:rFonts w:ascii="Times New Roman" w:eastAsia="等线" w:hAnsi="Times New Roman" w:cs="Times New Roman"/>
                <w:color w:val="000000" w:themeColor="text1"/>
                <w:szCs w:val="21"/>
              </w:rPr>
            </w:pPr>
            <w:r w:rsidRPr="0097562B">
              <w:rPr>
                <w:rFonts w:ascii="Times New Roman" w:eastAsia="等线" w:hAnsi="Times New Roman" w:cs="Times New Roman"/>
                <w:color w:val="000000" w:themeColor="text1"/>
                <w:szCs w:val="21"/>
              </w:rPr>
              <w:t>12.0 - 17.5</w:t>
            </w:r>
          </w:p>
        </w:tc>
        <w:tc>
          <w:tcPr>
            <w:tcW w:w="1075" w:type="dxa"/>
            <w:vAlign w:val="center"/>
          </w:tcPr>
          <w:p w14:paraId="47F224D4" w14:textId="77777777" w:rsidR="00817E90" w:rsidRPr="0097562B" w:rsidRDefault="00817E90" w:rsidP="00817E90">
            <w:pPr>
              <w:jc w:val="center"/>
              <w:rPr>
                <w:rFonts w:ascii="Times New Roman" w:eastAsia="等线" w:hAnsi="Times New Roman" w:cs="Times New Roman"/>
                <w:color w:val="000000" w:themeColor="text1"/>
                <w:szCs w:val="21"/>
              </w:rPr>
            </w:pPr>
          </w:p>
        </w:tc>
      </w:tr>
    </w:tbl>
    <w:bookmarkEnd w:id="8"/>
    <w:p w14:paraId="0841D81A" w14:textId="6D1EF10A" w:rsidR="00817E90" w:rsidRPr="0097562B" w:rsidRDefault="00817E90" w:rsidP="0032679E">
      <w:pPr>
        <w:spacing w:line="480" w:lineRule="auto"/>
        <w:rPr>
          <w:rFonts w:ascii="Times New Roman" w:hAnsi="Times New Roman" w:cs="Times New Roman"/>
          <w:color w:val="000000" w:themeColor="text1"/>
        </w:rPr>
      </w:pPr>
      <w:r w:rsidRPr="0097562B">
        <w:rPr>
          <w:rFonts w:ascii="Times New Roman" w:hAnsi="Times New Roman" w:cs="Times New Roman"/>
          <w:b/>
          <w:color w:val="000000" w:themeColor="text1"/>
        </w:rPr>
        <w:t>Table S</w:t>
      </w:r>
      <w:r w:rsidRPr="0097562B">
        <w:rPr>
          <w:rFonts w:ascii="Times New Roman" w:hAnsi="Times New Roman" w:cs="Times New Roman" w:hint="eastAsia"/>
          <w:b/>
          <w:color w:val="000000" w:themeColor="text1"/>
        </w:rPr>
        <w:t>2</w:t>
      </w:r>
      <w:r w:rsidRPr="0097562B">
        <w:rPr>
          <w:rFonts w:ascii="Times New Roman" w:hAnsi="Times New Roman" w:cs="Times New Roman"/>
          <w:b/>
          <w:color w:val="000000" w:themeColor="text1"/>
        </w:rPr>
        <w:t>.</w:t>
      </w:r>
      <w:r w:rsidRPr="0097562B">
        <w:rPr>
          <w:rFonts w:ascii="Times New Roman" w:hAnsi="Times New Roman" w:cs="Times New Roman" w:hint="eastAsia"/>
          <w:b/>
          <w:color w:val="000000" w:themeColor="text1"/>
        </w:rPr>
        <w:t xml:space="preserve"> </w:t>
      </w:r>
      <w:r w:rsidRPr="0097562B">
        <w:rPr>
          <w:rFonts w:ascii="Times New Roman" w:hAnsi="Times New Roman" w:cs="Times New Roman"/>
          <w:b/>
          <w:color w:val="000000" w:themeColor="text1"/>
        </w:rPr>
        <w:t xml:space="preserve">Analysis of </w:t>
      </w:r>
      <w:r w:rsidRPr="0097562B">
        <w:rPr>
          <w:rFonts w:ascii="Times New Roman" w:hAnsi="Times New Roman" w:cs="Times New Roman" w:hint="eastAsia"/>
          <w:b/>
          <w:color w:val="000000" w:themeColor="text1"/>
        </w:rPr>
        <w:t>b</w:t>
      </w:r>
      <w:r w:rsidRPr="0097562B">
        <w:rPr>
          <w:rFonts w:ascii="Times New Roman" w:hAnsi="Times New Roman" w:cs="Times New Roman"/>
          <w:b/>
          <w:color w:val="000000" w:themeColor="text1"/>
        </w:rPr>
        <w:t xml:space="preserve">lood </w:t>
      </w:r>
      <w:r w:rsidRPr="0097562B">
        <w:rPr>
          <w:rFonts w:ascii="Times New Roman" w:hAnsi="Times New Roman" w:cs="Times New Roman" w:hint="eastAsia"/>
          <w:b/>
          <w:color w:val="000000" w:themeColor="text1"/>
        </w:rPr>
        <w:t>r</w:t>
      </w:r>
      <w:r w:rsidRPr="0097562B">
        <w:rPr>
          <w:rFonts w:ascii="Times New Roman" w:hAnsi="Times New Roman" w:cs="Times New Roman"/>
          <w:b/>
          <w:color w:val="000000" w:themeColor="text1"/>
        </w:rPr>
        <w:t xml:space="preserve">outine </w:t>
      </w:r>
      <w:r w:rsidRPr="0097562B">
        <w:rPr>
          <w:rFonts w:ascii="Times New Roman" w:hAnsi="Times New Roman" w:cs="Times New Roman" w:hint="eastAsia"/>
          <w:b/>
          <w:color w:val="000000" w:themeColor="text1"/>
        </w:rPr>
        <w:t>p</w:t>
      </w:r>
      <w:r w:rsidRPr="0097562B">
        <w:rPr>
          <w:rFonts w:ascii="Times New Roman" w:hAnsi="Times New Roman" w:cs="Times New Roman"/>
          <w:b/>
          <w:color w:val="000000" w:themeColor="text1"/>
        </w:rPr>
        <w:t>arameters of Tf-hEVs-Ber/Pal</w:t>
      </w:r>
      <w:r w:rsidRPr="0097562B">
        <w:rPr>
          <w:rFonts w:ascii="Times New Roman" w:hAnsi="Times New Roman" w:cs="Times New Roman" w:hint="eastAsia"/>
          <w:b/>
          <w:color w:val="000000" w:themeColor="text1"/>
        </w:rPr>
        <w:t>.</w:t>
      </w:r>
      <w:r w:rsidRPr="0097562B">
        <w:rPr>
          <w:rFonts w:ascii="Times New Roman" w:hAnsi="Times New Roman" w:cs="Times New Roman" w:hint="eastAsia"/>
          <w:color w:val="000000" w:themeColor="text1"/>
        </w:rPr>
        <w:t xml:space="preserve"> </w:t>
      </w:r>
      <w:r w:rsidR="00417422" w:rsidRPr="0097562B">
        <w:rPr>
          <w:rFonts w:ascii="Times New Roman" w:hAnsi="Times New Roman" w:cs="Times New Roman"/>
          <w:color w:val="000000" w:themeColor="text1"/>
        </w:rPr>
        <w:t xml:space="preserve">Blood samples were collected from the orbital vein of the </w:t>
      </w:r>
      <w:r w:rsidR="00417422" w:rsidRPr="0097562B">
        <w:rPr>
          <w:rFonts w:ascii="Times New Roman" w:hAnsi="Times New Roman" w:cs="Times New Roman" w:hint="eastAsia"/>
          <w:color w:val="000000" w:themeColor="text1"/>
        </w:rPr>
        <w:t xml:space="preserve">control </w:t>
      </w:r>
      <w:r w:rsidR="00417422" w:rsidRPr="0097562B">
        <w:rPr>
          <w:rFonts w:ascii="Times New Roman" w:hAnsi="Times New Roman" w:cs="Times New Roman"/>
          <w:color w:val="000000" w:themeColor="text1"/>
        </w:rPr>
        <w:t xml:space="preserve">group and </w:t>
      </w:r>
      <w:r w:rsidR="00417422" w:rsidRPr="0097562B">
        <w:rPr>
          <w:rFonts w:ascii="Times New Roman" w:hAnsi="Times New Roman" w:cs="Times New Roman" w:hint="eastAsia"/>
          <w:color w:val="000000" w:themeColor="text1"/>
          <w:szCs w:val="21"/>
        </w:rPr>
        <w:t>Tf-hEVs-Ber/Pal</w:t>
      </w:r>
      <w:r w:rsidR="00417422" w:rsidRPr="0097562B">
        <w:rPr>
          <w:rFonts w:ascii="Times New Roman" w:hAnsi="Times New Roman" w:cs="Times New Roman"/>
          <w:color w:val="000000" w:themeColor="text1"/>
        </w:rPr>
        <w:t xml:space="preserve"> group to measure blood routine parameters, including white blood cell count (WBC), red blood cell count (RBC), </w:t>
      </w:r>
      <w:r w:rsidR="00417422" w:rsidRPr="0097562B">
        <w:rPr>
          <w:rFonts w:ascii="Times New Roman" w:hAnsi="Times New Roman" w:cs="Times New Roman"/>
          <w:color w:val="000000" w:themeColor="text1"/>
        </w:rPr>
        <w:lastRenderedPageBreak/>
        <w:t>hemoglobin (Hb), platelet count (PLT), etc.</w:t>
      </w:r>
      <w:r w:rsidR="00417422" w:rsidRPr="0097562B">
        <w:rPr>
          <w:rFonts w:ascii="Times New Roman" w:hAnsi="Times New Roman" w:cs="Times New Roman" w:hint="eastAsia"/>
          <w:color w:val="000000" w:themeColor="text1"/>
        </w:rPr>
        <w:t xml:space="preserve"> </w:t>
      </w:r>
      <w:bookmarkStart w:id="9" w:name="OLE_LINK2"/>
      <w:r w:rsidRPr="0097562B">
        <w:rPr>
          <w:rFonts w:ascii="Times New Roman" w:hAnsi="Times New Roman" w:cs="Times New Roman"/>
          <w:color w:val="000000" w:themeColor="text1"/>
        </w:rPr>
        <w:t>Data are presented as the mean ± SD</w:t>
      </w:r>
      <w:r w:rsidR="003A08BE" w:rsidRPr="0097562B">
        <w:rPr>
          <w:rFonts w:ascii="Times New Roman" w:hAnsi="Times New Roman" w:cs="Times New Roman" w:hint="eastAsia"/>
          <w:color w:val="000000" w:themeColor="text1"/>
        </w:rPr>
        <w:t>s</w:t>
      </w:r>
      <w:r w:rsidRPr="0097562B">
        <w:rPr>
          <w:rFonts w:ascii="Times New Roman" w:hAnsi="Times New Roman" w:cs="Times New Roman"/>
          <w:color w:val="000000" w:themeColor="text1"/>
        </w:rPr>
        <w:t xml:space="preserve"> (n</w:t>
      </w:r>
      <w:r w:rsidR="00BA50B9" w:rsidRPr="0097562B">
        <w:rPr>
          <w:rFonts w:ascii="Times New Roman" w:hAnsi="Times New Roman" w:cs="Times New Roman" w:hint="eastAsia"/>
          <w:color w:val="000000" w:themeColor="text1"/>
        </w:rPr>
        <w:t xml:space="preserve"> </w:t>
      </w:r>
      <w:r w:rsidRPr="0097562B">
        <w:rPr>
          <w:rFonts w:ascii="Times New Roman" w:hAnsi="Times New Roman" w:cs="Times New Roman"/>
          <w:color w:val="000000" w:themeColor="text1"/>
        </w:rPr>
        <w:t>=</w:t>
      </w:r>
      <w:r w:rsidR="00BA50B9" w:rsidRPr="0097562B">
        <w:rPr>
          <w:rFonts w:ascii="Times New Roman" w:hAnsi="Times New Roman" w:cs="Times New Roman" w:hint="eastAsia"/>
          <w:color w:val="000000" w:themeColor="text1"/>
        </w:rPr>
        <w:t xml:space="preserve"> </w:t>
      </w:r>
      <w:r w:rsidRPr="0097562B">
        <w:rPr>
          <w:rFonts w:ascii="Times New Roman" w:hAnsi="Times New Roman" w:cs="Times New Roman"/>
          <w:color w:val="000000" w:themeColor="text1"/>
        </w:rPr>
        <w:t>3).</w:t>
      </w:r>
      <w:bookmarkEnd w:id="9"/>
      <w:r w:rsidRPr="0097562B">
        <w:rPr>
          <w:rFonts w:ascii="Times New Roman" w:hAnsi="Times New Roman" w:cs="Times New Roman"/>
          <w:color w:val="000000" w:themeColor="text1"/>
        </w:rPr>
        <w:t xml:space="preserve"> </w:t>
      </w:r>
    </w:p>
    <w:p w14:paraId="4A05C643" w14:textId="610C0BD3" w:rsidR="00817E90" w:rsidRPr="007A561D" w:rsidRDefault="00817E90" w:rsidP="00817E90">
      <w:pPr>
        <w:rPr>
          <w:rFonts w:ascii="Times New Roman" w:hAnsi="Times New Roman" w:cs="Times New Roman"/>
        </w:rPr>
      </w:pPr>
    </w:p>
    <w:p w14:paraId="0C6217EF" w14:textId="050C5A00" w:rsidR="00817E90" w:rsidRDefault="00A10F45" w:rsidP="00DD281D">
      <w:pPr>
        <w:spacing w:line="480" w:lineRule="auto"/>
        <w:rPr>
          <w:rFonts w:hint="eastAsia"/>
        </w:rPr>
      </w:pPr>
      <w:r>
        <w:rPr>
          <w:rFonts w:hint="eastAsia"/>
          <w:noProof/>
        </w:rPr>
        <w:drawing>
          <wp:inline distT="0" distB="0" distL="0" distR="0" wp14:anchorId="45E5609B" wp14:editId="0D3657B2">
            <wp:extent cx="5274310" cy="5187950"/>
            <wp:effectExtent l="0" t="0" r="2540" b="0"/>
            <wp:docPr id="19846755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75592" name="图片 198467559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5187950"/>
                    </a:xfrm>
                    <a:prstGeom prst="rect">
                      <a:avLst/>
                    </a:prstGeom>
                  </pic:spPr>
                </pic:pic>
              </a:graphicData>
            </a:graphic>
          </wp:inline>
        </w:drawing>
      </w:r>
    </w:p>
    <w:p w14:paraId="351FC3A0" w14:textId="64B5BBD7" w:rsidR="008F4EFF" w:rsidRPr="0097562B" w:rsidRDefault="008F4EFF" w:rsidP="0032679E">
      <w:pPr>
        <w:spacing w:line="480" w:lineRule="auto"/>
        <w:rPr>
          <w:rFonts w:ascii="Times New Roman" w:hAnsi="Times New Roman" w:cs="Times New Roman"/>
          <w:i/>
          <w:iCs/>
          <w:color w:val="000000" w:themeColor="text1"/>
        </w:rPr>
      </w:pPr>
      <w:bookmarkStart w:id="10" w:name="_Hlk192360447"/>
      <w:r w:rsidRPr="0097562B">
        <w:rPr>
          <w:rFonts w:ascii="Times New Roman" w:hAnsi="Times New Roman" w:cs="Times New Roman"/>
          <w:b/>
          <w:bCs/>
          <w:color w:val="000000" w:themeColor="text1"/>
        </w:rPr>
        <w:t>Fig.S4</w:t>
      </w:r>
      <w:r w:rsidR="0032679E" w:rsidRPr="0097562B">
        <w:rPr>
          <w:rFonts w:ascii="Times New Roman" w:hAnsi="Times New Roman" w:cs="Times New Roman" w:hint="eastAsia"/>
          <w:b/>
          <w:bCs/>
          <w:color w:val="000000" w:themeColor="text1"/>
        </w:rPr>
        <w:t>.</w:t>
      </w:r>
      <w:r w:rsidRPr="0097562B">
        <w:rPr>
          <w:rFonts w:ascii="Times New Roman" w:hAnsi="Times New Roman" w:cs="Times New Roman"/>
          <w:b/>
          <w:bCs/>
          <w:color w:val="000000" w:themeColor="text1"/>
        </w:rPr>
        <w:t xml:space="preserve"> Validation of regulatory pathways of Tf-hEVs-Ber/Pal.</w:t>
      </w:r>
      <w:r w:rsidRPr="0097562B">
        <w:rPr>
          <w:rFonts w:hint="eastAsia"/>
          <w:color w:val="000000" w:themeColor="text1"/>
        </w:rPr>
        <w:t xml:space="preserve"> </w:t>
      </w:r>
      <w:r w:rsidRPr="0097562B">
        <w:rPr>
          <w:rFonts w:ascii="Times New Roman" w:hAnsi="Times New Roman" w:cs="Times New Roman"/>
          <w:color w:val="000000" w:themeColor="text1"/>
        </w:rPr>
        <w:t>(A) Effects of TF-</w:t>
      </w:r>
      <w:r w:rsidR="00AB0AA2" w:rsidRPr="0097562B">
        <w:rPr>
          <w:rFonts w:ascii="Times New Roman" w:hAnsi="Times New Roman" w:cs="Times New Roman" w:hint="eastAsia"/>
          <w:color w:val="000000" w:themeColor="text1"/>
        </w:rPr>
        <w:t>h</w:t>
      </w:r>
      <w:r w:rsidRPr="0097562B">
        <w:rPr>
          <w:rFonts w:ascii="Times New Roman" w:hAnsi="Times New Roman" w:cs="Times New Roman"/>
          <w:color w:val="000000" w:themeColor="text1"/>
        </w:rPr>
        <w:t>EVs-B</w:t>
      </w:r>
      <w:r w:rsidR="00AB0AA2" w:rsidRPr="0097562B">
        <w:rPr>
          <w:rFonts w:ascii="Times New Roman" w:hAnsi="Times New Roman" w:cs="Times New Roman" w:hint="eastAsia"/>
          <w:color w:val="000000" w:themeColor="text1"/>
        </w:rPr>
        <w:t>er</w:t>
      </w:r>
      <w:r w:rsidRPr="0097562B">
        <w:rPr>
          <w:rFonts w:ascii="Times New Roman" w:hAnsi="Times New Roman" w:cs="Times New Roman"/>
          <w:color w:val="000000" w:themeColor="text1"/>
        </w:rPr>
        <w:t>/P</w:t>
      </w:r>
      <w:r w:rsidR="00AB0AA2" w:rsidRPr="0097562B">
        <w:rPr>
          <w:rFonts w:ascii="Times New Roman" w:hAnsi="Times New Roman" w:cs="Times New Roman" w:hint="eastAsia"/>
          <w:color w:val="000000" w:themeColor="text1"/>
        </w:rPr>
        <w:t>al</w:t>
      </w:r>
      <w:r w:rsidRPr="0097562B">
        <w:rPr>
          <w:rFonts w:ascii="Times New Roman" w:hAnsi="Times New Roman" w:cs="Times New Roman"/>
          <w:color w:val="000000" w:themeColor="text1"/>
        </w:rPr>
        <w:t xml:space="preserve"> on </w:t>
      </w:r>
      <w:bookmarkStart w:id="11" w:name="OLE_LINK3"/>
      <w:r w:rsidRPr="0097562B">
        <w:rPr>
          <w:rFonts w:ascii="Times New Roman" w:hAnsi="Times New Roman" w:cs="Times New Roman"/>
          <w:color w:val="000000" w:themeColor="text1"/>
        </w:rPr>
        <w:t xml:space="preserve">NF-κB p65 expression, with (B) showing the quantitative analysis of </w:t>
      </w:r>
      <w:r w:rsidR="00A10F45" w:rsidRPr="0097562B">
        <w:rPr>
          <w:rFonts w:ascii="Times New Roman" w:hAnsi="Times New Roman" w:cs="Times New Roman"/>
          <w:color w:val="000000" w:themeColor="text1"/>
        </w:rPr>
        <w:t xml:space="preserve">p38 MAPK </w:t>
      </w:r>
      <w:r w:rsidRPr="0097562B">
        <w:rPr>
          <w:rFonts w:ascii="Times New Roman" w:hAnsi="Times New Roman" w:cs="Times New Roman"/>
          <w:color w:val="000000" w:themeColor="text1"/>
        </w:rPr>
        <w:t>protein expression. (C) illustrates the effects of TF-</w:t>
      </w:r>
      <w:r w:rsidR="00AB0AA2" w:rsidRPr="0097562B">
        <w:rPr>
          <w:rFonts w:ascii="Times New Roman" w:hAnsi="Times New Roman" w:cs="Times New Roman" w:hint="eastAsia"/>
          <w:color w:val="000000" w:themeColor="text1"/>
        </w:rPr>
        <w:t>h</w:t>
      </w:r>
      <w:r w:rsidRPr="0097562B">
        <w:rPr>
          <w:rFonts w:ascii="Times New Roman" w:hAnsi="Times New Roman" w:cs="Times New Roman"/>
          <w:color w:val="000000" w:themeColor="text1"/>
        </w:rPr>
        <w:t>EVs-B</w:t>
      </w:r>
      <w:r w:rsidR="00AB0AA2" w:rsidRPr="0097562B">
        <w:rPr>
          <w:rFonts w:ascii="Times New Roman" w:hAnsi="Times New Roman" w:cs="Times New Roman" w:hint="eastAsia"/>
          <w:color w:val="000000" w:themeColor="text1"/>
        </w:rPr>
        <w:t>er</w:t>
      </w:r>
      <w:r w:rsidRPr="0097562B">
        <w:rPr>
          <w:rFonts w:ascii="Times New Roman" w:hAnsi="Times New Roman" w:cs="Times New Roman"/>
          <w:color w:val="000000" w:themeColor="text1"/>
        </w:rPr>
        <w:t>/P</w:t>
      </w:r>
      <w:r w:rsidR="00AB0AA2" w:rsidRPr="0097562B">
        <w:rPr>
          <w:rFonts w:ascii="Times New Roman" w:hAnsi="Times New Roman" w:cs="Times New Roman" w:hint="eastAsia"/>
          <w:color w:val="000000" w:themeColor="text1"/>
        </w:rPr>
        <w:t>al</w:t>
      </w:r>
      <w:r w:rsidRPr="0097562B">
        <w:rPr>
          <w:rFonts w:ascii="Times New Roman" w:hAnsi="Times New Roman" w:cs="Times New Roman"/>
          <w:color w:val="000000" w:themeColor="text1"/>
        </w:rPr>
        <w:t xml:space="preserve"> on </w:t>
      </w:r>
      <w:r w:rsidR="00A10F45" w:rsidRPr="0097562B">
        <w:rPr>
          <w:rFonts w:ascii="Times New Roman" w:hAnsi="Times New Roman" w:cs="Times New Roman"/>
          <w:color w:val="000000" w:themeColor="text1"/>
        </w:rPr>
        <w:t xml:space="preserve">NF-κB p65 </w:t>
      </w:r>
      <w:r w:rsidRPr="0097562B">
        <w:rPr>
          <w:rFonts w:ascii="Times New Roman" w:hAnsi="Times New Roman" w:cs="Times New Roman"/>
          <w:color w:val="000000" w:themeColor="text1"/>
        </w:rPr>
        <w:t>expression, while (D) presents the quantitative analysis of p38 MAPK protein expression.</w:t>
      </w:r>
      <w:bookmarkEnd w:id="11"/>
      <w:r w:rsidR="003A08BE" w:rsidRPr="0097562B">
        <w:rPr>
          <w:rFonts w:ascii="Times New Roman" w:hAnsi="Times New Roman" w:cs="Times New Roman"/>
          <w:color w:val="000000" w:themeColor="text1"/>
        </w:rPr>
        <w:t xml:space="preserve"> </w:t>
      </w:r>
      <w:r w:rsidR="006328B2" w:rsidRPr="0097562B">
        <w:rPr>
          <w:rFonts w:ascii="Times New Roman" w:hAnsi="Times New Roman" w:cs="Times New Roman"/>
          <w:color w:val="000000" w:themeColor="text1"/>
        </w:rPr>
        <w:t xml:space="preserve">Data </w:t>
      </w:r>
      <w:r w:rsidR="006328B2" w:rsidRPr="0097562B">
        <w:rPr>
          <w:rFonts w:ascii="Times New Roman" w:hAnsi="Times New Roman" w:cs="Times New Roman" w:hint="eastAsia"/>
          <w:color w:val="000000" w:themeColor="text1"/>
        </w:rPr>
        <w:t xml:space="preserve">are </w:t>
      </w:r>
      <w:r w:rsidR="006328B2" w:rsidRPr="0097562B">
        <w:rPr>
          <w:rFonts w:ascii="Times New Roman" w:hAnsi="Times New Roman" w:cs="Times New Roman"/>
          <w:color w:val="000000" w:themeColor="text1"/>
        </w:rPr>
        <w:t>presented as the mean ± SD</w:t>
      </w:r>
      <w:r w:rsidR="006328B2" w:rsidRPr="0097562B">
        <w:rPr>
          <w:rFonts w:ascii="Times New Roman" w:hAnsi="Times New Roman" w:cs="Times New Roman" w:hint="eastAsia"/>
          <w:color w:val="000000" w:themeColor="text1"/>
        </w:rPr>
        <w:t>s</w:t>
      </w:r>
      <w:r w:rsidR="006328B2" w:rsidRPr="0097562B">
        <w:rPr>
          <w:rFonts w:ascii="Times New Roman" w:hAnsi="Times New Roman" w:cs="Times New Roman"/>
          <w:color w:val="000000" w:themeColor="text1"/>
        </w:rPr>
        <w:t xml:space="preserve"> (n = </w:t>
      </w:r>
      <w:r w:rsidR="006328B2" w:rsidRPr="0097562B">
        <w:rPr>
          <w:rFonts w:ascii="Times New Roman" w:hAnsi="Times New Roman" w:cs="Times New Roman" w:hint="eastAsia"/>
          <w:color w:val="000000" w:themeColor="text1"/>
        </w:rPr>
        <w:t>3</w:t>
      </w:r>
      <w:r w:rsidR="006328B2" w:rsidRPr="0097562B">
        <w:rPr>
          <w:rFonts w:ascii="Times New Roman" w:hAnsi="Times New Roman" w:cs="Times New Roman"/>
          <w:color w:val="000000" w:themeColor="text1"/>
        </w:rPr>
        <w:t xml:space="preserve">). Statistical analysis was performed using Student’s t-test: </w:t>
      </w:r>
      <w:r w:rsidR="006328B2" w:rsidRPr="0097562B">
        <w:rPr>
          <w:rFonts w:ascii="Times New Roman" w:hAnsi="Times New Roman" w:cs="Times New Roman"/>
          <w:i/>
          <w:iCs/>
          <w:color w:val="000000" w:themeColor="text1"/>
          <w:vertAlign w:val="superscript"/>
        </w:rPr>
        <w:t>***</w:t>
      </w:r>
      <w:r w:rsidR="006328B2" w:rsidRPr="0097562B">
        <w:rPr>
          <w:rFonts w:ascii="Times New Roman" w:hAnsi="Times New Roman" w:cs="Times New Roman"/>
          <w:i/>
          <w:iCs/>
          <w:color w:val="000000" w:themeColor="text1"/>
        </w:rPr>
        <w:t xml:space="preserve">P &lt; 0.001. </w:t>
      </w:r>
      <w:r w:rsidR="006328B2" w:rsidRPr="0097562B">
        <w:rPr>
          <w:rFonts w:ascii="Times New Roman" w:hAnsi="Times New Roman" w:cs="Times New Roman"/>
          <w:i/>
          <w:iCs/>
          <w:color w:val="000000" w:themeColor="text1"/>
          <w:vertAlign w:val="superscript"/>
        </w:rPr>
        <w:t>#</w:t>
      </w:r>
      <w:r w:rsidR="006328B2" w:rsidRPr="0097562B">
        <w:rPr>
          <w:rFonts w:ascii="Times New Roman" w:hAnsi="Times New Roman" w:cs="Times New Roman"/>
          <w:i/>
          <w:iCs/>
          <w:color w:val="000000" w:themeColor="text1"/>
        </w:rPr>
        <w:t xml:space="preserve">P &lt; 0.05, </w:t>
      </w:r>
      <w:r w:rsidR="006328B2" w:rsidRPr="0097562B">
        <w:rPr>
          <w:rFonts w:ascii="Times New Roman" w:hAnsi="Times New Roman" w:cs="Times New Roman"/>
          <w:i/>
          <w:iCs/>
          <w:color w:val="000000" w:themeColor="text1"/>
          <w:vertAlign w:val="superscript"/>
        </w:rPr>
        <w:t>##</w:t>
      </w:r>
      <w:r w:rsidR="006328B2" w:rsidRPr="0097562B">
        <w:rPr>
          <w:rFonts w:ascii="Times New Roman" w:hAnsi="Times New Roman" w:cs="Times New Roman"/>
          <w:i/>
          <w:iCs/>
          <w:color w:val="000000" w:themeColor="text1"/>
        </w:rPr>
        <w:t>P &lt; 0.01,</w:t>
      </w:r>
      <w:r w:rsidR="006328B2" w:rsidRPr="0097562B">
        <w:rPr>
          <w:rFonts w:ascii="Times New Roman" w:hAnsi="Times New Roman" w:cs="Times New Roman"/>
          <w:i/>
          <w:iCs/>
          <w:color w:val="000000" w:themeColor="text1"/>
          <w:vertAlign w:val="superscript"/>
        </w:rPr>
        <w:t xml:space="preserve"> ###</w:t>
      </w:r>
      <w:r w:rsidR="006328B2" w:rsidRPr="0097562B">
        <w:rPr>
          <w:rFonts w:ascii="Times New Roman" w:hAnsi="Times New Roman" w:cs="Times New Roman"/>
          <w:i/>
          <w:iCs/>
          <w:color w:val="000000" w:themeColor="text1"/>
        </w:rPr>
        <w:t>P &lt; 0.001</w:t>
      </w:r>
      <w:r w:rsidR="006328B2" w:rsidRPr="0097562B">
        <w:rPr>
          <w:rFonts w:ascii="Times New Roman" w:hAnsi="Times New Roman" w:cs="Times New Roman" w:hint="eastAsia"/>
          <w:i/>
          <w:iCs/>
          <w:color w:val="000000" w:themeColor="text1"/>
        </w:rPr>
        <w:t>.</w:t>
      </w:r>
    </w:p>
    <w:bookmarkEnd w:id="10"/>
    <w:p w14:paraId="018E9E38" w14:textId="77777777" w:rsidR="008F4EFF" w:rsidRPr="0097562B" w:rsidRDefault="008F4EFF" w:rsidP="00A10F45">
      <w:pPr>
        <w:spacing w:line="480" w:lineRule="auto"/>
        <w:rPr>
          <w:rFonts w:ascii="Times New Roman" w:hAnsi="Times New Roman" w:cs="Times New Roman"/>
          <w:b/>
          <w:bCs/>
          <w:color w:val="000000" w:themeColor="text1"/>
        </w:rPr>
      </w:pPr>
    </w:p>
    <w:sectPr w:rsidR="008F4EFF" w:rsidRPr="0097562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35CCB" w14:textId="77777777" w:rsidR="00322BF5" w:rsidRDefault="00322BF5" w:rsidP="00477B85">
      <w:pPr>
        <w:rPr>
          <w:rFonts w:hint="eastAsia"/>
        </w:rPr>
      </w:pPr>
      <w:r>
        <w:separator/>
      </w:r>
    </w:p>
  </w:endnote>
  <w:endnote w:type="continuationSeparator" w:id="0">
    <w:p w14:paraId="41A2B410" w14:textId="77777777" w:rsidR="00322BF5" w:rsidRDefault="00322BF5" w:rsidP="00477B8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016FD" w14:textId="77777777" w:rsidR="00322BF5" w:rsidRDefault="00322BF5" w:rsidP="00477B85">
      <w:pPr>
        <w:rPr>
          <w:rFonts w:hint="eastAsia"/>
        </w:rPr>
      </w:pPr>
      <w:r>
        <w:separator/>
      </w:r>
    </w:p>
  </w:footnote>
  <w:footnote w:type="continuationSeparator" w:id="0">
    <w:p w14:paraId="315EA099" w14:textId="77777777" w:rsidR="00322BF5" w:rsidRDefault="00322BF5" w:rsidP="00477B8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77"/>
    <w:rsid w:val="0007188B"/>
    <w:rsid w:val="00081BC6"/>
    <w:rsid w:val="00082EFC"/>
    <w:rsid w:val="000B14FD"/>
    <w:rsid w:val="00102B0E"/>
    <w:rsid w:val="00122FA3"/>
    <w:rsid w:val="00170C9E"/>
    <w:rsid w:val="001A43FA"/>
    <w:rsid w:val="001C3F3D"/>
    <w:rsid w:val="001D319C"/>
    <w:rsid w:val="00231A5B"/>
    <w:rsid w:val="002479B7"/>
    <w:rsid w:val="002611E8"/>
    <w:rsid w:val="002A61C7"/>
    <w:rsid w:val="002B1DD6"/>
    <w:rsid w:val="002F62B1"/>
    <w:rsid w:val="00313168"/>
    <w:rsid w:val="00322BF5"/>
    <w:rsid w:val="0032679E"/>
    <w:rsid w:val="003718FA"/>
    <w:rsid w:val="00381FCE"/>
    <w:rsid w:val="00383362"/>
    <w:rsid w:val="003A0396"/>
    <w:rsid w:val="003A08BE"/>
    <w:rsid w:val="003A6335"/>
    <w:rsid w:val="003B570E"/>
    <w:rsid w:val="003F4D4A"/>
    <w:rsid w:val="00417422"/>
    <w:rsid w:val="00476F5E"/>
    <w:rsid w:val="00477B85"/>
    <w:rsid w:val="004B3C5E"/>
    <w:rsid w:val="00575357"/>
    <w:rsid w:val="005A1CA2"/>
    <w:rsid w:val="005A3EE8"/>
    <w:rsid w:val="005E2004"/>
    <w:rsid w:val="00600A0C"/>
    <w:rsid w:val="00606B57"/>
    <w:rsid w:val="006328B2"/>
    <w:rsid w:val="00651A50"/>
    <w:rsid w:val="006A126D"/>
    <w:rsid w:val="00732678"/>
    <w:rsid w:val="007401CC"/>
    <w:rsid w:val="00752F77"/>
    <w:rsid w:val="00765703"/>
    <w:rsid w:val="007C231B"/>
    <w:rsid w:val="007D51F7"/>
    <w:rsid w:val="007F5143"/>
    <w:rsid w:val="00807A05"/>
    <w:rsid w:val="00817E90"/>
    <w:rsid w:val="00884A25"/>
    <w:rsid w:val="008B7FAF"/>
    <w:rsid w:val="008F4EFF"/>
    <w:rsid w:val="00930CDF"/>
    <w:rsid w:val="00952223"/>
    <w:rsid w:val="009701C7"/>
    <w:rsid w:val="0097562B"/>
    <w:rsid w:val="00987CDC"/>
    <w:rsid w:val="009A1449"/>
    <w:rsid w:val="009A51C8"/>
    <w:rsid w:val="009A73BC"/>
    <w:rsid w:val="009B01C6"/>
    <w:rsid w:val="009B12D2"/>
    <w:rsid w:val="00A00FCE"/>
    <w:rsid w:val="00A10F45"/>
    <w:rsid w:val="00A57565"/>
    <w:rsid w:val="00A61BB1"/>
    <w:rsid w:val="00A95964"/>
    <w:rsid w:val="00AA227D"/>
    <w:rsid w:val="00AB0AA2"/>
    <w:rsid w:val="00AE20F4"/>
    <w:rsid w:val="00B675F5"/>
    <w:rsid w:val="00B71791"/>
    <w:rsid w:val="00B81A53"/>
    <w:rsid w:val="00B93E8B"/>
    <w:rsid w:val="00BA50B9"/>
    <w:rsid w:val="00BC1113"/>
    <w:rsid w:val="00BD3C96"/>
    <w:rsid w:val="00C60A8F"/>
    <w:rsid w:val="00C94BF7"/>
    <w:rsid w:val="00CA55AB"/>
    <w:rsid w:val="00CF7662"/>
    <w:rsid w:val="00D272AB"/>
    <w:rsid w:val="00D31919"/>
    <w:rsid w:val="00D527A6"/>
    <w:rsid w:val="00D877E5"/>
    <w:rsid w:val="00DB1D72"/>
    <w:rsid w:val="00DD281D"/>
    <w:rsid w:val="00DF1FCB"/>
    <w:rsid w:val="00E26BFD"/>
    <w:rsid w:val="00E41B2A"/>
    <w:rsid w:val="00EA6E5C"/>
    <w:rsid w:val="00EE15AE"/>
    <w:rsid w:val="00EE427A"/>
    <w:rsid w:val="00F13721"/>
    <w:rsid w:val="00F377C5"/>
    <w:rsid w:val="00F67968"/>
    <w:rsid w:val="00FB37B2"/>
    <w:rsid w:val="00FD6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439713"/>
  <w15:chartTrackingRefBased/>
  <w15:docId w15:val="{30238217-64EC-4FD2-B8A2-280046AE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4A25"/>
    <w:pPr>
      <w:widowControl w:val="0"/>
      <w:jc w:val="both"/>
    </w:pPr>
  </w:style>
  <w:style w:type="paragraph" w:styleId="1">
    <w:name w:val="heading 1"/>
    <w:basedOn w:val="a"/>
    <w:next w:val="a"/>
    <w:link w:val="10"/>
    <w:uiPriority w:val="9"/>
    <w:qFormat/>
    <w:rsid w:val="00752F7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52F7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52F7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52F7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752F77"/>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752F7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752F7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52F7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52F7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52F7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52F7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52F7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52F77"/>
    <w:rPr>
      <w:rFonts w:cstheme="majorBidi"/>
      <w:color w:val="0F4761" w:themeColor="accent1" w:themeShade="BF"/>
      <w:sz w:val="28"/>
      <w:szCs w:val="28"/>
    </w:rPr>
  </w:style>
  <w:style w:type="character" w:customStyle="1" w:styleId="50">
    <w:name w:val="标题 5 字符"/>
    <w:basedOn w:val="a0"/>
    <w:link w:val="5"/>
    <w:uiPriority w:val="9"/>
    <w:semiHidden/>
    <w:rsid w:val="00752F77"/>
    <w:rPr>
      <w:rFonts w:cstheme="majorBidi"/>
      <w:color w:val="0F4761" w:themeColor="accent1" w:themeShade="BF"/>
      <w:sz w:val="24"/>
      <w:szCs w:val="24"/>
    </w:rPr>
  </w:style>
  <w:style w:type="character" w:customStyle="1" w:styleId="60">
    <w:name w:val="标题 6 字符"/>
    <w:basedOn w:val="a0"/>
    <w:link w:val="6"/>
    <w:uiPriority w:val="9"/>
    <w:semiHidden/>
    <w:rsid w:val="00752F77"/>
    <w:rPr>
      <w:rFonts w:cstheme="majorBidi"/>
      <w:b/>
      <w:bCs/>
      <w:color w:val="0F4761" w:themeColor="accent1" w:themeShade="BF"/>
    </w:rPr>
  </w:style>
  <w:style w:type="character" w:customStyle="1" w:styleId="70">
    <w:name w:val="标题 7 字符"/>
    <w:basedOn w:val="a0"/>
    <w:link w:val="7"/>
    <w:uiPriority w:val="9"/>
    <w:semiHidden/>
    <w:rsid w:val="00752F77"/>
    <w:rPr>
      <w:rFonts w:cstheme="majorBidi"/>
      <w:b/>
      <w:bCs/>
      <w:color w:val="595959" w:themeColor="text1" w:themeTint="A6"/>
    </w:rPr>
  </w:style>
  <w:style w:type="character" w:customStyle="1" w:styleId="80">
    <w:name w:val="标题 8 字符"/>
    <w:basedOn w:val="a0"/>
    <w:link w:val="8"/>
    <w:uiPriority w:val="9"/>
    <w:semiHidden/>
    <w:rsid w:val="00752F77"/>
    <w:rPr>
      <w:rFonts w:cstheme="majorBidi"/>
      <w:color w:val="595959" w:themeColor="text1" w:themeTint="A6"/>
    </w:rPr>
  </w:style>
  <w:style w:type="character" w:customStyle="1" w:styleId="90">
    <w:name w:val="标题 9 字符"/>
    <w:basedOn w:val="a0"/>
    <w:link w:val="9"/>
    <w:uiPriority w:val="9"/>
    <w:semiHidden/>
    <w:rsid w:val="00752F77"/>
    <w:rPr>
      <w:rFonts w:eastAsiaTheme="majorEastAsia" w:cstheme="majorBidi"/>
      <w:color w:val="595959" w:themeColor="text1" w:themeTint="A6"/>
    </w:rPr>
  </w:style>
  <w:style w:type="paragraph" w:styleId="a3">
    <w:name w:val="Title"/>
    <w:basedOn w:val="a"/>
    <w:next w:val="a"/>
    <w:link w:val="a4"/>
    <w:uiPriority w:val="10"/>
    <w:qFormat/>
    <w:rsid w:val="00752F7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52F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2F7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52F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52F77"/>
    <w:pPr>
      <w:spacing w:before="160" w:after="160"/>
      <w:jc w:val="center"/>
    </w:pPr>
    <w:rPr>
      <w:i/>
      <w:iCs/>
      <w:color w:val="404040" w:themeColor="text1" w:themeTint="BF"/>
    </w:rPr>
  </w:style>
  <w:style w:type="character" w:customStyle="1" w:styleId="a8">
    <w:name w:val="引用 字符"/>
    <w:basedOn w:val="a0"/>
    <w:link w:val="a7"/>
    <w:uiPriority w:val="29"/>
    <w:rsid w:val="00752F77"/>
    <w:rPr>
      <w:i/>
      <w:iCs/>
      <w:color w:val="404040" w:themeColor="text1" w:themeTint="BF"/>
    </w:rPr>
  </w:style>
  <w:style w:type="paragraph" w:styleId="a9">
    <w:name w:val="List Paragraph"/>
    <w:basedOn w:val="a"/>
    <w:uiPriority w:val="34"/>
    <w:qFormat/>
    <w:rsid w:val="00752F77"/>
    <w:pPr>
      <w:ind w:left="720"/>
      <w:contextualSpacing/>
    </w:pPr>
  </w:style>
  <w:style w:type="character" w:styleId="aa">
    <w:name w:val="Intense Emphasis"/>
    <w:basedOn w:val="a0"/>
    <w:uiPriority w:val="21"/>
    <w:qFormat/>
    <w:rsid w:val="00752F77"/>
    <w:rPr>
      <w:i/>
      <w:iCs/>
      <w:color w:val="0F4761" w:themeColor="accent1" w:themeShade="BF"/>
    </w:rPr>
  </w:style>
  <w:style w:type="paragraph" w:styleId="ab">
    <w:name w:val="Intense Quote"/>
    <w:basedOn w:val="a"/>
    <w:next w:val="a"/>
    <w:link w:val="ac"/>
    <w:uiPriority w:val="30"/>
    <w:qFormat/>
    <w:rsid w:val="00752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52F77"/>
    <w:rPr>
      <w:i/>
      <w:iCs/>
      <w:color w:val="0F4761" w:themeColor="accent1" w:themeShade="BF"/>
    </w:rPr>
  </w:style>
  <w:style w:type="character" w:styleId="ad">
    <w:name w:val="Intense Reference"/>
    <w:basedOn w:val="a0"/>
    <w:uiPriority w:val="32"/>
    <w:qFormat/>
    <w:rsid w:val="00752F77"/>
    <w:rPr>
      <w:b/>
      <w:bCs/>
      <w:smallCaps/>
      <w:color w:val="0F4761" w:themeColor="accent1" w:themeShade="BF"/>
      <w:spacing w:val="5"/>
    </w:rPr>
  </w:style>
  <w:style w:type="paragraph" w:styleId="ae">
    <w:name w:val="header"/>
    <w:basedOn w:val="a"/>
    <w:link w:val="af"/>
    <w:uiPriority w:val="99"/>
    <w:unhideWhenUsed/>
    <w:rsid w:val="00477B85"/>
    <w:pPr>
      <w:tabs>
        <w:tab w:val="center" w:pos="4153"/>
        <w:tab w:val="right" w:pos="8306"/>
      </w:tabs>
      <w:snapToGrid w:val="0"/>
      <w:jc w:val="center"/>
    </w:pPr>
    <w:rPr>
      <w:sz w:val="18"/>
      <w:szCs w:val="18"/>
    </w:rPr>
  </w:style>
  <w:style w:type="character" w:customStyle="1" w:styleId="af">
    <w:name w:val="页眉 字符"/>
    <w:basedOn w:val="a0"/>
    <w:link w:val="ae"/>
    <w:uiPriority w:val="99"/>
    <w:rsid w:val="00477B85"/>
    <w:rPr>
      <w:sz w:val="18"/>
      <w:szCs w:val="18"/>
    </w:rPr>
  </w:style>
  <w:style w:type="paragraph" w:styleId="af0">
    <w:name w:val="footer"/>
    <w:basedOn w:val="a"/>
    <w:link w:val="af1"/>
    <w:uiPriority w:val="99"/>
    <w:unhideWhenUsed/>
    <w:rsid w:val="00477B85"/>
    <w:pPr>
      <w:tabs>
        <w:tab w:val="center" w:pos="4153"/>
        <w:tab w:val="right" w:pos="8306"/>
      </w:tabs>
      <w:snapToGrid w:val="0"/>
      <w:jc w:val="left"/>
    </w:pPr>
    <w:rPr>
      <w:sz w:val="18"/>
      <w:szCs w:val="18"/>
    </w:rPr>
  </w:style>
  <w:style w:type="character" w:customStyle="1" w:styleId="af1">
    <w:name w:val="页脚 字符"/>
    <w:basedOn w:val="a0"/>
    <w:link w:val="af0"/>
    <w:uiPriority w:val="99"/>
    <w:rsid w:val="00477B85"/>
    <w:rPr>
      <w:sz w:val="18"/>
      <w:szCs w:val="18"/>
    </w:rPr>
  </w:style>
  <w:style w:type="character" w:styleId="af2">
    <w:name w:val="annotation reference"/>
    <w:basedOn w:val="a0"/>
    <w:uiPriority w:val="99"/>
    <w:semiHidden/>
    <w:unhideWhenUsed/>
    <w:rsid w:val="00477B85"/>
    <w:rPr>
      <w:sz w:val="21"/>
      <w:szCs w:val="21"/>
    </w:rPr>
  </w:style>
  <w:style w:type="paragraph" w:styleId="af3">
    <w:name w:val="annotation text"/>
    <w:basedOn w:val="a"/>
    <w:link w:val="af4"/>
    <w:uiPriority w:val="99"/>
    <w:unhideWhenUsed/>
    <w:rsid w:val="00477B85"/>
    <w:pPr>
      <w:spacing w:line="360" w:lineRule="auto"/>
      <w:jc w:val="left"/>
    </w:pPr>
    <w:rPr>
      <w:rFonts w:ascii="Times New Roman" w:eastAsia="Times New Roman" w:hAnsi="Times New Roman"/>
    </w:rPr>
  </w:style>
  <w:style w:type="character" w:customStyle="1" w:styleId="af4">
    <w:name w:val="批注文字 字符"/>
    <w:basedOn w:val="a0"/>
    <w:link w:val="af3"/>
    <w:uiPriority w:val="99"/>
    <w:rsid w:val="00477B85"/>
    <w:rPr>
      <w:rFonts w:ascii="Times New Roman" w:eastAsia="Times New Roman" w:hAnsi="Times New Roman"/>
    </w:rPr>
  </w:style>
  <w:style w:type="table" w:styleId="af5">
    <w:name w:val="Table Grid"/>
    <w:basedOn w:val="a1"/>
    <w:uiPriority w:val="39"/>
    <w:rsid w:val="00477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uiPriority w:val="99"/>
    <w:semiHidden/>
    <w:unhideWhenUsed/>
    <w:rsid w:val="00102B0E"/>
    <w:rPr>
      <w:sz w:val="18"/>
      <w:szCs w:val="18"/>
    </w:rPr>
  </w:style>
  <w:style w:type="character" w:customStyle="1" w:styleId="af7">
    <w:name w:val="批注框文本 字符"/>
    <w:basedOn w:val="a0"/>
    <w:link w:val="af6"/>
    <w:uiPriority w:val="99"/>
    <w:semiHidden/>
    <w:rsid w:val="00102B0E"/>
    <w:rPr>
      <w:sz w:val="18"/>
      <w:szCs w:val="18"/>
    </w:rPr>
  </w:style>
  <w:style w:type="paragraph" w:styleId="af8">
    <w:name w:val="Revision"/>
    <w:hidden/>
    <w:uiPriority w:val="99"/>
    <w:semiHidden/>
    <w:rsid w:val="00A10F45"/>
  </w:style>
  <w:style w:type="paragraph" w:styleId="af9">
    <w:name w:val="Normal (Web)"/>
    <w:basedOn w:val="a"/>
    <w:uiPriority w:val="99"/>
    <w:semiHidden/>
    <w:unhideWhenUsed/>
    <w:rsid w:val="003A08BE"/>
    <w:rPr>
      <w:rFonts w:ascii="Times New Roman" w:hAnsi="Times New Roman" w:cs="Times New Roman"/>
      <w:sz w:val="24"/>
      <w:szCs w:val="24"/>
    </w:rPr>
  </w:style>
  <w:style w:type="character" w:styleId="afa">
    <w:name w:val="Hyperlink"/>
    <w:basedOn w:val="a0"/>
    <w:uiPriority w:val="99"/>
    <w:unhideWhenUsed/>
    <w:rsid w:val="005E2004"/>
    <w:rPr>
      <w:color w:val="467886" w:themeColor="hyperlink"/>
      <w:u w:val="single"/>
    </w:rPr>
  </w:style>
  <w:style w:type="character" w:styleId="afb">
    <w:name w:val="Unresolved Mention"/>
    <w:basedOn w:val="a0"/>
    <w:uiPriority w:val="99"/>
    <w:semiHidden/>
    <w:unhideWhenUsed/>
    <w:rsid w:val="00261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13200">
      <w:bodyDiv w:val="1"/>
      <w:marLeft w:val="0"/>
      <w:marRight w:val="0"/>
      <w:marTop w:val="0"/>
      <w:marBottom w:val="0"/>
      <w:divBdr>
        <w:top w:val="none" w:sz="0" w:space="0" w:color="auto"/>
        <w:left w:val="none" w:sz="0" w:space="0" w:color="auto"/>
        <w:bottom w:val="none" w:sz="0" w:space="0" w:color="auto"/>
        <w:right w:val="none" w:sz="0" w:space="0" w:color="auto"/>
      </w:divBdr>
    </w:div>
    <w:div w:id="428232549">
      <w:bodyDiv w:val="1"/>
      <w:marLeft w:val="0"/>
      <w:marRight w:val="0"/>
      <w:marTop w:val="0"/>
      <w:marBottom w:val="0"/>
      <w:divBdr>
        <w:top w:val="none" w:sz="0" w:space="0" w:color="auto"/>
        <w:left w:val="none" w:sz="0" w:space="0" w:color="auto"/>
        <w:bottom w:val="none" w:sz="0" w:space="0" w:color="auto"/>
        <w:right w:val="none" w:sz="0" w:space="0" w:color="auto"/>
      </w:divBdr>
      <w:divsChild>
        <w:div w:id="1448235816">
          <w:marLeft w:val="0"/>
          <w:marRight w:val="0"/>
          <w:marTop w:val="100"/>
          <w:marBottom w:val="100"/>
          <w:divBdr>
            <w:top w:val="none" w:sz="0" w:space="0" w:color="auto"/>
            <w:left w:val="none" w:sz="0" w:space="0" w:color="auto"/>
            <w:bottom w:val="none" w:sz="0" w:space="0" w:color="auto"/>
            <w:right w:val="none" w:sz="0" w:space="0" w:color="auto"/>
          </w:divBdr>
          <w:divsChild>
            <w:div w:id="1798336272">
              <w:marLeft w:val="0"/>
              <w:marRight w:val="0"/>
              <w:marTop w:val="0"/>
              <w:marBottom w:val="0"/>
              <w:divBdr>
                <w:top w:val="none" w:sz="0" w:space="0" w:color="auto"/>
                <w:left w:val="none" w:sz="0" w:space="0" w:color="auto"/>
                <w:bottom w:val="none" w:sz="0" w:space="0" w:color="auto"/>
                <w:right w:val="none" w:sz="0" w:space="0" w:color="auto"/>
              </w:divBdr>
              <w:divsChild>
                <w:div w:id="209947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876921">
      <w:bodyDiv w:val="1"/>
      <w:marLeft w:val="0"/>
      <w:marRight w:val="0"/>
      <w:marTop w:val="0"/>
      <w:marBottom w:val="0"/>
      <w:divBdr>
        <w:top w:val="none" w:sz="0" w:space="0" w:color="auto"/>
        <w:left w:val="none" w:sz="0" w:space="0" w:color="auto"/>
        <w:bottom w:val="none" w:sz="0" w:space="0" w:color="auto"/>
        <w:right w:val="none" w:sz="0" w:space="0" w:color="auto"/>
      </w:divBdr>
    </w:div>
    <w:div w:id="2117099099">
      <w:bodyDiv w:val="1"/>
      <w:marLeft w:val="0"/>
      <w:marRight w:val="0"/>
      <w:marTop w:val="0"/>
      <w:marBottom w:val="0"/>
      <w:divBdr>
        <w:top w:val="none" w:sz="0" w:space="0" w:color="auto"/>
        <w:left w:val="none" w:sz="0" w:space="0" w:color="auto"/>
        <w:bottom w:val="none" w:sz="0" w:space="0" w:color="auto"/>
        <w:right w:val="none" w:sz="0" w:space="0" w:color="auto"/>
      </w:divBdr>
      <w:divsChild>
        <w:div w:id="1206022546">
          <w:marLeft w:val="0"/>
          <w:marRight w:val="0"/>
          <w:marTop w:val="100"/>
          <w:marBottom w:val="100"/>
          <w:divBdr>
            <w:top w:val="none" w:sz="0" w:space="0" w:color="auto"/>
            <w:left w:val="none" w:sz="0" w:space="0" w:color="auto"/>
            <w:bottom w:val="none" w:sz="0" w:space="0" w:color="auto"/>
            <w:right w:val="none" w:sz="0" w:space="0" w:color="auto"/>
          </w:divBdr>
          <w:divsChild>
            <w:div w:id="1502817572">
              <w:marLeft w:val="0"/>
              <w:marRight w:val="0"/>
              <w:marTop w:val="0"/>
              <w:marBottom w:val="0"/>
              <w:divBdr>
                <w:top w:val="none" w:sz="0" w:space="0" w:color="auto"/>
                <w:left w:val="none" w:sz="0" w:space="0" w:color="auto"/>
                <w:bottom w:val="none" w:sz="0" w:space="0" w:color="auto"/>
                <w:right w:val="none" w:sz="0" w:space="0" w:color="auto"/>
              </w:divBdr>
              <w:divsChild>
                <w:div w:id="97368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E60CA-F32E-4C5D-A87B-EACBFFCB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1027</Words>
  <Characters>5589</Characters>
  <Application>Microsoft Office Word</Application>
  <DocSecurity>0</DocSecurity>
  <Lines>266</Lines>
  <Paragraphs>200</Paragraphs>
  <ScaleCrop>false</ScaleCrop>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addy</dc:creator>
  <cp:keywords/>
  <dc:description/>
  <cp:lastModifiedBy>P addy</cp:lastModifiedBy>
  <cp:revision>4</cp:revision>
  <cp:lastPrinted>2025-01-27T10:56:00Z</cp:lastPrinted>
  <dcterms:created xsi:type="dcterms:W3CDTF">2025-04-10T08:08:00Z</dcterms:created>
  <dcterms:modified xsi:type="dcterms:W3CDTF">2025-04-10T08:10:00Z</dcterms:modified>
</cp:coreProperties>
</file>