
<file path=[Content_Types].xml><?xml version="1.0" encoding="utf-8"?>
<Types xmlns="http://schemas.openxmlformats.org/package/2006/content-types">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C1519" w:rsidRDefault="008C1519" w:rsidP="008C1519">
      <w:r w:rsidRPr="008C1519">
        <w:rPr>
          <w:noProof/>
          <w:lang w:val="en-IN" w:eastAsia="en-IN"/>
        </w:rPr>
        <w:drawing>
          <wp:inline distT="0" distB="0" distL="0" distR="0">
            <wp:extent cx="5274310" cy="2966799"/>
            <wp:effectExtent l="0" t="0" r="2540" b="5080"/>
            <wp:docPr id="1" name="图片 1" descr="E:\珠医合作\1.1B3项目\投稿\7.Journal of Nanobiotechnology\Figure\Supplementary Figure 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珠医合作\1.1B3项目\投稿\7.Journal of Nanobiotechnology\Figure\Supplementary Figure 1.tif"/>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274310" cy="2966799"/>
                    </a:xfrm>
                    <a:prstGeom prst="rect">
                      <a:avLst/>
                    </a:prstGeom>
                    <a:noFill/>
                    <a:ln>
                      <a:noFill/>
                    </a:ln>
                  </pic:spPr>
                </pic:pic>
              </a:graphicData>
            </a:graphic>
          </wp:inline>
        </w:drawing>
      </w:r>
    </w:p>
    <w:p w:rsidR="008C1519" w:rsidRDefault="008C1519" w:rsidP="008C1519">
      <w:pPr>
        <w:rPr>
          <w:rFonts w:ascii="Arial" w:hAnsi="Arial" w:cs="Arial"/>
          <w:sz w:val="20"/>
        </w:rPr>
      </w:pPr>
      <w:r w:rsidRPr="008C1519">
        <w:rPr>
          <w:rFonts w:ascii="Arial" w:hAnsi="Arial" w:cs="Arial"/>
          <w:sz w:val="20"/>
        </w:rPr>
        <w:t xml:space="preserve">Supplementary Figure 1 (A) Expression of AFP in all solid tumors and normal tissues. (B) Expression of GPC3 in all solid tumors and normal tissues. (C) Differential expression of AFP in hepatocellular carcinoma and normal liver tissues. (D) Differential expression of GPC3 in </w:t>
      </w:r>
      <w:proofErr w:type="gramStart"/>
      <w:r w:rsidRPr="008C1519">
        <w:rPr>
          <w:rFonts w:ascii="Arial" w:hAnsi="Arial" w:cs="Arial"/>
          <w:sz w:val="20"/>
        </w:rPr>
        <w:t>hepatocellular</w:t>
      </w:r>
      <w:proofErr w:type="gramEnd"/>
      <w:r w:rsidRPr="008C1519">
        <w:rPr>
          <w:rFonts w:ascii="Arial" w:hAnsi="Arial" w:cs="Arial"/>
          <w:sz w:val="20"/>
        </w:rPr>
        <w:t xml:space="preserve"> carcinoma and normal liver tissues. (E) The expression of AFP in enrolled patients (n=65). (F) The expression status of AFP and GPC3 in enrolled patients (n=65). (G) The expression of GPC3 in enrolled patients (n=65). </w:t>
      </w:r>
    </w:p>
    <w:p w:rsidR="008C1519" w:rsidRDefault="008C1519" w:rsidP="008C1519">
      <w:pPr>
        <w:rPr>
          <w:rFonts w:ascii="Arial" w:hAnsi="Arial" w:cs="Arial"/>
          <w:sz w:val="20"/>
        </w:rPr>
      </w:pPr>
      <w:r w:rsidRPr="008C1519">
        <w:rPr>
          <w:rFonts w:ascii="Arial" w:hAnsi="Arial" w:cs="Arial"/>
          <w:noProof/>
          <w:sz w:val="20"/>
          <w:lang w:val="en-IN" w:eastAsia="en-IN"/>
        </w:rPr>
        <w:drawing>
          <wp:inline distT="0" distB="0" distL="0" distR="0">
            <wp:extent cx="5274310" cy="2966799"/>
            <wp:effectExtent l="0" t="0" r="2540" b="5080"/>
            <wp:docPr id="2" name="图片 2" descr="E:\珠医合作\1.1B3项目\投稿\7.Journal of Nanobiotechnology\Figure\Supplementary Figure 2.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珠医合作\1.1B3项目\投稿\7.Journal of Nanobiotechnology\Figure\Supplementary Figure 2.tif"/>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274310" cy="2966799"/>
                    </a:xfrm>
                    <a:prstGeom prst="rect">
                      <a:avLst/>
                    </a:prstGeom>
                    <a:noFill/>
                    <a:ln>
                      <a:noFill/>
                    </a:ln>
                  </pic:spPr>
                </pic:pic>
              </a:graphicData>
            </a:graphic>
          </wp:inline>
        </w:drawing>
      </w:r>
    </w:p>
    <w:p w:rsidR="008C1519" w:rsidRPr="008C1519" w:rsidRDefault="008C1519" w:rsidP="008C1519">
      <w:pPr>
        <w:rPr>
          <w:rFonts w:ascii="Arial" w:hAnsi="Arial" w:cs="Arial"/>
          <w:sz w:val="20"/>
        </w:rPr>
      </w:pPr>
      <w:proofErr w:type="gramStart"/>
      <w:r w:rsidRPr="008C1519">
        <w:rPr>
          <w:rFonts w:ascii="Arial" w:hAnsi="Arial" w:cs="Arial"/>
          <w:sz w:val="20"/>
        </w:rPr>
        <w:t>Supplementary Figure 2 (A) Purity of antibody 1B3, 1C11, 1D12, 1C4, 2F9, Ab61.</w:t>
      </w:r>
      <w:proofErr w:type="gramEnd"/>
      <w:r w:rsidRPr="008C1519">
        <w:rPr>
          <w:rFonts w:ascii="Arial" w:hAnsi="Arial" w:cs="Arial"/>
          <w:sz w:val="20"/>
        </w:rPr>
        <w:t xml:space="preserve"> (B) Mark control results in antibody purity assays. (C) Affinity of AFP </w:t>
      </w:r>
      <w:proofErr w:type="spellStart"/>
      <w:r w:rsidRPr="008C1519">
        <w:rPr>
          <w:rFonts w:ascii="Arial" w:hAnsi="Arial" w:cs="Arial"/>
          <w:sz w:val="20"/>
        </w:rPr>
        <w:t>Ab</w:t>
      </w:r>
      <w:proofErr w:type="spellEnd"/>
      <w:r w:rsidRPr="008C1519">
        <w:rPr>
          <w:rFonts w:ascii="Arial" w:hAnsi="Arial" w:cs="Arial"/>
          <w:sz w:val="20"/>
        </w:rPr>
        <w:t xml:space="preserve"> (IB3) for binding different subtypes of HLA-A. (D) Affinity of Bench marker (Ab61) for binding different subtypes of HLA-A.</w:t>
      </w:r>
    </w:p>
    <w:p w:rsidR="008C1519" w:rsidRPr="008C1519" w:rsidRDefault="008C1519" w:rsidP="008C1519">
      <w:pPr>
        <w:rPr>
          <w:rFonts w:ascii="Arial" w:hAnsi="Arial" w:cs="Arial"/>
          <w:sz w:val="20"/>
        </w:rPr>
      </w:pPr>
      <w:r>
        <w:rPr>
          <w:rFonts w:ascii="Arial" w:hAnsi="Arial" w:cs="Arial"/>
          <w:noProof/>
          <w:sz w:val="20"/>
          <w:lang w:val="en-IN" w:eastAsia="en-IN"/>
        </w:rPr>
        <w:lastRenderedPageBreak/>
        <w:drawing>
          <wp:inline distT="0" distB="0" distL="0" distR="0">
            <wp:extent cx="5274310" cy="2967355"/>
            <wp:effectExtent l="0" t="0" r="2540" b="4445"/>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upplementary Figure 3.tif"/>
                    <pic:cNvPicPr/>
                  </pic:nvPicPr>
                  <pic:blipFill>
                    <a:blip r:embed="rId7" cstate="print">
                      <a:extLst>
                        <a:ext uri="{28A0092B-C50C-407E-A947-70E740481C1C}">
                          <a14:useLocalDpi xmlns:a14="http://schemas.microsoft.com/office/drawing/2010/main" val="0"/>
                        </a:ext>
                      </a:extLst>
                    </a:blip>
                    <a:stretch>
                      <a:fillRect/>
                    </a:stretch>
                  </pic:blipFill>
                  <pic:spPr>
                    <a:xfrm>
                      <a:off x="0" y="0"/>
                      <a:ext cx="5274310" cy="2967355"/>
                    </a:xfrm>
                    <a:prstGeom prst="rect">
                      <a:avLst/>
                    </a:prstGeom>
                  </pic:spPr>
                </pic:pic>
              </a:graphicData>
            </a:graphic>
          </wp:inline>
        </w:drawing>
      </w:r>
    </w:p>
    <w:p w:rsidR="008C1519" w:rsidRDefault="008C1519" w:rsidP="008C1519">
      <w:pPr>
        <w:rPr>
          <w:rFonts w:ascii="Arial" w:hAnsi="Arial" w:cs="Arial"/>
          <w:sz w:val="20"/>
        </w:rPr>
      </w:pPr>
      <w:r w:rsidRPr="008C1519">
        <w:rPr>
          <w:rFonts w:ascii="Arial" w:hAnsi="Arial" w:cs="Arial"/>
          <w:sz w:val="20"/>
        </w:rPr>
        <w:t xml:space="preserve">Supplementary Figure 3 (A) Killing effect of 5 candidate antibodies on </w:t>
      </w:r>
      <w:proofErr w:type="spellStart"/>
      <w:r w:rsidRPr="008C1519">
        <w:rPr>
          <w:rFonts w:ascii="Arial" w:hAnsi="Arial" w:cs="Arial"/>
          <w:sz w:val="20"/>
        </w:rPr>
        <w:t>Daudi</w:t>
      </w:r>
      <w:proofErr w:type="spellEnd"/>
      <w:r w:rsidRPr="008C1519">
        <w:rPr>
          <w:rFonts w:ascii="Arial" w:hAnsi="Arial" w:cs="Arial"/>
          <w:sz w:val="20"/>
        </w:rPr>
        <w:t xml:space="preserve"> cells. (B) Killing effect of 5 candidate antibodies on </w:t>
      </w:r>
      <w:proofErr w:type="spellStart"/>
      <w:r w:rsidRPr="008C1519">
        <w:rPr>
          <w:rFonts w:ascii="Arial" w:hAnsi="Arial" w:cs="Arial"/>
          <w:sz w:val="20"/>
        </w:rPr>
        <w:t>Raji</w:t>
      </w:r>
      <w:proofErr w:type="spellEnd"/>
      <w:r w:rsidRPr="008C1519">
        <w:rPr>
          <w:rFonts w:ascii="Arial" w:hAnsi="Arial" w:cs="Arial"/>
          <w:sz w:val="20"/>
        </w:rPr>
        <w:t xml:space="preserve"> cells. (C) Killing effect of 5 candidate antibodies on HepG2 cells. (D) Killing effect of 5 candidate antibodies on HepG2-MiniG cells. (E) Killing effect of 5 candidate antibodies on SK-HEP-1 cells. (F) Killing effect of 5 candidate antibodies on SK-HEP-1-MiniG cells.</w:t>
      </w:r>
    </w:p>
    <w:p w:rsidR="008C1519" w:rsidRDefault="008C1519" w:rsidP="008C1519">
      <w:pPr>
        <w:rPr>
          <w:rFonts w:ascii="Arial" w:hAnsi="Arial" w:cs="Arial"/>
          <w:sz w:val="20"/>
        </w:rPr>
      </w:pPr>
      <w:r>
        <w:rPr>
          <w:rFonts w:ascii="Arial" w:hAnsi="Arial" w:cs="Arial"/>
          <w:noProof/>
          <w:sz w:val="20"/>
          <w:lang w:val="en-IN" w:eastAsia="en-IN"/>
        </w:rPr>
        <w:drawing>
          <wp:inline distT="0" distB="0" distL="0" distR="0">
            <wp:extent cx="5274310" cy="2967355"/>
            <wp:effectExtent l="0" t="0" r="2540" b="4445"/>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Supplementary Figure 4.tif"/>
                    <pic:cNvPicPr/>
                  </pic:nvPicPr>
                  <pic:blipFill>
                    <a:blip r:embed="rId8" cstate="print">
                      <a:extLst>
                        <a:ext uri="{28A0092B-C50C-407E-A947-70E740481C1C}">
                          <a14:useLocalDpi xmlns:a14="http://schemas.microsoft.com/office/drawing/2010/main" val="0"/>
                        </a:ext>
                      </a:extLst>
                    </a:blip>
                    <a:stretch>
                      <a:fillRect/>
                    </a:stretch>
                  </pic:blipFill>
                  <pic:spPr>
                    <a:xfrm>
                      <a:off x="0" y="0"/>
                      <a:ext cx="5274310" cy="2967355"/>
                    </a:xfrm>
                    <a:prstGeom prst="rect">
                      <a:avLst/>
                    </a:prstGeom>
                  </pic:spPr>
                </pic:pic>
              </a:graphicData>
            </a:graphic>
          </wp:inline>
        </w:drawing>
      </w:r>
    </w:p>
    <w:p w:rsidR="008C1519" w:rsidRPr="008C1519" w:rsidRDefault="008C1519" w:rsidP="008C1519">
      <w:pPr>
        <w:rPr>
          <w:rFonts w:ascii="Arial" w:hAnsi="Arial" w:cs="Arial"/>
          <w:sz w:val="20"/>
        </w:rPr>
      </w:pPr>
      <w:r w:rsidRPr="008C1519">
        <w:rPr>
          <w:rFonts w:ascii="Arial" w:hAnsi="Arial" w:cs="Arial"/>
          <w:sz w:val="20"/>
        </w:rPr>
        <w:t>Supplementary Figure 4 (A) Changes in the body weight of mice during the second round of animal experimentation (each group: n=5). (B) Secretion level of IL-6 in the peripheral blood serum of mice on day 7, day 14 and day 21 (each group: n=5). (C) Changes in the body weight of mice during the third round of animal experimentation (each group: n=5).  (D) Secretion level of TNF in the peripheral blood serum of mice on day 7, day 14 and day 21 (each group: n=5).  (E) Secretion level of IL-6 in the peripheral blood serum of mice on day 7, day 14 and day 21 (each group: n=5).</w:t>
      </w:r>
    </w:p>
    <w:p w:rsidR="008C1519" w:rsidRPr="008C1519" w:rsidRDefault="008C1519" w:rsidP="008C1519">
      <w:pPr>
        <w:rPr>
          <w:rFonts w:ascii="Arial" w:hAnsi="Arial" w:cs="Arial"/>
          <w:sz w:val="20"/>
        </w:rPr>
      </w:pPr>
      <w:r>
        <w:rPr>
          <w:rFonts w:ascii="Arial" w:hAnsi="Arial" w:cs="Arial"/>
          <w:noProof/>
          <w:sz w:val="20"/>
          <w:lang w:val="en-IN" w:eastAsia="en-IN"/>
        </w:rPr>
        <w:lastRenderedPageBreak/>
        <w:drawing>
          <wp:inline distT="0" distB="0" distL="0" distR="0">
            <wp:extent cx="5274310" cy="2967355"/>
            <wp:effectExtent l="0" t="0" r="2540" b="4445"/>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Supplementary Figure 5.tif"/>
                    <pic:cNvPicPr/>
                  </pic:nvPicPr>
                  <pic:blipFill>
                    <a:blip r:embed="rId9" cstate="print">
                      <a:extLst>
                        <a:ext uri="{28A0092B-C50C-407E-A947-70E740481C1C}">
                          <a14:useLocalDpi xmlns:a14="http://schemas.microsoft.com/office/drawing/2010/main" val="0"/>
                        </a:ext>
                      </a:extLst>
                    </a:blip>
                    <a:stretch>
                      <a:fillRect/>
                    </a:stretch>
                  </pic:blipFill>
                  <pic:spPr>
                    <a:xfrm>
                      <a:off x="0" y="0"/>
                      <a:ext cx="5274310" cy="2967355"/>
                    </a:xfrm>
                    <a:prstGeom prst="rect">
                      <a:avLst/>
                    </a:prstGeom>
                  </pic:spPr>
                </pic:pic>
              </a:graphicData>
            </a:graphic>
          </wp:inline>
        </w:drawing>
      </w:r>
    </w:p>
    <w:p w:rsidR="008C1519" w:rsidRPr="008C1519" w:rsidRDefault="008C1519" w:rsidP="008C1519">
      <w:pPr>
        <w:rPr>
          <w:rFonts w:ascii="Arial" w:hAnsi="Arial" w:cs="Arial"/>
          <w:sz w:val="20"/>
        </w:rPr>
      </w:pPr>
      <w:r w:rsidRPr="008C1519">
        <w:rPr>
          <w:rFonts w:ascii="Arial" w:hAnsi="Arial" w:cs="Arial"/>
          <w:sz w:val="20"/>
        </w:rPr>
        <w:t>Supplementary Figure 5 (A) The result of GO enrichment analysis of differentially expressed genes when comparing the GPC3 CAR-T-AFP-CD3 group with the GPC3 CAR-T group; (B) The result of GO enrichment analysis of differentially expressed genes when comparing the GPC3 CAR-T-AFP-CD3 group with the GPC3 CAR-T-AFP group; (C) The result of GO enrichment analysis of differentially expressed genes when comparing the GPC3 CAR-T-AFP-CD3 group with the GPC3 CAR-T-CD3 group. (D) The result of KEGG Pathway enrichment analysis of differentially expressed genes when comparing the GPC3 CAR-T-AFP-CD3 group with the GPC3 CAR-T group; (E) The result of KEGG Pathway enrichment analysis of differentially expressed genes when comparing the GPC3 CAR-T-AFP-CD3 group with the GPC3 CAR-T-AFP group; (F) The result of KEGG Pathway enrichment analysis of differentially expressed genes when comparing the GPC3 CAR-T-AFP-CD3 group with the GPC3 CAR-T-CD3 group.</w:t>
      </w:r>
    </w:p>
    <w:p w:rsidR="00B831F5" w:rsidRDefault="00C10642"/>
    <w:p w:rsidR="00DE7B7E" w:rsidRPr="008C1519" w:rsidRDefault="00DE7B7E">
      <w:bookmarkStart w:id="0" w:name="_GoBack"/>
      <w:bookmarkEnd w:id="0"/>
    </w:p>
    <w:sectPr w:rsidR="00DE7B7E" w:rsidRPr="008C1519">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DengXian">
    <w:altName w:val="SimSun"/>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DengXian Light">
    <w:altName w:val="Arial Unicode MS"/>
    <w:charset w:val="86"/>
    <w:family w:val="auto"/>
    <w:pitch w:val="variable"/>
    <w:sig w:usb0="00000000"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0BAA"/>
    <w:rsid w:val="001F6EFC"/>
    <w:rsid w:val="002B4B6B"/>
    <w:rsid w:val="00524BFA"/>
    <w:rsid w:val="005D77D9"/>
    <w:rsid w:val="00785C55"/>
    <w:rsid w:val="008C1519"/>
    <w:rsid w:val="00C10642"/>
    <w:rsid w:val="00DE7B7E"/>
    <w:rsid w:val="00FA0BAA"/>
    <w:rsid w:val="00FC6E5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E7B7E"/>
    <w:rPr>
      <w:rFonts w:ascii="Tahoma" w:hAnsi="Tahoma" w:cs="Tahoma"/>
      <w:sz w:val="16"/>
      <w:szCs w:val="16"/>
    </w:rPr>
  </w:style>
  <w:style w:type="character" w:customStyle="1" w:styleId="BalloonTextChar">
    <w:name w:val="Balloon Text Char"/>
    <w:basedOn w:val="DefaultParagraphFont"/>
    <w:link w:val="BalloonText"/>
    <w:uiPriority w:val="99"/>
    <w:semiHidden/>
    <w:rsid w:val="00DE7B7E"/>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E7B7E"/>
    <w:rPr>
      <w:rFonts w:ascii="Tahoma" w:hAnsi="Tahoma" w:cs="Tahoma"/>
      <w:sz w:val="16"/>
      <w:szCs w:val="16"/>
    </w:rPr>
  </w:style>
  <w:style w:type="character" w:customStyle="1" w:styleId="BalloonTextChar">
    <w:name w:val="Balloon Text Char"/>
    <w:basedOn w:val="DefaultParagraphFont"/>
    <w:link w:val="BalloonText"/>
    <w:uiPriority w:val="99"/>
    <w:semiHidden/>
    <w:rsid w:val="00DE7B7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401220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tiff"/><Relationship Id="rId3" Type="http://schemas.openxmlformats.org/officeDocument/2006/relationships/settings" Target="settings.xml"/><Relationship Id="rId7" Type="http://schemas.openxmlformats.org/officeDocument/2006/relationships/image" Target="media/image3.tiff"/><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tiff"/><Relationship Id="rId11" Type="http://schemas.openxmlformats.org/officeDocument/2006/relationships/theme" Target="theme/theme1.xml"/><Relationship Id="rId5" Type="http://schemas.openxmlformats.org/officeDocument/2006/relationships/image" Target="media/image1.tiff"/><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tif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3</Pages>
  <Words>407</Words>
  <Characters>2322</Characters>
  <Application>Microsoft Office Word</Application>
  <DocSecurity>0</DocSecurity>
  <Lines>19</Lines>
  <Paragraphs>5</Paragraphs>
  <ScaleCrop>false</ScaleCrop>
  <Company/>
  <LinksUpToDate>false</LinksUpToDate>
  <CharactersWithSpaces>2724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ha'se'e</dc:creator>
  <cp:keywords/>
  <dc:description/>
  <cp:lastModifiedBy>Chandrasekar Narasaiah (Integra)</cp:lastModifiedBy>
  <cp:revision>4</cp:revision>
  <dcterms:created xsi:type="dcterms:W3CDTF">2024-12-15T14:33:00Z</dcterms:created>
  <dcterms:modified xsi:type="dcterms:W3CDTF">2025-05-30T02:57:00Z</dcterms:modified>
</cp:coreProperties>
</file>