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F7F" w:rsidRDefault="00CF1360">
      <w:pPr>
        <w:spacing w:line="360" w:lineRule="auto"/>
        <w:jc w:val="center"/>
        <w:rPr>
          <w:rFonts w:ascii="Times New Roman Bold" w:hAnsi="Times New Roman Bold" w:cs="Times New Roman Bold"/>
          <w:b/>
          <w:bCs/>
          <w:sz w:val="28"/>
          <w:szCs w:val="28"/>
        </w:rPr>
      </w:pPr>
      <w:proofErr w:type="spellStart"/>
      <w:r>
        <w:rPr>
          <w:rFonts w:ascii="Times New Roman Bold" w:hAnsi="Times New Roman Bold" w:cs="Times New Roman Bold" w:hint="eastAsia"/>
          <w:b/>
          <w:bCs/>
          <w:sz w:val="28"/>
          <w:szCs w:val="28"/>
        </w:rPr>
        <w:t>S</w:t>
      </w:r>
      <w:r>
        <w:rPr>
          <w:rFonts w:ascii="Times New Roman Bold" w:hAnsi="Times New Roman Bold" w:cs="Times New Roman Bold"/>
          <w:b/>
          <w:bCs/>
          <w:sz w:val="28"/>
          <w:szCs w:val="28"/>
        </w:rPr>
        <w:t>uppporting</w:t>
      </w:r>
      <w:proofErr w:type="spellEnd"/>
      <w:r>
        <w:rPr>
          <w:rFonts w:ascii="Times New Roman Bold" w:hAnsi="Times New Roman Bold" w:cs="Times New Roman Bold"/>
          <w:b/>
          <w:bCs/>
          <w:sz w:val="28"/>
          <w:szCs w:val="28"/>
        </w:rPr>
        <w:t xml:space="preserve"> information</w:t>
      </w:r>
    </w:p>
    <w:p w:rsidR="00880F7F" w:rsidRDefault="00CF1360">
      <w:pPr>
        <w:spacing w:line="360" w:lineRule="auto"/>
        <w:rPr>
          <w:rFonts w:ascii="Times New Roman Bold" w:hAnsi="Times New Roman Bold" w:cs="Times New Roman Bold"/>
          <w:b/>
          <w:bCs/>
          <w:sz w:val="28"/>
          <w:szCs w:val="28"/>
        </w:rPr>
      </w:pPr>
      <w:bookmarkStart w:id="0" w:name="OLE_LINK1"/>
      <w:bookmarkStart w:id="1" w:name="OLE_LINK2"/>
      <w:bookmarkStart w:id="2" w:name="OLE_LINK28"/>
      <w:bookmarkStart w:id="3" w:name="OLE_LINK29"/>
      <w:r>
        <w:rPr>
          <w:rFonts w:ascii="Times New Roman Bold" w:hAnsi="Times New Roman Bold" w:cs="Times New Roman Bold"/>
          <w:b/>
          <w:bCs/>
          <w:sz w:val="28"/>
          <w:szCs w:val="28"/>
        </w:rPr>
        <w:t>Curcumin-based Polymer Prodrug Nanoplatform for High-efficiency Immunotherapy</w:t>
      </w:r>
      <w:r>
        <w:rPr>
          <w:rFonts w:ascii="Times New Roman Bold" w:hAnsi="Times New Roman Bold" w:cs="Times New Roman Bold" w:hint="eastAsia"/>
          <w:b/>
          <w:bCs/>
          <w:sz w:val="28"/>
          <w:szCs w:val="28"/>
        </w:rPr>
        <w:t xml:space="preserve"> </w:t>
      </w:r>
      <w:r>
        <w:rPr>
          <w:rFonts w:ascii="Times New Roman Bold" w:hAnsi="Times New Roman Bold" w:cs="Times New Roman Bold"/>
          <w:b/>
          <w:bCs/>
          <w:sz w:val="28"/>
          <w:szCs w:val="28"/>
        </w:rPr>
        <w:t>by Synergistically Suppress</w:t>
      </w:r>
      <w:r>
        <w:rPr>
          <w:rFonts w:ascii="Times New Roman Bold" w:hAnsi="Times New Roman Bold" w:cs="Times New Roman Bold" w:hint="eastAsia"/>
          <w:b/>
          <w:bCs/>
          <w:sz w:val="28"/>
          <w:szCs w:val="28"/>
        </w:rPr>
        <w:t>ion</w:t>
      </w:r>
      <w:r>
        <w:rPr>
          <w:rFonts w:ascii="Times New Roman Bold" w:hAnsi="Times New Roman Bold" w:cs="Times New Roman Bold"/>
          <w:b/>
          <w:bCs/>
          <w:sz w:val="28"/>
          <w:szCs w:val="28"/>
        </w:rPr>
        <w:t xml:space="preserve"> of</w:t>
      </w:r>
      <w:r>
        <w:rPr>
          <w:rFonts w:ascii="Times New Roman Bold" w:hAnsi="Times New Roman Bold" w:cs="Times New Roman Bold" w:hint="eastAsia"/>
          <w:b/>
          <w:bCs/>
          <w:sz w:val="28"/>
          <w:szCs w:val="28"/>
        </w:rPr>
        <w:t xml:space="preserve"> </w:t>
      </w:r>
      <w:bookmarkStart w:id="4" w:name="_Hlk177027631"/>
      <w:r>
        <w:rPr>
          <w:rFonts w:ascii="Times New Roman Bold" w:hAnsi="Times New Roman Bold" w:cs="Times New Roman Bold"/>
          <w:b/>
          <w:bCs/>
          <w:sz w:val="28"/>
          <w:szCs w:val="28"/>
        </w:rPr>
        <w:t>Head and neck Cancer</w:t>
      </w:r>
      <w:bookmarkEnd w:id="4"/>
      <w:r>
        <w:rPr>
          <w:rFonts w:ascii="Times New Roman Bold" w:hAnsi="Times New Roman Bold" w:cs="Times New Roman Bold"/>
          <w:b/>
          <w:bCs/>
          <w:sz w:val="28"/>
          <w:szCs w:val="28"/>
        </w:rPr>
        <w:t xml:space="preserve"> Cell Stemness</w:t>
      </w:r>
    </w:p>
    <w:bookmarkEnd w:id="0"/>
    <w:bookmarkEnd w:id="1"/>
    <w:bookmarkEnd w:id="2"/>
    <w:bookmarkEnd w:id="3"/>
    <w:p w:rsidR="00880F7F" w:rsidRDefault="00CF1360">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Zhisen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Shen</w:t>
      </w:r>
      <w:r>
        <w:rPr>
          <w:rFonts w:ascii="Times New Roman" w:hAnsi="Times New Roman" w:cs="Times New Roman"/>
          <w:sz w:val="24"/>
          <w:szCs w:val="24"/>
          <w:vertAlign w:val="superscript"/>
        </w:rPr>
        <w:t>a,b</w:t>
      </w:r>
      <w:proofErr w:type="spellEnd"/>
      <w:proofErr w:type="gramEnd"/>
      <w:r>
        <w:rPr>
          <w:rFonts w:ascii="Times New Roman" w:hAnsi="Times New Roman" w:cs="Times New Roman"/>
          <w:sz w:val="24"/>
          <w:szCs w:val="24"/>
          <w:vertAlign w:val="superscript"/>
        </w:rPr>
        <w:t xml:space="preserve"> 1</w:t>
      </w:r>
      <w:r>
        <w:rPr>
          <w:rFonts w:ascii="Times New Roman" w:hAnsi="Times New Roman" w:cs="Times New Roman"/>
          <w:sz w:val="24"/>
          <w:szCs w:val="24"/>
        </w:rPr>
        <w:t xml:space="preserve">, Hao </w:t>
      </w:r>
      <w:proofErr w:type="spellStart"/>
      <w:r>
        <w:rPr>
          <w:rFonts w:ascii="Times New Roman" w:hAnsi="Times New Roman" w:cs="Times New Roman"/>
          <w:sz w:val="24"/>
          <w:szCs w:val="24"/>
        </w:rPr>
        <w:t>Jiang</w:t>
      </w:r>
      <w:r>
        <w:rPr>
          <w:rFonts w:ascii="Times New Roman" w:hAnsi="Times New Roman" w:cs="Times New Roman"/>
          <w:sz w:val="24"/>
          <w:szCs w:val="24"/>
          <w:vertAlign w:val="superscript"/>
        </w:rPr>
        <w:t>d</w:t>
      </w:r>
      <w:proofErr w:type="spellEnd"/>
      <w:r w:rsidR="00053F3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Shuaijun</w:t>
      </w:r>
      <w:proofErr w:type="spellEnd"/>
      <w:r>
        <w:rPr>
          <w:rFonts w:ascii="Times New Roman" w:hAnsi="Times New Roman" w:cs="Times New Roman"/>
          <w:sz w:val="24"/>
          <w:szCs w:val="24"/>
        </w:rPr>
        <w:t xml:space="preserve"> Lu</w:t>
      </w:r>
      <w:r>
        <w:rPr>
          <w:rFonts w:ascii="Times New Roman" w:hAnsi="Times New Roman" w:cs="Times New Roman"/>
          <w:sz w:val="24"/>
          <w:szCs w:val="24"/>
          <w:vertAlign w:val="superscript"/>
        </w:rPr>
        <w:t>c, 1</w:t>
      </w:r>
      <w:r>
        <w:rPr>
          <w:rFonts w:ascii="Times New Roman" w:hAnsi="Times New Roman" w:cs="Times New Roman"/>
          <w:sz w:val="24"/>
          <w:szCs w:val="24"/>
        </w:rPr>
        <w:t xml:space="preserve">, </w:t>
      </w:r>
      <w:proofErr w:type="spellStart"/>
      <w:r>
        <w:rPr>
          <w:rFonts w:ascii="Times New Roman" w:hAnsi="Times New Roman" w:cs="Times New Roman"/>
          <w:sz w:val="24"/>
          <w:szCs w:val="24"/>
        </w:rPr>
        <w:t>Hailong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Tian</w:t>
      </w:r>
      <w:r>
        <w:rPr>
          <w:rFonts w:ascii="Times New Roman" w:hAnsi="Times New Roman" w:cs="Times New Roman"/>
          <w:sz w:val="24"/>
          <w:szCs w:val="24"/>
          <w:vertAlign w:val="superscript"/>
        </w:rPr>
        <w:t>e</w:t>
      </w:r>
      <w:proofErr w:type="spellEnd"/>
      <w:r>
        <w:rPr>
          <w:rFonts w:ascii="Times New Roman" w:hAnsi="Times New Roman" w:cs="Times New Roman"/>
          <w:sz w:val="24"/>
          <w:szCs w:val="24"/>
        </w:rPr>
        <w:t xml:space="preserve">, Feng </w:t>
      </w:r>
      <w:proofErr w:type="spellStart"/>
      <w:r>
        <w:rPr>
          <w:rFonts w:ascii="Times New Roman" w:hAnsi="Times New Roman" w:cs="Times New Roman"/>
          <w:sz w:val="24"/>
          <w:szCs w:val="24"/>
        </w:rPr>
        <w:t>Gao</w:t>
      </w:r>
      <w:r>
        <w:rPr>
          <w:rFonts w:ascii="Times New Roman" w:hAnsi="Times New Roman" w:cs="Times New Roman"/>
          <w:sz w:val="24"/>
          <w:szCs w:val="24"/>
          <w:vertAlign w:val="superscript"/>
        </w:rPr>
        <w:t>d</w:t>
      </w:r>
      <w:proofErr w:type="spellEnd"/>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Hongxia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w:t>
      </w:r>
      <w:r>
        <w:rPr>
          <w:rFonts w:ascii="Times New Roman" w:hAnsi="Times New Roman" w:cs="Times New Roman"/>
          <w:sz w:val="24"/>
          <w:szCs w:val="24"/>
          <w:vertAlign w:val="superscript"/>
        </w:rPr>
        <w:t>a,b</w:t>
      </w:r>
      <w:proofErr w:type="spellEnd"/>
      <w:r w:rsidR="007408FE">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Pr>
          <w:rFonts w:ascii="Times New Roman" w:hAnsi="Times New Roman" w:cs="Times New Roman" w:hint="eastAsia"/>
          <w:sz w:val="24"/>
          <w:szCs w:val="24"/>
        </w:rPr>
        <w:t>an</w:t>
      </w:r>
      <w:r>
        <w:rPr>
          <w:rFonts w:ascii="Times New Roman" w:hAnsi="Times New Roman" w:cs="Times New Roman"/>
          <w:sz w:val="24"/>
          <w:szCs w:val="24"/>
        </w:rPr>
        <w:t>hua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Huang</w:t>
      </w:r>
      <w:r>
        <w:rPr>
          <w:rFonts w:ascii="Times New Roman" w:hAnsi="Times New Roman" w:cs="Times New Roman"/>
          <w:sz w:val="24"/>
          <w:szCs w:val="24"/>
          <w:vertAlign w:val="superscript"/>
        </w:rPr>
        <w:t>e</w:t>
      </w:r>
      <w:proofErr w:type="spellEnd"/>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rsidR="00880F7F" w:rsidRDefault="00CF1360">
      <w:pPr>
        <w:spacing w:line="360" w:lineRule="auto"/>
        <w:rPr>
          <w:rFonts w:ascii="Times New Roman" w:hAnsi="Times New Roman" w:cs="Times New Roman"/>
          <w:i/>
          <w:sz w:val="24"/>
          <w:szCs w:val="24"/>
        </w:rPr>
      </w:pPr>
      <w:proofErr w:type="spellStart"/>
      <w:r>
        <w:rPr>
          <w:rFonts w:ascii="Times New Roman" w:hAnsi="Times New Roman" w:cs="Times New Roman"/>
          <w:i/>
          <w:sz w:val="24"/>
          <w:szCs w:val="24"/>
          <w:vertAlign w:val="superscript"/>
        </w:rPr>
        <w:t>a</w:t>
      </w:r>
      <w:r>
        <w:rPr>
          <w:rFonts w:ascii="Times New Roman" w:hAnsi="Times New Roman" w:cs="Times New Roman"/>
          <w:i/>
          <w:sz w:val="24"/>
          <w:szCs w:val="24"/>
          <w:lang w:eastAsia="ja-JP"/>
        </w:rPr>
        <w:t>Department</w:t>
      </w:r>
      <w:proofErr w:type="spellEnd"/>
      <w:r>
        <w:rPr>
          <w:rFonts w:ascii="Times New Roman" w:hAnsi="Times New Roman" w:cs="Times New Roman"/>
          <w:i/>
          <w:sz w:val="24"/>
          <w:szCs w:val="24"/>
          <w:lang w:eastAsia="ja-JP"/>
        </w:rPr>
        <w:t xml:space="preserve"> of Otolaryngology-Head and Neck Surgery,</w:t>
      </w:r>
      <w:r>
        <w:rPr>
          <w:rFonts w:ascii="Times New Roman" w:eastAsia="宋体" w:hAnsi="Times New Roman" w:cs="Times New Roman" w:hint="eastAsia"/>
          <w:snapToGrid w:val="0"/>
        </w:rPr>
        <w:t xml:space="preserve"> </w:t>
      </w:r>
      <w:r>
        <w:rPr>
          <w:rFonts w:ascii="Times New Roman" w:hAnsi="Times New Roman" w:cs="Times New Roman"/>
          <w:i/>
          <w:sz w:val="24"/>
          <w:szCs w:val="24"/>
        </w:rPr>
        <w:t xml:space="preserve">Ningbo Medical Center </w:t>
      </w:r>
      <w:proofErr w:type="spellStart"/>
      <w:r>
        <w:rPr>
          <w:rFonts w:ascii="Times New Roman" w:hAnsi="Times New Roman" w:cs="Times New Roman"/>
          <w:i/>
          <w:sz w:val="24"/>
          <w:szCs w:val="24"/>
        </w:rPr>
        <w:t>Lihuili</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Hospital,</w:t>
      </w:r>
      <w:r>
        <w:rPr>
          <w:rFonts w:ascii="Times New Roman" w:hAnsi="Times New Roman" w:cs="Times New Roman"/>
          <w:i/>
          <w:sz w:val="24"/>
          <w:szCs w:val="24"/>
          <w:lang w:eastAsia="ja-JP"/>
        </w:rPr>
        <w:t>Ningbo</w:t>
      </w:r>
      <w:proofErr w:type="spellEnd"/>
      <w:proofErr w:type="gramEnd"/>
      <w:r>
        <w:rPr>
          <w:rFonts w:ascii="Times New Roman" w:hAnsi="Times New Roman" w:cs="Times New Roman"/>
          <w:i/>
          <w:sz w:val="24"/>
          <w:szCs w:val="24"/>
          <w:lang w:eastAsia="ja-JP"/>
        </w:rPr>
        <w:t xml:space="preserve"> University,</w:t>
      </w:r>
      <w:r>
        <w:rPr>
          <w:rFonts w:ascii="Times New Roman" w:hAnsi="Times New Roman" w:cs="Times New Roman"/>
          <w:i/>
          <w:sz w:val="24"/>
          <w:szCs w:val="24"/>
        </w:rPr>
        <w:t xml:space="preserve"> Ningbo, 315000, China.</w:t>
      </w:r>
    </w:p>
    <w:p w:rsidR="00880F7F" w:rsidRDefault="00CF1360">
      <w:pPr>
        <w:spacing w:line="360" w:lineRule="auto"/>
        <w:rPr>
          <w:rFonts w:ascii="Times New Roman" w:hAnsi="Times New Roman" w:cs="Times New Roman"/>
          <w:i/>
          <w:sz w:val="24"/>
          <w:szCs w:val="24"/>
        </w:rPr>
      </w:pPr>
      <w:proofErr w:type="spellStart"/>
      <w:r>
        <w:rPr>
          <w:rFonts w:ascii="Times New Roman" w:hAnsi="Times New Roman" w:cs="Times New Roman"/>
          <w:i/>
          <w:sz w:val="24"/>
          <w:szCs w:val="24"/>
          <w:vertAlign w:val="superscript"/>
        </w:rPr>
        <w:t>b</w:t>
      </w:r>
      <w:r>
        <w:rPr>
          <w:rFonts w:ascii="Times New Roman" w:hAnsi="Times New Roman" w:cs="Times New Roman"/>
          <w:i/>
          <w:sz w:val="24"/>
          <w:szCs w:val="24"/>
        </w:rPr>
        <w:t>Ningbo</w:t>
      </w:r>
      <w:proofErr w:type="spellEnd"/>
      <w:r>
        <w:rPr>
          <w:rFonts w:ascii="Times New Roman" w:hAnsi="Times New Roman" w:cs="Times New Roman"/>
          <w:i/>
          <w:sz w:val="24"/>
          <w:szCs w:val="24"/>
        </w:rPr>
        <w:t xml:space="preserve"> Key Laboratory of Digital Medicine Precision Diagnosis and Treatment of Otorhinolaryngology, Head and Neck Diseases.</w:t>
      </w:r>
      <w:bookmarkStart w:id="5" w:name="_GoBack"/>
      <w:bookmarkEnd w:id="5"/>
    </w:p>
    <w:p w:rsidR="00880F7F" w:rsidRDefault="00CF1360">
      <w:pPr>
        <w:spacing w:line="360" w:lineRule="auto"/>
        <w:rPr>
          <w:rStyle w:val="a8"/>
          <w:rFonts w:ascii="Times New Roman Italic" w:eastAsiaTheme="minorEastAsia" w:hAnsi="Times New Roman Italic" w:cs="Times New Roman Italic"/>
          <w:i/>
          <w:iCs/>
        </w:rPr>
      </w:pPr>
      <w:proofErr w:type="spellStart"/>
      <w:r>
        <w:rPr>
          <w:rStyle w:val="a8"/>
          <w:rFonts w:ascii="Times New Roman Italic" w:eastAsiaTheme="minorEastAsia" w:hAnsi="Times New Roman Italic" w:cs="Times New Roman Italic"/>
          <w:i/>
          <w:iCs/>
          <w:vertAlign w:val="superscript"/>
        </w:rPr>
        <w:t>c</w:t>
      </w:r>
      <w:r>
        <w:rPr>
          <w:rStyle w:val="a8"/>
          <w:rFonts w:ascii="Times New Roman Italic" w:eastAsiaTheme="minorEastAsia" w:hAnsi="Times New Roman Italic" w:cs="Times New Roman Italic"/>
          <w:i/>
          <w:iCs/>
        </w:rPr>
        <w:t>The</w:t>
      </w:r>
      <w:proofErr w:type="spellEnd"/>
      <w:r>
        <w:rPr>
          <w:rStyle w:val="a8"/>
          <w:rFonts w:ascii="Times New Roman Italic" w:eastAsiaTheme="minorEastAsia" w:hAnsi="Times New Roman Italic" w:cs="Times New Roman Italic"/>
          <w:i/>
          <w:iCs/>
        </w:rPr>
        <w:t xml:space="preserve"> First Hospital of Ningbo University, Ningbo, 315020, China.</w:t>
      </w:r>
    </w:p>
    <w:p w:rsidR="00880F7F" w:rsidRDefault="00CF1360">
      <w:pPr>
        <w:spacing w:line="360" w:lineRule="auto"/>
        <w:rPr>
          <w:rFonts w:ascii="Times New Roman" w:hAnsi="Times New Roman" w:cs="Times New Roman"/>
          <w:i/>
          <w:sz w:val="24"/>
          <w:szCs w:val="24"/>
        </w:rPr>
      </w:pPr>
      <w:proofErr w:type="spellStart"/>
      <w:r>
        <w:rPr>
          <w:rFonts w:ascii="Times New Roman" w:hAnsi="Times New Roman" w:cs="Times New Roman"/>
          <w:i/>
          <w:sz w:val="24"/>
          <w:szCs w:val="24"/>
          <w:vertAlign w:val="superscript"/>
        </w:rPr>
        <w:t>d</w:t>
      </w:r>
      <w:r>
        <w:rPr>
          <w:rFonts w:ascii="Times New Roman" w:hAnsi="Times New Roman" w:cs="Times New Roman"/>
          <w:i/>
          <w:sz w:val="24"/>
          <w:szCs w:val="24"/>
        </w:rPr>
        <w:t>The</w:t>
      </w:r>
      <w:proofErr w:type="spellEnd"/>
      <w:r>
        <w:rPr>
          <w:rFonts w:ascii="Times New Roman" w:hAnsi="Times New Roman" w:cs="Times New Roman"/>
          <w:i/>
          <w:sz w:val="24"/>
          <w:szCs w:val="24"/>
        </w:rPr>
        <w:t xml:space="preserve"> Second Affiliated Hospital of Harbin Medical University,</w:t>
      </w:r>
      <w:r>
        <w:t xml:space="preserve"> </w:t>
      </w:r>
      <w:r>
        <w:rPr>
          <w:rFonts w:ascii="Times New Roman" w:hAnsi="Times New Roman" w:cs="Times New Roman"/>
          <w:i/>
          <w:sz w:val="24"/>
          <w:szCs w:val="24"/>
        </w:rPr>
        <w:t>Harbin, 150086, China.</w:t>
      </w:r>
    </w:p>
    <w:p w:rsidR="00880F7F" w:rsidRDefault="00CF1360">
      <w:pPr>
        <w:spacing w:line="360" w:lineRule="auto"/>
        <w:rPr>
          <w:rFonts w:ascii="Times New Roman" w:hAnsi="Times New Roman" w:cs="Times New Roman"/>
          <w:i/>
          <w:sz w:val="24"/>
          <w:szCs w:val="24"/>
        </w:rPr>
      </w:pPr>
      <w:proofErr w:type="spellStart"/>
      <w:r>
        <w:rPr>
          <w:rFonts w:ascii="Times New Roman" w:hAnsi="Times New Roman" w:cs="Times New Roman"/>
          <w:i/>
          <w:sz w:val="24"/>
          <w:szCs w:val="24"/>
          <w:vertAlign w:val="superscript"/>
        </w:rPr>
        <w:t>e</w:t>
      </w:r>
      <w:r>
        <w:rPr>
          <w:rFonts w:ascii="Times New Roman" w:hAnsi="Times New Roman" w:cs="Times New Roman"/>
          <w:i/>
          <w:sz w:val="24"/>
          <w:szCs w:val="24"/>
        </w:rPr>
        <w:t>State</w:t>
      </w:r>
      <w:proofErr w:type="spellEnd"/>
      <w:r>
        <w:rPr>
          <w:rFonts w:ascii="Times New Roman" w:hAnsi="Times New Roman" w:cs="Times New Roman"/>
          <w:i/>
          <w:sz w:val="24"/>
          <w:szCs w:val="24"/>
        </w:rPr>
        <w:t xml:space="preserve"> Key Laboratory of Biotherapy and Cancer Center, Collaborative Innovation Center for Biotherapy, West China Hospital, Sichuan University, Chengdu, 610041, China.</w:t>
      </w:r>
    </w:p>
    <w:p w:rsidR="00880F7F" w:rsidRDefault="00CF1360">
      <w:pPr>
        <w:spacing w:line="360" w:lineRule="auto"/>
        <w:rPr>
          <w:rFonts w:ascii="Times New Roman" w:hAnsi="Times New Roman" w:cs="Times New Roman"/>
          <w:i/>
          <w:sz w:val="24"/>
          <w:szCs w:val="24"/>
        </w:rPr>
      </w:pPr>
      <w:r>
        <w:rPr>
          <w:rFonts w:ascii="Times New Roman" w:hAnsi="Times New Roman" w:cs="Times New Roman" w:hint="eastAsia"/>
          <w:i/>
          <w:sz w:val="24"/>
          <w:szCs w:val="24"/>
          <w:vertAlign w:val="superscript"/>
        </w:rPr>
        <w:t>1</w:t>
      </w:r>
      <w:r>
        <w:rPr>
          <w:rFonts w:ascii="Times New Roman" w:hAnsi="Times New Roman" w:cs="Times New Roman"/>
          <w:i/>
          <w:sz w:val="24"/>
          <w:szCs w:val="24"/>
        </w:rPr>
        <w:t>These authors contributed equally to this work.</w:t>
      </w:r>
    </w:p>
    <w:p w:rsidR="00880F7F" w:rsidRDefault="00CF1360">
      <w:pPr>
        <w:spacing w:line="360" w:lineRule="auto"/>
        <w:rPr>
          <w:rFonts w:ascii="Times New Roman" w:hAnsi="Times New Roman" w:cs="Times New Roman"/>
          <w:i/>
          <w:sz w:val="24"/>
          <w:szCs w:val="24"/>
        </w:rPr>
      </w:pPr>
      <w:r>
        <w:rPr>
          <w:rFonts w:ascii="Times New Roman" w:hAnsi="Times New Roman" w:cs="Times New Roman" w:hint="eastAsia"/>
          <w:i/>
          <w:sz w:val="24"/>
          <w:szCs w:val="24"/>
        </w:rPr>
        <w:t>*</w:t>
      </w:r>
      <w:r>
        <w:rPr>
          <w:rFonts w:ascii="Times New Roman" w:hAnsi="Times New Roman" w:cs="Times New Roman"/>
          <w:i/>
          <w:sz w:val="24"/>
          <w:szCs w:val="24"/>
        </w:rPr>
        <w:t>Corresponding authors.</w:t>
      </w:r>
    </w:p>
    <w:p w:rsidR="00880F7F" w:rsidRDefault="00CF1360">
      <w:pPr>
        <w:spacing w:line="360" w:lineRule="auto"/>
        <w:rPr>
          <w:rFonts w:ascii="Times New Roman" w:hAnsi="Times New Roman" w:cs="Times New Roman"/>
          <w:sz w:val="24"/>
          <w:szCs w:val="24"/>
        </w:rPr>
      </w:pPr>
      <w:r>
        <w:rPr>
          <w:rFonts w:ascii="Times New Roman" w:hAnsi="Times New Roman" w:cs="Times New Roman"/>
          <w:i/>
          <w:sz w:val="24"/>
          <w:szCs w:val="24"/>
        </w:rPr>
        <w:t>Email address:</w:t>
      </w:r>
      <w:r>
        <w:t xml:space="preserve"> </w:t>
      </w:r>
      <w:r>
        <w:rPr>
          <w:rFonts w:ascii="Times New Roman" w:hAnsi="Times New Roman" w:cs="Times New Roman"/>
          <w:sz w:val="24"/>
          <w:szCs w:val="24"/>
        </w:rPr>
        <w:t xml:space="preserve">hcanhua68@163.com (CH. Huang), </w:t>
      </w:r>
      <w:r>
        <w:rPr>
          <w:rFonts w:ascii="Times New Roman" w:hAnsi="Times New Roman" w:cs="Times New Roman" w:hint="eastAsia"/>
          <w:sz w:val="24"/>
          <w:szCs w:val="24"/>
        </w:rPr>
        <w:t>xixizb@163.com</w:t>
      </w:r>
      <w:r>
        <w:rPr>
          <w:rFonts w:ascii="Times New Roman" w:hAnsi="Times New Roman" w:cs="Times New Roman"/>
          <w:sz w:val="24"/>
          <w:szCs w:val="24"/>
        </w:rPr>
        <w:t xml:space="preserve"> (HX. Deng). gf9777@126.com (F. Gao).</w:t>
      </w:r>
    </w:p>
    <w:p w:rsidR="00880F7F" w:rsidRDefault="00880F7F">
      <w:pPr>
        <w:spacing w:line="360" w:lineRule="auto"/>
        <w:rPr>
          <w:rFonts w:ascii="Times New Roman" w:hAnsi="Times New Roman" w:cs="Times New Roman"/>
          <w:i/>
          <w:sz w:val="24"/>
          <w:szCs w:val="24"/>
        </w:rPr>
      </w:pPr>
    </w:p>
    <w:p w:rsidR="00880F7F" w:rsidRDefault="00880F7F">
      <w:pPr>
        <w:spacing w:line="360" w:lineRule="auto"/>
        <w:rPr>
          <w:rFonts w:ascii="Times New Roman" w:hAnsi="Times New Roman" w:cs="Times New Roman"/>
          <w:i/>
          <w:sz w:val="24"/>
          <w:szCs w:val="24"/>
        </w:rPr>
      </w:pPr>
    </w:p>
    <w:p w:rsidR="00880F7F" w:rsidRDefault="00CF1360">
      <w:pPr>
        <w:pStyle w:val="1"/>
        <w:rPr>
          <w:rFonts w:cs="Times New Roman"/>
          <w:sz w:val="24"/>
          <w:szCs w:val="24"/>
        </w:rPr>
      </w:pPr>
      <w:r>
        <w:rPr>
          <w:rFonts w:cs="Times New Roman"/>
          <w:sz w:val="24"/>
          <w:szCs w:val="24"/>
        </w:rPr>
        <w:t>Materials and methods</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Reagents and Materials</w:t>
      </w:r>
    </w:p>
    <w:p w:rsidR="00880F7F" w:rsidRDefault="00CF1360">
      <w:pPr>
        <w:widowControl/>
        <w:spacing w:line="360" w:lineRule="auto"/>
        <w:rPr>
          <w:rFonts w:ascii="Times New Roman" w:hAnsi="Times New Roman" w:cs="Times New Roman"/>
          <w:sz w:val="24"/>
          <w:szCs w:val="28"/>
        </w:rPr>
      </w:pPr>
      <w:r>
        <w:rPr>
          <w:rFonts w:ascii="Times New Roman" w:hAnsi="Times New Roman" w:cs="Times New Roman"/>
          <w:sz w:val="24"/>
          <w:szCs w:val="28"/>
        </w:rPr>
        <w:t xml:space="preserve">IR780, curcumin, </w:t>
      </w:r>
      <w:proofErr w:type="spellStart"/>
      <w:r>
        <w:rPr>
          <w:rFonts w:ascii="Times New Roman" w:hAnsi="Times New Roman" w:cs="Times New Roman"/>
          <w:sz w:val="24"/>
          <w:szCs w:val="28"/>
        </w:rPr>
        <w:t>aminohexanoic</w:t>
      </w:r>
      <w:proofErr w:type="spellEnd"/>
      <w:r>
        <w:rPr>
          <w:rFonts w:ascii="Times New Roman" w:hAnsi="Times New Roman" w:cs="Times New Roman"/>
          <w:sz w:val="24"/>
          <w:szCs w:val="28"/>
        </w:rPr>
        <w:t xml:space="preserve"> acid, TPGS, and </w:t>
      </w:r>
      <w:proofErr w:type="spellStart"/>
      <w:r>
        <w:rPr>
          <w:rFonts w:ascii="Times New Roman" w:hAnsi="Times New Roman" w:cs="Times New Roman"/>
          <w:sz w:val="24"/>
          <w:szCs w:val="28"/>
        </w:rPr>
        <w:t>dithiodipropionic</w:t>
      </w:r>
      <w:proofErr w:type="spellEnd"/>
      <w:r>
        <w:rPr>
          <w:rFonts w:ascii="Times New Roman" w:hAnsi="Times New Roman" w:cs="Times New Roman"/>
          <w:sz w:val="24"/>
          <w:szCs w:val="28"/>
        </w:rPr>
        <w:t xml:space="preserve"> acid were obtained from</w:t>
      </w:r>
      <w:r>
        <w:rPr>
          <w:rFonts w:ascii="Times New Roman" w:hAnsi="Times New Roman" w:cs="Times New Roman" w:hint="eastAsia"/>
          <w:sz w:val="24"/>
          <w:szCs w:val="28"/>
        </w:rPr>
        <w:t xml:space="preserve"> J&amp;K Scientific</w:t>
      </w:r>
      <w:r>
        <w:rPr>
          <w:rFonts w:ascii="Times New Roman" w:hAnsi="Times New Roman" w:cs="Times New Roman"/>
          <w:sz w:val="24"/>
          <w:szCs w:val="28"/>
        </w:rPr>
        <w:t>. Sigma-Aldrich. DSPE-PEG-Biotin was obtained from</w:t>
      </w:r>
      <w:r>
        <w:rPr>
          <w:rFonts w:ascii="Times New Roman" w:hAnsi="Times New Roman" w:cs="Times New Roman" w:hint="eastAsia"/>
          <w:sz w:val="24"/>
          <w:szCs w:val="28"/>
        </w:rPr>
        <w:t xml:space="preserve"> </w:t>
      </w:r>
      <w:r>
        <w:rPr>
          <w:rFonts w:ascii="Times New Roman" w:hAnsi="Times New Roman" w:cs="Times New Roman" w:hint="eastAsia"/>
          <w:sz w:val="24"/>
          <w:szCs w:val="28"/>
        </w:rPr>
        <w:lastRenderedPageBreak/>
        <w:t>J&amp;K Scientific</w:t>
      </w:r>
      <w:r>
        <w:rPr>
          <w:rFonts w:ascii="Times New Roman" w:hAnsi="Times New Roman" w:cs="Times New Roman"/>
          <w:sz w:val="24"/>
          <w:szCs w:val="28"/>
        </w:rPr>
        <w:t>. N, N-Dimethylformamide, N-</w:t>
      </w:r>
      <w:proofErr w:type="spellStart"/>
      <w:r>
        <w:rPr>
          <w:rFonts w:ascii="Times New Roman" w:hAnsi="Times New Roman" w:cs="Times New Roman"/>
          <w:sz w:val="24"/>
          <w:szCs w:val="28"/>
        </w:rPr>
        <w:t>hydroxysuccinimide</w:t>
      </w:r>
      <w:proofErr w:type="spellEnd"/>
      <w:r>
        <w:rPr>
          <w:rFonts w:ascii="Times New Roman" w:hAnsi="Times New Roman" w:cs="Times New Roman"/>
          <w:sz w:val="24"/>
          <w:szCs w:val="28"/>
        </w:rPr>
        <w:t xml:space="preserve"> (NHS), 1-ethyl-3-(3-dimethylaminopropyl) carbodiimide hydrochloride (EDCI), and 4-dimethylaminopyridine (DMAP) were purchased from Aladdin Reagent Co. MTT and crystal violet were acquired from Millipore Sigma. DAPI was sourced from Invitrogen. Ethanol and sodium chloride injection solutions were provided by Sichuan </w:t>
      </w:r>
      <w:proofErr w:type="spellStart"/>
      <w:r>
        <w:rPr>
          <w:rFonts w:ascii="Times New Roman" w:hAnsi="Times New Roman" w:cs="Times New Roman"/>
          <w:sz w:val="24"/>
          <w:szCs w:val="28"/>
        </w:rPr>
        <w:t>Kelun</w:t>
      </w:r>
      <w:proofErr w:type="spellEnd"/>
      <w:r>
        <w:rPr>
          <w:rFonts w:ascii="Times New Roman" w:hAnsi="Times New Roman" w:cs="Times New Roman"/>
          <w:sz w:val="24"/>
          <w:szCs w:val="28"/>
        </w:rPr>
        <w:t xml:space="preserve"> Pharmaceutical Co., Ltd.</w:t>
      </w:r>
      <w:r>
        <w:rPr>
          <w:rFonts w:ascii="Times New Roman" w:hAnsi="Times New Roman" w:cs="Times New Roman" w:hint="eastAsia"/>
          <w:sz w:val="24"/>
          <w:szCs w:val="28"/>
        </w:rPr>
        <w:t xml:space="preserve"> </w:t>
      </w:r>
      <w:r>
        <w:rPr>
          <w:rFonts w:ascii="Times New Roman" w:hAnsi="Times New Roman" w:cs="Times New Roman"/>
          <w:sz w:val="24"/>
          <w:shd w:val="clear" w:color="auto" w:fill="FFFFFF"/>
        </w:rPr>
        <w:t xml:space="preserve">AMC-HN-8 and SCC7 cells were supplied from Shanghai </w:t>
      </w:r>
      <w:proofErr w:type="spellStart"/>
      <w:r>
        <w:rPr>
          <w:rFonts w:ascii="Times New Roman" w:hAnsi="Times New Roman" w:cs="Times New Roman"/>
          <w:sz w:val="24"/>
          <w:shd w:val="clear" w:color="auto" w:fill="FFFFFF"/>
        </w:rPr>
        <w:t>QuiCell</w:t>
      </w:r>
      <w:proofErr w:type="spellEnd"/>
      <w:r>
        <w:rPr>
          <w:rFonts w:ascii="Times New Roman" w:hAnsi="Times New Roman" w:cs="Times New Roman"/>
          <w:sz w:val="24"/>
          <w:shd w:val="clear" w:color="auto" w:fill="FFFFFF"/>
        </w:rPr>
        <w:t xml:space="preserve"> Biotechnology Co., Ltd. &amp;Technology </w:t>
      </w:r>
      <w:proofErr w:type="spellStart"/>
      <w:proofErr w:type="gramStart"/>
      <w:r>
        <w:rPr>
          <w:rFonts w:ascii="Times New Roman" w:hAnsi="Times New Roman" w:cs="Times New Roman"/>
          <w:sz w:val="24"/>
          <w:shd w:val="clear" w:color="auto" w:fill="FFFFFF"/>
        </w:rPr>
        <w:t>Co.,Ltd</w:t>
      </w:r>
      <w:proofErr w:type="spellEnd"/>
      <w:r>
        <w:rPr>
          <w:rFonts w:ascii="Times New Roman" w:hAnsi="Times New Roman" w:cs="Times New Roman"/>
          <w:sz w:val="24"/>
          <w:shd w:val="clear" w:color="auto" w:fill="FFFFFF"/>
        </w:rPr>
        <w:t>.</w:t>
      </w:r>
      <w:proofErr w:type="gramEnd"/>
      <w:r>
        <w:rPr>
          <w:rFonts w:ascii="Times New Roman" w:hAnsi="Times New Roman" w:cs="Times New Roman" w:hint="eastAsia"/>
          <w:sz w:val="24"/>
          <w:shd w:val="clear" w:color="auto" w:fill="FFFFFF"/>
        </w:rPr>
        <w:t xml:space="preserve"> </w:t>
      </w:r>
      <w:r>
        <w:rPr>
          <w:rFonts w:ascii="Times New Roman" w:hAnsi="Times New Roman" w:cs="Times New Roman"/>
          <w:sz w:val="24"/>
          <w:szCs w:val="28"/>
        </w:rPr>
        <w:t xml:space="preserve">The following assay kits were supplied by </w:t>
      </w:r>
      <w:proofErr w:type="spellStart"/>
      <w:r>
        <w:rPr>
          <w:rFonts w:ascii="Times New Roman" w:hAnsi="Times New Roman" w:cs="Times New Roman"/>
          <w:sz w:val="24"/>
          <w:szCs w:val="28"/>
        </w:rPr>
        <w:t>Beyotime</w:t>
      </w:r>
      <w:proofErr w:type="spellEnd"/>
      <w:r>
        <w:rPr>
          <w:rFonts w:ascii="Times New Roman" w:hAnsi="Times New Roman" w:cs="Times New Roman"/>
          <w:sz w:val="24"/>
          <w:szCs w:val="28"/>
        </w:rPr>
        <w:t xml:space="preserve"> Biotechnology: ROS detection kit (catalog number: S0033S), live/dead cell viability kit (catalog number: C2015M), TUNEL apoptosis detection kit (catalog number: C1086), lipid peroxidation MDA assay kit (catalog number: S0131S), and GSH/GSSG detection kit (catalog number: S0053). Annexin V-FITC/PI apoptosis detection kit (40302ES) was obtained from </w:t>
      </w:r>
      <w:proofErr w:type="spellStart"/>
      <w:r>
        <w:rPr>
          <w:rFonts w:ascii="Times New Roman" w:hAnsi="Times New Roman" w:cs="Times New Roman"/>
          <w:sz w:val="24"/>
          <w:szCs w:val="28"/>
        </w:rPr>
        <w:t>Yeasen</w:t>
      </w:r>
      <w:proofErr w:type="spellEnd"/>
      <w:r>
        <w:rPr>
          <w:rFonts w:ascii="Times New Roman" w:hAnsi="Times New Roman" w:cs="Times New Roman"/>
          <w:sz w:val="24"/>
          <w:szCs w:val="28"/>
        </w:rPr>
        <w:t>.</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Mouse IL-2 and TNF-α enzyme-linked immunosorbent assay (ELISA) kits (EK202/2-01 and GEM0004, respectively) were acquired from </w:t>
      </w:r>
      <w:proofErr w:type="spellStart"/>
      <w:r>
        <w:rPr>
          <w:rFonts w:ascii="Times New Roman" w:hAnsi="Times New Roman" w:cs="Times New Roman"/>
          <w:sz w:val="24"/>
          <w:szCs w:val="28"/>
        </w:rPr>
        <w:t>Elabscience</w:t>
      </w:r>
      <w:proofErr w:type="spellEnd"/>
      <w:r>
        <w:rPr>
          <w:rFonts w:ascii="Times New Roman" w:hAnsi="Times New Roman" w:cs="Times New Roman"/>
          <w:sz w:val="24"/>
          <w:szCs w:val="28"/>
        </w:rPr>
        <w:t>. Anti-GPX4 (ab219592), anti-CRT (Ab92516), and anti-HMGB1 (ab79823) antibodies were sourced from Abcam. ZEB1 (E2G6Y), Nanog (1E6C4), C-</w:t>
      </w:r>
      <w:proofErr w:type="spellStart"/>
      <w:r>
        <w:rPr>
          <w:rFonts w:ascii="Times New Roman" w:hAnsi="Times New Roman" w:cs="Times New Roman"/>
          <w:sz w:val="24"/>
          <w:szCs w:val="28"/>
        </w:rPr>
        <w:t>Myc</w:t>
      </w:r>
      <w:proofErr w:type="spellEnd"/>
      <w:r>
        <w:rPr>
          <w:rFonts w:ascii="Times New Roman" w:hAnsi="Times New Roman" w:cs="Times New Roman"/>
          <w:sz w:val="24"/>
          <w:szCs w:val="28"/>
        </w:rPr>
        <w:t xml:space="preserve"> (E5Q6W), and HSP70 (4872T) antibodies were purchased from Cell Signaling Technology. Anti-SOD1 (SC11407) and anti-β-actin (sc-47778) antibodies were obtained from Santa Cruz Biotechnology.</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 xml:space="preserve">The preparation of </w:t>
      </w:r>
      <w:proofErr w:type="spellStart"/>
      <w:r>
        <w:rPr>
          <w:rFonts w:ascii="Times New Roman Bold" w:hAnsi="Times New Roman Bold" w:cs="Times New Roman Bold"/>
          <w:sz w:val="24"/>
          <w:szCs w:val="24"/>
        </w:rPr>
        <w:t>Biotin@P-Cur</w:t>
      </w:r>
      <w:proofErr w:type="spellEnd"/>
      <w:r>
        <w:rPr>
          <w:rFonts w:ascii="Times New Roman Bold" w:hAnsi="Times New Roman Bold" w:cs="Times New Roman Bold"/>
          <w:sz w:val="24"/>
          <w:szCs w:val="24"/>
        </w:rPr>
        <w:t>/T780 NPs</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Synthesis of IR780-TPGS (T780)</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The synthesis of IR780-TPGS (T780) begins with the attachment of carboxyl groups to IR780. IR780, 6-aminohexanoic acid, and TEA (dissolved in anhydrous DMF, molar ratio 1:2:4) were sequentially added to a 50 mL round-bottom flask and stirred at 85°C under nitrogen atmosphere and aluminum foil shielding (500 rpm) for 4 hours. After completion of the reaction, the solvent (anhydrous DMF) was removed by rotary evaporation, yielding the crude product IR780-carboxylic acid (IR780-COOH), which was purified by silica gel column chromatography. The purified IR780-COOH was scraped and weighed to determine its </w:t>
      </w:r>
      <w:r>
        <w:rPr>
          <w:rFonts w:ascii="Times New Roman" w:hAnsi="Times New Roman" w:cs="Times New Roman"/>
          <w:sz w:val="24"/>
          <w:szCs w:val="28"/>
        </w:rPr>
        <w:lastRenderedPageBreak/>
        <w:t>molar mass.</w:t>
      </w:r>
      <w:r>
        <w:rPr>
          <w:rFonts w:ascii="Times New Roman" w:hAnsi="Times New Roman" w:cs="Times New Roman" w:hint="eastAsia"/>
          <w:sz w:val="24"/>
          <w:szCs w:val="28"/>
        </w:rPr>
        <w:t xml:space="preserve"> </w:t>
      </w:r>
      <w:r>
        <w:rPr>
          <w:rFonts w:ascii="Times New Roman" w:hAnsi="Times New Roman" w:cs="Times New Roman"/>
          <w:sz w:val="24"/>
          <w:szCs w:val="28"/>
        </w:rPr>
        <w:t>Subsequently, purified IR780-OH (1 equivalent molar mass), NHS, EDCI, and DMAP (dissolved in anhydrous DMF, molar ratio 1:2:2:2) were sequentially added to a 50 mL round-bottom flask and stirred at 0°C under nitrogen atmosphere and aluminum foil shielding (500 rpm) for 30 minutes. TPGS was sonicated to dissolve in anhydrous DMF and then added to the reaction mixture, which was stirred at room temperature under nitrogen atmosphere and aluminum foil shielding (500 rpm) for 48 hours. After the reaction, the mixture was dialyzed against DMF and water using a 1000 Da dialysis bag. The final product was obtained as a blue solid after freeze-drying, referred to as T780.</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Synthesis of </w:t>
      </w:r>
      <w:r>
        <w:rPr>
          <w:rFonts w:ascii="Times New Roman" w:hAnsi="Times New Roman" w:cs="Times New Roman"/>
          <w:sz w:val="24"/>
          <w:szCs w:val="24"/>
        </w:rPr>
        <w:t>P-Cur</w:t>
      </w:r>
      <w:r>
        <w:rPr>
          <w:rFonts w:ascii="Times New Roman" w:hAnsi="Times New Roman" w:cs="Times New Roman"/>
          <w:sz w:val="24"/>
          <w:szCs w:val="28"/>
        </w:rPr>
        <w:t>:</w:t>
      </w:r>
      <w:r>
        <w:t xml:space="preserve"> </w:t>
      </w:r>
      <w:r>
        <w:rPr>
          <w:rFonts w:ascii="Times New Roman" w:hAnsi="Times New Roman" w:cs="Times New Roman"/>
          <w:sz w:val="24"/>
          <w:szCs w:val="28"/>
        </w:rPr>
        <w:t xml:space="preserve">The synthesis of P-Cur was carried out as follows: 3,3'-dithiodipropionic acid (0.238 mmol, 50 mg) was dissolved in 5 mL of DMF and stirred under nitrogen protection for 5 minutes in a round-bottom flask. The carboxyl groups were then activated in an ice bath for 6 hours by adding DMAP (0.954 mmol, 116.3 mg), NHS (0.954 mmol, 109.56 mg), and EDCI (0.954 mmol, 183.5 mg). After activation, curcumin (0.2856 mmol, 105.21 mg) was added at room temperature, and the mixture was stirred for an additional 24 to 48 hours. Upon completion, a small aliquot of the product was dissolved in DMF and analyzed by thin-layer chromatography (TLC) to confirm the formation of the desired product. The reaction mixture was then subjected to dialysis using a 1000 Da dialysis bag in methanol or ethanol, with the dialysis solvent replaced every 2 hours until the methanol became colorless. The dialyzed product was then thoroughly washed with water, frozen at -20°C for 24 hours, transferred to -80°C for further storage, and finally freeze-dried into a powder using a </w:t>
      </w:r>
      <w:bookmarkStart w:id="6" w:name="OLE_LINK95"/>
      <w:proofErr w:type="spellStart"/>
      <w:r>
        <w:rPr>
          <w:rFonts w:ascii="Times New Roman" w:hAnsi="Times New Roman" w:cs="Times New Roman"/>
          <w:sz w:val="24"/>
          <w:szCs w:val="28"/>
        </w:rPr>
        <w:t>lyophilizer</w:t>
      </w:r>
      <w:bookmarkEnd w:id="6"/>
      <w:proofErr w:type="spellEnd"/>
      <w:r>
        <w:rPr>
          <w:rFonts w:ascii="Times New Roman" w:hAnsi="Times New Roman" w:cs="Times New Roman"/>
          <w:sz w:val="24"/>
          <w:szCs w:val="28"/>
        </w:rPr>
        <w:t>.</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Synthesis of</w:t>
      </w:r>
      <w:r>
        <w:rPr>
          <w:rFonts w:ascii="Times New Roman" w:hAnsi="Times New Roman" w:cs="Times New Roman" w:hint="eastAsia"/>
          <w:sz w:val="24"/>
          <w:szCs w:val="28"/>
        </w:rPr>
        <w:t xml:space="preserve"> </w:t>
      </w:r>
      <w:proofErr w:type="spellStart"/>
      <w:r>
        <w:rPr>
          <w:rFonts w:ascii="Times New Roman" w:hAnsi="Times New Roman" w:cs="Times New Roman"/>
          <w:sz w:val="24"/>
          <w:szCs w:val="24"/>
        </w:rPr>
        <w:t>Biotin@P-Cur</w:t>
      </w:r>
      <w:proofErr w:type="spellEnd"/>
      <w:r>
        <w:rPr>
          <w:rFonts w:ascii="Times New Roman" w:hAnsi="Times New Roman" w:cs="Times New Roman"/>
          <w:sz w:val="24"/>
          <w:szCs w:val="24"/>
        </w:rPr>
        <w:t>/T780 NPs</w:t>
      </w:r>
      <w:r>
        <w:rPr>
          <w:rFonts w:ascii="Times New Roman" w:hAnsi="Times New Roman" w:cs="Times New Roman"/>
          <w:sz w:val="24"/>
          <w:szCs w:val="28"/>
        </w:rPr>
        <w:t>:</w:t>
      </w:r>
      <w:r>
        <w:t xml:space="preserve"> </w:t>
      </w:r>
      <w:r>
        <w:rPr>
          <w:rFonts w:ascii="Times New Roman" w:hAnsi="Times New Roman" w:cs="Times New Roman"/>
          <w:sz w:val="24"/>
          <w:szCs w:val="28"/>
        </w:rPr>
        <w:t xml:space="preserve">The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 xml:space="preserve">/T780 NPs were prepared using a combination of thin-film dispersion and ultrasonic dispersion methods. In brief, T820 and P-Cur were dissolved in methanol and subjected to ultrasonic dispersion. The solvent was then removed by rotary evaporation to obtain P-Cur/T780 NPs, with hydrogen bonding and π-π stacking playing a crucial role in the process. The resulting mixture was subsequently dispersed ultrasonically in 5 mL of deionized water and mixed with a DSPE-PEG-Biotin aqueous solution, utilizing electrostatic adsorption for </w:t>
      </w:r>
      <w:r>
        <w:rPr>
          <w:rFonts w:ascii="Times New Roman" w:hAnsi="Times New Roman" w:cs="Times New Roman"/>
          <w:sz w:val="24"/>
          <w:szCs w:val="28"/>
        </w:rPr>
        <w:lastRenderedPageBreak/>
        <w:t>self-assembly. Gentle stirring was carried out at room temperature for 1-2 hours to ensure thorough binding. Following this, the reaction mixture was transferred to a centrifuge tube and centrifuged (typically at 4°C, 3000-12000 rpm for 10-30 minutes) to separate the nanoparticles from the unbound biotin. The supernatant was discarded, and the precipitated nanoparticles were retained.</w:t>
      </w:r>
    </w:p>
    <w:p w:rsidR="00880F7F" w:rsidRDefault="00CF1360">
      <w:pPr>
        <w:pStyle w:val="1"/>
        <w:rPr>
          <w:rFonts w:ascii="Times New Roman Bold" w:hAnsi="Times New Roman Bold" w:cs="Times New Roman Bold"/>
          <w:sz w:val="24"/>
          <w:szCs w:val="24"/>
        </w:rPr>
      </w:pPr>
      <w:bookmarkStart w:id="7" w:name="_Hlk175157667"/>
      <w:r>
        <w:rPr>
          <w:rFonts w:ascii="Times New Roman Bold" w:hAnsi="Times New Roman Bold" w:cs="Times New Roman Bold"/>
          <w:sz w:val="24"/>
          <w:szCs w:val="24"/>
        </w:rPr>
        <w:t xml:space="preserve">The characteristics of </w:t>
      </w:r>
      <w:proofErr w:type="spellStart"/>
      <w:r>
        <w:rPr>
          <w:rFonts w:ascii="Times New Roman Bold" w:hAnsi="Times New Roman Bold" w:cs="Times New Roman Bold"/>
          <w:sz w:val="24"/>
          <w:szCs w:val="24"/>
        </w:rPr>
        <w:t>Biotin@P-Cur</w:t>
      </w:r>
      <w:proofErr w:type="spellEnd"/>
      <w:r>
        <w:rPr>
          <w:rFonts w:ascii="Times New Roman Bold" w:hAnsi="Times New Roman Bold" w:cs="Times New Roman Bold"/>
          <w:sz w:val="24"/>
          <w:szCs w:val="24"/>
        </w:rPr>
        <w:t>/T780 NPs</w:t>
      </w:r>
    </w:p>
    <w:bookmarkEnd w:id="7"/>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Zeta potential, particle size distribution, and morphology of the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 xml:space="preserve">/T780 nanoparticles were characterized using a nanoparticle tracking analyzer (NTA, PTM </w:t>
      </w:r>
      <w:proofErr w:type="spellStart"/>
      <w:r>
        <w:rPr>
          <w:rFonts w:ascii="Times New Roman" w:hAnsi="Times New Roman" w:cs="Times New Roman"/>
          <w:sz w:val="24"/>
          <w:szCs w:val="28"/>
        </w:rPr>
        <w:t>ZetaView</w:t>
      </w:r>
      <w:proofErr w:type="spellEnd"/>
      <w:r>
        <w:rPr>
          <w:rFonts w:ascii="Times New Roman" w:hAnsi="Times New Roman" w:cs="Times New Roman"/>
          <w:sz w:val="24"/>
          <w:szCs w:val="28"/>
        </w:rPr>
        <w:t xml:space="preserve">) and transmission electron microscopy (TEM, Hitachi HT7800, Sichuan University). The morphology of the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/T780 NPs was further analyzed via TEM (HT7800) at the Electron Microscopy Facility of the West China School of Basic Medical Sciences and Forensic Medicine, Sichuan University. The UV-Vis absorption spectra of the nanoparticles were recorded at room temperature using a UV-Vis spectrophotometer (UV2700, Shimadzu, Japan).</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Photothermal Performance In vitro</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temperature changes of 1 mL T780 solution, P-Cur/T780 NPs solution, and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 xml:space="preserve">/T780 NPs solution </w:t>
      </w:r>
      <w:proofErr w:type="gramStart"/>
      <w:r>
        <w:rPr>
          <w:rFonts w:ascii="Times New Roman" w:hAnsi="Times New Roman" w:cs="Times New Roman"/>
          <w:sz w:val="24"/>
          <w:szCs w:val="28"/>
        </w:rPr>
        <w:t>were</w:t>
      </w:r>
      <w:proofErr w:type="gramEnd"/>
      <w:r>
        <w:rPr>
          <w:rFonts w:ascii="Times New Roman" w:hAnsi="Times New Roman" w:cs="Times New Roman"/>
          <w:sz w:val="24"/>
          <w:szCs w:val="28"/>
        </w:rPr>
        <w:t xml:space="preserve"> monitored under 660 nm laser irradiation (1.0 W/cm²), while IR780 was irradiated with an 80</w:t>
      </w:r>
      <w:r>
        <w:rPr>
          <w:rFonts w:ascii="Times New Roman" w:hAnsi="Times New Roman" w:cs="Times New Roman" w:hint="eastAsia"/>
          <w:sz w:val="24"/>
          <w:szCs w:val="28"/>
        </w:rPr>
        <w:t>8</w:t>
      </w:r>
      <w:r>
        <w:rPr>
          <w:rFonts w:ascii="Times New Roman" w:hAnsi="Times New Roman" w:cs="Times New Roman"/>
          <w:sz w:val="24"/>
          <w:szCs w:val="28"/>
        </w:rPr>
        <w:t xml:space="preserve"> nm laser. The temperature variations were recorded over 5 minutes at 30-second intervals using a digital thermometer and an infrared thermal imaging camera.</w:t>
      </w:r>
    </w:p>
    <w:p w:rsidR="00880F7F" w:rsidRDefault="00CF1360">
      <w:pPr>
        <w:pStyle w:val="1"/>
        <w:rPr>
          <w:rFonts w:ascii="Times New Roman Bold" w:hAnsi="Times New Roman Bold" w:cs="Times New Roman Bold"/>
          <w:sz w:val="24"/>
          <w:szCs w:val="24"/>
        </w:rPr>
      </w:pPr>
      <w:bookmarkStart w:id="8" w:name="OLE_LINK98"/>
      <w:r>
        <w:rPr>
          <w:rFonts w:ascii="Times New Roman Bold" w:hAnsi="Times New Roman Bold" w:cs="Times New Roman Bold"/>
          <w:sz w:val="24"/>
          <w:szCs w:val="24"/>
        </w:rPr>
        <w:t>Evaluation of GSH-Dependent Nanoparticle Release Effect</w:t>
      </w:r>
    </w:p>
    <w:bookmarkEnd w:id="8"/>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In the presence of GSH, disulfide bonds are specifically cleaved, causing the nanoparticles to disintegrate and exert their effects at targeted sites. To assess this effect, </w:t>
      </w:r>
      <w:r>
        <w:rPr>
          <w:rFonts w:ascii="Times New Roman" w:hAnsi="Times New Roman" w:cs="Times New Roman"/>
          <w:sz w:val="24"/>
          <w:szCs w:val="28"/>
        </w:rPr>
        <w:lastRenderedPageBreak/>
        <w:t xml:space="preserve">the release of T780 from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 xml:space="preserve">/T780 NPs was measured using dialysis at 37°C under varying GSH concentrations.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/T780 NPs solution was placed in a dialysis bag with a molecular weight cutoff of 3500 Da and immersed in PBS containing 0.10% DMF (w/w) and different concentrations of GSH (0 mM or 10 mM, 40 mL). The solution was continuously stirred at 300 rpm at 37°C. At various time points, samples (1 mL) were collected and analyzed using a UV-Vis spectrophotometer. Additionally, the remaining solution was replenished with an equal volume (1 mL) of fresh medium.</w:t>
      </w:r>
    </w:p>
    <w:p w:rsidR="00880F7F" w:rsidRDefault="00CF1360">
      <w:pPr>
        <w:pStyle w:val="1"/>
        <w:rPr>
          <w:rFonts w:cs="Times New Roman"/>
          <w:b w:val="0"/>
          <w:bCs w:val="0"/>
          <w:sz w:val="24"/>
          <w:szCs w:val="24"/>
        </w:rPr>
      </w:pPr>
      <w:r>
        <w:rPr>
          <w:rFonts w:cs="Times New Roman"/>
          <w:b w:val="0"/>
          <w:bCs w:val="0"/>
          <w:sz w:val="24"/>
          <w:szCs w:val="24"/>
        </w:rPr>
        <w:t>4.6. Cell culture</w:t>
      </w:r>
    </w:p>
    <w:p w:rsidR="00880F7F" w:rsidRDefault="00CF1360">
      <w:pPr>
        <w:spacing w:line="360" w:lineRule="auto"/>
      </w:pPr>
      <w:r>
        <w:rPr>
          <w:rFonts w:ascii="Times New Roman" w:hAnsi="Times New Roman" w:cs="Times New Roman"/>
          <w:sz w:val="24"/>
          <w:szCs w:val="28"/>
        </w:rPr>
        <w:t xml:space="preserve">Human </w:t>
      </w:r>
      <w:r>
        <w:rPr>
          <w:rFonts w:ascii="Times New Roman" w:eastAsia="宋体" w:hAnsi="Times New Roman" w:cs="Times New Roman" w:hint="eastAsia"/>
          <w:sz w:val="24"/>
          <w:szCs w:val="28"/>
        </w:rPr>
        <w:t>head and neck cancer</w:t>
      </w:r>
      <w:r>
        <w:rPr>
          <w:rFonts w:ascii="Times New Roman" w:hAnsi="Times New Roman" w:cs="Times New Roman"/>
          <w:sz w:val="24"/>
          <w:szCs w:val="28"/>
        </w:rPr>
        <w:t xml:space="preserve"> cell line AMC-HN-8 and mouse </w:t>
      </w:r>
      <w:r>
        <w:rPr>
          <w:rFonts w:ascii="Times New Roman" w:eastAsia="宋体" w:hAnsi="Times New Roman" w:cs="Times New Roman" w:hint="eastAsia"/>
          <w:sz w:val="24"/>
          <w:szCs w:val="28"/>
        </w:rPr>
        <w:t>head and neck cancer</w:t>
      </w:r>
      <w:r>
        <w:rPr>
          <w:rFonts w:ascii="Times New Roman" w:hAnsi="Times New Roman" w:cs="Times New Roman"/>
          <w:sz w:val="24"/>
          <w:szCs w:val="28"/>
        </w:rPr>
        <w:t xml:space="preserve"> cell line SCC7 were used as tumor cell models. These cells were cultured in DMEM medium (Thermo Fisher Scientific) supplemented with 10% fetal bovine serum (Biological Industries), 100 U/mL streptomycin (</w:t>
      </w:r>
      <w:proofErr w:type="spellStart"/>
      <w:r>
        <w:rPr>
          <w:rFonts w:ascii="Times New Roman" w:hAnsi="Times New Roman" w:cs="Times New Roman"/>
          <w:sz w:val="24"/>
          <w:szCs w:val="28"/>
        </w:rPr>
        <w:t>HyClone</w:t>
      </w:r>
      <w:proofErr w:type="spellEnd"/>
      <w:r>
        <w:rPr>
          <w:rFonts w:ascii="Times New Roman" w:hAnsi="Times New Roman" w:cs="Times New Roman"/>
          <w:sz w:val="24"/>
          <w:szCs w:val="28"/>
        </w:rPr>
        <w:t>), and 100 U/mL penicillin-streptomycin. The cells were maintained at 37°C in a humidified incubator with 5% CO₂</w:t>
      </w:r>
      <w:r>
        <w:rPr>
          <w:rFonts w:ascii="Times New Roman" w:hAnsi="Times New Roman" w:cs="Times New Roman" w:hint="eastAsia"/>
          <w:sz w:val="24"/>
          <w:szCs w:val="28"/>
        </w:rPr>
        <w:t xml:space="preserve"> </w:t>
      </w:r>
      <w:r>
        <w:rPr>
          <w:rFonts w:ascii="Times New Roman" w:hAnsi="Times New Roman" w:cs="Times New Roman"/>
          <w:sz w:val="24"/>
          <w:szCs w:val="28"/>
        </w:rPr>
        <w:fldChar w:fldCharType="begin">
          <w:fldData xml:space="preserve">PEVuZE5vdGU+PENpdGU+PEF1dGhvcj5KaWFuZzwvQXV0aG9yPjxZZWFyPjIwMjM8L1llYXI+PFJl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PEVuZE5vdGU+PENpdGU+PEF1dGhvcj5KaWFuZzwvQXV0aG9yPjxZZWFyPjIwMjM8L1llYXI+PFJl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[15]</w:t>
      </w:r>
      <w:r>
        <w:rPr>
          <w:rFonts w:ascii="Times New Roman" w:hAnsi="Times New Roman" w:cs="Times New Roman"/>
          <w:sz w:val="24"/>
          <w:szCs w:val="28"/>
        </w:rPr>
        <w:fldChar w:fldCharType="end"/>
      </w:r>
      <w:r>
        <w:rPr>
          <w:rFonts w:ascii="Times New Roman" w:hAnsi="Times New Roman" w:cs="Times New Roman"/>
          <w:sz w:val="24"/>
          <w:szCs w:val="28"/>
        </w:rPr>
        <w:t>.</w:t>
      </w:r>
      <w:r>
        <w:t xml:space="preserve"> </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In vitro Cellular Uptake Analysis</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uptake of free IR780, T780, P-Cur/T780 NPs, and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/T780 NPs by cells at different time points was measured using a fluorescence inverted microscope (Nikon, Tokyo, Japan) and a flow cytometer (BD, FACS Celesta).</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In vitro Cytotoxicity and Proliferation Assays</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cytotoxicity of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 xml:space="preserve">/T780 NPs was assessed using the MTT assay. AMC-HN-8 and SCC7 cells were initially seeded into 96-well plates at a density of 4 × 10³ cells per well and incubated overnight. The cells were then treated with saline (as a control) and varying concentrations of Cur, P-Cur, T780, P-Cur/T780, and </w:t>
      </w:r>
      <w:proofErr w:type="spellStart"/>
      <w:r>
        <w:rPr>
          <w:rFonts w:ascii="Times New Roman" w:hAnsi="Times New Roman" w:cs="Times New Roman"/>
          <w:sz w:val="24"/>
          <w:szCs w:val="28"/>
        </w:rPr>
        <w:t>Biotin@P-</w:t>
      </w:r>
      <w:r>
        <w:rPr>
          <w:rFonts w:ascii="Times New Roman" w:hAnsi="Times New Roman" w:cs="Times New Roman"/>
          <w:sz w:val="24"/>
          <w:szCs w:val="28"/>
        </w:rPr>
        <w:lastRenderedPageBreak/>
        <w:t>Cur</w:t>
      </w:r>
      <w:proofErr w:type="spellEnd"/>
      <w:r>
        <w:rPr>
          <w:rFonts w:ascii="Times New Roman" w:hAnsi="Times New Roman" w:cs="Times New Roman"/>
          <w:sz w:val="24"/>
          <w:szCs w:val="28"/>
        </w:rPr>
        <w:t xml:space="preserve">/T780 NPs for 6 hours. After incubation, the supernatant was removed, and the cells were washed with PBS. Cells in the T780, P-Cur/T780, and </w:t>
      </w:r>
      <w:proofErr w:type="spellStart"/>
      <w:r>
        <w:rPr>
          <w:rFonts w:ascii="Times New Roman" w:hAnsi="Times New Roman" w:cs="Times New Roman"/>
          <w:sz w:val="24"/>
          <w:szCs w:val="28"/>
        </w:rPr>
        <w:t>Biotin@P-Cur</w:t>
      </w:r>
      <w:proofErr w:type="spellEnd"/>
      <w:r>
        <w:rPr>
          <w:rFonts w:ascii="Times New Roman" w:hAnsi="Times New Roman" w:cs="Times New Roman"/>
          <w:sz w:val="24"/>
          <w:szCs w:val="28"/>
        </w:rPr>
        <w:t>/T780 NPs groups were subsequently exposed to a 660 nm laser for 2 minutes (1.0 W/cm² power density) and incubated for an additional 24 hours.</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Apoptosis Evaluation: Cells were seeded at a density of 5 × 10⁴ per well in six-well plates and cultured overnight. Afterward, the cells were exposed to different interventions. Both floating and attached cell populations were harvested and incubated in 100 </w:t>
      </w:r>
      <w:proofErr w:type="spellStart"/>
      <w:r>
        <w:rPr>
          <w:rFonts w:ascii="Times New Roman" w:hAnsi="Times New Roman" w:cs="Times New Roman"/>
          <w:sz w:val="24"/>
          <w:szCs w:val="28"/>
        </w:rPr>
        <w:t>μL</w:t>
      </w:r>
      <w:proofErr w:type="spellEnd"/>
      <w:r>
        <w:rPr>
          <w:rFonts w:ascii="Times New Roman" w:hAnsi="Times New Roman" w:cs="Times New Roman"/>
          <w:sz w:val="24"/>
          <w:szCs w:val="28"/>
        </w:rPr>
        <w:t xml:space="preserve"> of binding buffer containing 5 </w:t>
      </w:r>
      <w:proofErr w:type="spellStart"/>
      <w:r>
        <w:rPr>
          <w:rFonts w:ascii="Times New Roman" w:hAnsi="Times New Roman" w:cs="Times New Roman"/>
          <w:sz w:val="24"/>
          <w:szCs w:val="28"/>
        </w:rPr>
        <w:t>μL</w:t>
      </w:r>
      <w:proofErr w:type="spellEnd"/>
      <w:r>
        <w:rPr>
          <w:rFonts w:ascii="Times New Roman" w:hAnsi="Times New Roman" w:cs="Times New Roman"/>
          <w:sz w:val="24"/>
          <w:szCs w:val="28"/>
        </w:rPr>
        <w:t xml:space="preserve"> of Annexin V-FITC and 10 </w:t>
      </w:r>
      <w:proofErr w:type="spellStart"/>
      <w:r>
        <w:rPr>
          <w:rFonts w:ascii="Times New Roman" w:hAnsi="Times New Roman" w:cs="Times New Roman"/>
          <w:sz w:val="24"/>
          <w:szCs w:val="28"/>
        </w:rPr>
        <w:t>μL</w:t>
      </w:r>
      <w:proofErr w:type="spellEnd"/>
      <w:r>
        <w:rPr>
          <w:rFonts w:ascii="Times New Roman" w:hAnsi="Times New Roman" w:cs="Times New Roman"/>
          <w:sz w:val="24"/>
          <w:szCs w:val="28"/>
        </w:rPr>
        <w:t xml:space="preserve"> of propidium iodide (PI) for 30 minutes. Fluorescence data were then collected using flow cytometry.</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To evaluate cell proliferation, a colony formation assay was conducted. In this assay, 500 cancer cells were cultured in 24-well plates and treated with the same dose of reagents for 4 hours. The cells were then rinsed with saline and exposed to either a 660 or 808 nm laser for 30 seconds (1.0 W/cm² power density). After one week, the cell colonies were fixed with 4% paraformaldehyde for 40 minutes, stained with 0.2% crystal violet (</w:t>
      </w:r>
      <w:proofErr w:type="spellStart"/>
      <w:r>
        <w:rPr>
          <w:rFonts w:ascii="Times New Roman" w:hAnsi="Times New Roman" w:cs="Times New Roman"/>
          <w:sz w:val="24"/>
          <w:szCs w:val="28"/>
        </w:rPr>
        <w:t>Beyotime</w:t>
      </w:r>
      <w:proofErr w:type="spellEnd"/>
      <w:r>
        <w:rPr>
          <w:rFonts w:ascii="Times New Roman" w:hAnsi="Times New Roman" w:cs="Times New Roman"/>
          <w:sz w:val="24"/>
          <w:szCs w:val="28"/>
        </w:rPr>
        <w:t>, C0121) at room temperature for 2 hours, and then washed several times with ultrapure water. Finally, the colonies were imaged, and the percentage of colony formation was quantified using ImageJ software.</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Assessment of Intracellular ROS Levels and Lipid Peroxidation</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The intracellular generation of ROS was visualized using the DCFH-DA assay (</w:t>
      </w:r>
      <w:proofErr w:type="spellStart"/>
      <w:r>
        <w:rPr>
          <w:rFonts w:ascii="Times New Roman" w:hAnsi="Times New Roman" w:cs="Times New Roman"/>
          <w:sz w:val="24"/>
          <w:szCs w:val="28"/>
        </w:rPr>
        <w:t>Beyotime</w:t>
      </w:r>
      <w:proofErr w:type="spellEnd"/>
      <w:r>
        <w:rPr>
          <w:rFonts w:ascii="Times New Roman" w:hAnsi="Times New Roman" w:cs="Times New Roman"/>
          <w:sz w:val="24"/>
          <w:szCs w:val="28"/>
        </w:rPr>
        <w:t>, S0033S). Cells were seeded into 6-well plates at a density of 3 × 10⁵ cells per well and incubated overnight. After the designated treatments, cells were harvested according to the manufacturer’s protocol and incubated with 10 µM DCFH-DA at 37°C for 20 minutes. Fluorescence intensity was then measured using both fluorescence microscopy and flow cytometry.</w:t>
      </w:r>
    </w:p>
    <w:p w:rsidR="00880F7F" w:rsidRDefault="00880F7F">
      <w:pPr>
        <w:spacing w:line="360" w:lineRule="auto"/>
        <w:rPr>
          <w:rFonts w:ascii="Times New Roman" w:hAnsi="Times New Roman" w:cs="Times New Roman"/>
          <w:sz w:val="24"/>
          <w:szCs w:val="28"/>
        </w:rPr>
      </w:pP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For the lipid peroxidation assay, AMC-HN-8 and SCC7 cells were seeded at a density of 2 × 10⁵ cells/mL on sterilized glass coverslips placed in 24-well plates and incubated </w:t>
      </w:r>
      <w:r>
        <w:rPr>
          <w:rFonts w:ascii="Times New Roman" w:hAnsi="Times New Roman" w:cs="Times New Roman"/>
          <w:sz w:val="24"/>
          <w:szCs w:val="28"/>
        </w:rPr>
        <w:lastRenderedPageBreak/>
        <w:t xml:space="preserve">overnight. Cells were treated according to the experimental protocol. After two washes with PBS, cells were stained with 10 µM C11-BODIPY 581/591 dye (Thermo Fisher Scientific, D3861) in serum-free medium at 37°C for 15 minutes. The cells were then washed twice with PBS and fixed with 4% paraformaldehyde for 2 hours. Fluorescence images were captured using a microscope (Nikon, Tokyo, Japan). A similar procedure was followed for cells in 6-well plates, which were subsequently </w:t>
      </w:r>
      <w:proofErr w:type="spellStart"/>
      <w:r>
        <w:rPr>
          <w:rFonts w:ascii="Times New Roman" w:hAnsi="Times New Roman" w:cs="Times New Roman"/>
          <w:sz w:val="24"/>
          <w:szCs w:val="28"/>
        </w:rPr>
        <w:t>trypsinized</w:t>
      </w:r>
      <w:proofErr w:type="spellEnd"/>
      <w:r>
        <w:rPr>
          <w:rFonts w:ascii="Times New Roman" w:hAnsi="Times New Roman" w:cs="Times New Roman"/>
          <w:sz w:val="24"/>
          <w:szCs w:val="28"/>
        </w:rPr>
        <w:t xml:space="preserve"> and collected for flow cytometry analysis.</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Total GSH Content Measurement</w:t>
      </w:r>
    </w:p>
    <w:p w:rsidR="00880F7F" w:rsidRDefault="00880F7F"/>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total </w:t>
      </w:r>
      <w:r>
        <w:rPr>
          <w:rFonts w:ascii="Times New Roman" w:eastAsia="宋体" w:hAnsi="Times New Roman" w:cs="Times New Roman" w:hint="eastAsia"/>
          <w:sz w:val="24"/>
          <w:szCs w:val="28"/>
        </w:rPr>
        <w:t>GSH</w:t>
      </w:r>
      <w:r>
        <w:rPr>
          <w:rFonts w:ascii="Times New Roman" w:hAnsi="Times New Roman" w:cs="Times New Roman"/>
          <w:sz w:val="24"/>
          <w:szCs w:val="28"/>
        </w:rPr>
        <w:t xml:space="preserve"> levels in AMC-HN-8 and SCC7 cells after various treatments were assessed using a commercial kit (</w:t>
      </w:r>
      <w:proofErr w:type="spellStart"/>
      <w:r>
        <w:rPr>
          <w:rFonts w:ascii="Times New Roman" w:hAnsi="Times New Roman" w:cs="Times New Roman"/>
          <w:sz w:val="24"/>
          <w:szCs w:val="28"/>
        </w:rPr>
        <w:t>Beyotime</w:t>
      </w:r>
      <w:proofErr w:type="spellEnd"/>
      <w:r>
        <w:rPr>
          <w:rFonts w:ascii="Times New Roman" w:hAnsi="Times New Roman" w:cs="Times New Roman"/>
          <w:sz w:val="24"/>
          <w:szCs w:val="28"/>
        </w:rPr>
        <w:t xml:space="preserve"> Biotechnology, China) following the manufacturer's protocol.</w:t>
      </w:r>
    </w:p>
    <w:p w:rsidR="00880F7F" w:rsidRDefault="00CF1360">
      <w:pPr>
        <w:pStyle w:val="1"/>
        <w:rPr>
          <w:rFonts w:ascii="Times New Roman Bold" w:hAnsi="Times New Roman Bold" w:cs="Times New Roman Bold"/>
          <w:sz w:val="24"/>
          <w:szCs w:val="24"/>
        </w:rPr>
      </w:pPr>
      <w:bookmarkStart w:id="9" w:name="OLE_LINK100"/>
      <w:bookmarkStart w:id="10" w:name="OLE_LINK101"/>
      <w:r>
        <w:rPr>
          <w:rFonts w:ascii="Times New Roman Bold" w:hAnsi="Times New Roman Bold" w:cs="Times New Roman Bold"/>
          <w:sz w:val="24"/>
          <w:szCs w:val="24"/>
        </w:rPr>
        <w:t>Immunoblotting</w:t>
      </w:r>
      <w:bookmarkEnd w:id="9"/>
    </w:p>
    <w:bookmarkEnd w:id="10"/>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Western blot analysis was carried out according to established protocols as previously described</w:t>
      </w:r>
      <w:r>
        <w:rPr>
          <w:rFonts w:ascii="Times New Roman" w:hAnsi="Times New Roman" w:cs="Times New Roman" w:hint="eastAsia"/>
          <w:sz w:val="24"/>
          <w:szCs w:val="28"/>
        </w:rPr>
        <w:t xml:space="preserve"> </w:t>
      </w:r>
      <w:r>
        <w:rPr>
          <w:rFonts w:ascii="Times New Roman" w:hAnsi="Times New Roman" w:cs="Times New Roman"/>
          <w:sz w:val="24"/>
          <w:szCs w:val="28"/>
        </w:rPr>
        <w:fldChar w:fldCharType="begin">
          <w:fldData xml:space="preserve">PEVuZE5vdGU+PENpdGU+PEF1dGhvcj5KaWFuZzwvQXV0aG9yPjxZZWFyPjIwMjM8L1llYXI+PFJl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8"/>
        </w:rPr>
        <w:instrText xml:space="preserve"> ADDIN EN.CITE </w:instrText>
      </w:r>
      <w:r>
        <w:rPr>
          <w:rFonts w:ascii="Times New Roman" w:hAnsi="Times New Roman" w:cs="Times New Roman"/>
          <w:sz w:val="24"/>
          <w:szCs w:val="28"/>
        </w:rPr>
        <w:fldChar w:fldCharType="begin">
          <w:fldData xml:space="preserve">PEVuZE5vdGU+PENpdGU+PEF1dGhvcj5KaWFuZzwvQXV0aG9yPjxZZWFyPjIwMjM8L1llYXI+PFJl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</w:fldData>
        </w:fldChar>
      </w:r>
      <w:r>
        <w:rPr>
          <w:rFonts w:ascii="Times New Roman" w:hAnsi="Times New Roman" w:cs="Times New Roman"/>
          <w:sz w:val="24"/>
          <w:szCs w:val="28"/>
        </w:rPr>
        <w:instrText xml:space="preserve"> ADDIN EN.CITE.DATA </w:instrText>
      </w:r>
      <w:r>
        <w:rPr>
          <w:rFonts w:ascii="Times New Roman" w:hAnsi="Times New Roman" w:cs="Times New Roman"/>
          <w:sz w:val="24"/>
          <w:szCs w:val="28"/>
        </w:rPr>
      </w:r>
      <w:r>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Pr>
          <w:rFonts w:ascii="Times New Roman" w:hAnsi="Times New Roman" w:cs="Times New Roman"/>
          <w:sz w:val="24"/>
          <w:szCs w:val="28"/>
        </w:rPr>
        <w:t>[15]</w:t>
      </w:r>
      <w:r>
        <w:rPr>
          <w:rFonts w:ascii="Times New Roman" w:hAnsi="Times New Roman" w:cs="Times New Roman"/>
          <w:sz w:val="24"/>
          <w:szCs w:val="28"/>
        </w:rPr>
        <w:fldChar w:fldCharType="end"/>
      </w:r>
      <w:r>
        <w:rPr>
          <w:rFonts w:ascii="Times New Roman" w:hAnsi="Times New Roman" w:cs="Times New Roman"/>
          <w:sz w:val="24"/>
          <w:szCs w:val="28"/>
        </w:rPr>
        <w:t xml:space="preserve">. </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 xml:space="preserve"> Non-Adherent </w:t>
      </w:r>
      <w:r>
        <w:rPr>
          <w:rFonts w:ascii="Times New Roman Bold" w:eastAsia="宋体" w:hAnsi="Times New Roman Bold" w:cs="Times New Roman Bold"/>
          <w:sz w:val="24"/>
          <w:szCs w:val="28"/>
        </w:rPr>
        <w:t>Head and neck Cancer</w:t>
      </w:r>
      <w:r>
        <w:rPr>
          <w:rFonts w:ascii="Times New Roman Bold" w:hAnsi="Times New Roman Bold" w:cs="Times New Roman Bold"/>
          <w:sz w:val="24"/>
          <w:szCs w:val="24"/>
        </w:rPr>
        <w:t xml:space="preserve"> Sphere Formation Assay</w:t>
      </w:r>
    </w:p>
    <w:p w:rsidR="00880F7F" w:rsidRDefault="00CF1360">
      <w:pPr>
        <w:pStyle w:val="a7"/>
        <w:spacing w:line="360" w:lineRule="auto"/>
        <w:jc w:val="both"/>
        <w:rPr>
          <w:rFonts w:ascii="Times New Roman" w:hAnsi="Times New Roman" w:cs="Times New Roman"/>
        </w:rPr>
      </w:pPr>
      <w:r>
        <w:rPr>
          <w:rFonts w:ascii="Times New Roman" w:hAnsi="Times New Roman" w:cs="Times New Roman"/>
        </w:rPr>
        <w:t xml:space="preserve">This assay is employed to investigate the biological characteristics of OSCC stem cells and their role in the initiation and progression of </w:t>
      </w:r>
      <w:r>
        <w:rPr>
          <w:rFonts w:ascii="Times New Roman" w:hAnsi="Times New Roman" w:cs="Times New Roman"/>
          <w:szCs w:val="28"/>
        </w:rPr>
        <w:t>head and neck cancer</w:t>
      </w:r>
      <w:r>
        <w:rPr>
          <w:rFonts w:ascii="Times New Roman" w:hAnsi="Times New Roman" w:cs="Times New Roman"/>
        </w:rPr>
        <w:t xml:space="preserve">. It also evaluates the impact of various drugs on the function and differentiation of OSCC stem cells. Cells are seeded into six-well plates containing 1% agar at a density of 10³ cells per well and cultured in serum-free medium for 7 days. Subsequently, the cells are treated with Cur, P-Cur, T780, P-Cur/T780, and </w:t>
      </w:r>
      <w:proofErr w:type="spellStart"/>
      <w:r>
        <w:rPr>
          <w:rFonts w:ascii="Times New Roman" w:hAnsi="Times New Roman" w:cs="Times New Roman"/>
        </w:rPr>
        <w:t>Biotin@P-Cur</w:t>
      </w:r>
      <w:proofErr w:type="spellEnd"/>
      <w:r>
        <w:rPr>
          <w:rFonts w:ascii="Times New Roman" w:hAnsi="Times New Roman" w:cs="Times New Roman"/>
        </w:rPr>
        <w:t xml:space="preserve">/T780 NPs for 6 hours, with PBS serving as the control. After an additional 72 hours of incubation, bright-field images of the tumor spheres are captured using a fluorescent inverted microscope </w:t>
      </w:r>
      <w:r>
        <w:rPr>
          <w:rFonts w:ascii="Times New Roman" w:hAnsi="Times New Roman" w:cs="Times New Roman"/>
        </w:rPr>
        <w:lastRenderedPageBreak/>
        <w:t xml:space="preserve">(Nikon, Tokyo, Japan). The </w:t>
      </w:r>
      <w:proofErr w:type="spellStart"/>
      <w:r>
        <w:rPr>
          <w:rFonts w:ascii="Times New Roman" w:hAnsi="Times New Roman" w:cs="Times New Roman"/>
        </w:rPr>
        <w:t>mammosphere</w:t>
      </w:r>
      <w:proofErr w:type="spellEnd"/>
      <w:r>
        <w:rPr>
          <w:rFonts w:ascii="Times New Roman" w:hAnsi="Times New Roman" w:cs="Times New Roman"/>
        </w:rPr>
        <w:t xml:space="preserve"> formation efficiency (MFE) is calculated using ImageJ software.</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ATP Release Assay</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An ATP detection kit was employed to measure the released ATP. Cells were seeded into 96-well plates at a density of 1 × 10⁴ cells per well. Following the specified intervention, cell supernatants were collected and subjected to further processing. Subsequently, 20 µL of the supernatant was combined with 100 µL of the working solution, and the fluorescence intensity of ATP was measured using a 96-well fluorescent microplate reader.</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TNF-α and IL-2 detection assay.</w:t>
      </w:r>
    </w:p>
    <w:p w:rsidR="00880F7F" w:rsidRDefault="00CF1360">
      <w:pPr>
        <w:spacing w:line="360" w:lineRule="auto"/>
        <w:rPr>
          <w:rFonts w:ascii="Times New Roman Regular" w:hAnsi="Times New Roman Regular" w:cs="Times New Roman Regular"/>
          <w:sz w:val="24"/>
          <w:szCs w:val="24"/>
        </w:rPr>
      </w:pPr>
      <w:r>
        <w:rPr>
          <w:rFonts w:ascii="Times New Roman Regular" w:hAnsi="Times New Roman Regular" w:cs="Times New Roman Regular"/>
          <w:sz w:val="24"/>
          <w:szCs w:val="24"/>
        </w:rPr>
        <w:t>The secretion levels of TNF-α and IL-2 in cell supernatants and mouse serum were measured using ELISA kits provided by Lianke Bio Co., Ltd.</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 xml:space="preserve"> Animal Experiments</w:t>
      </w:r>
    </w:p>
    <w:p w:rsidR="00880F7F" w:rsidRDefault="00CF1360">
      <w:pPr>
        <w:spacing w:line="360" w:lineRule="auto"/>
        <w:rPr>
          <w:rFonts w:ascii="Times New Roman" w:hAnsi="Times New Roman" w:cs="Times New Roman"/>
          <w:sz w:val="24"/>
          <w:szCs w:val="28"/>
        </w:rPr>
      </w:pPr>
      <w:r>
        <w:rPr>
          <w:rFonts w:ascii="Times New Roman" w:hAnsi="Times New Roman" w:cs="Times New Roman" w:hint="eastAsia"/>
          <w:sz w:val="24"/>
          <w:szCs w:val="28"/>
        </w:rPr>
        <w:t>C57BL/6 mice</w:t>
      </w:r>
      <w:r>
        <w:rPr>
          <w:rFonts w:ascii="Times New Roman" w:hAnsi="Times New Roman" w:cs="Times New Roman"/>
          <w:sz w:val="24"/>
          <w:szCs w:val="28"/>
        </w:rPr>
        <w:t xml:space="preserve"> and </w:t>
      </w:r>
      <w:r>
        <w:rPr>
          <w:rFonts w:ascii="Times New Roman" w:hAnsi="Times New Roman" w:cs="Times New Roman" w:hint="eastAsia"/>
          <w:sz w:val="24"/>
          <w:szCs w:val="28"/>
        </w:rPr>
        <w:t>BALB/c nude mice (6 weeks old, weighing 1</w:t>
      </w:r>
      <w:r>
        <w:rPr>
          <w:rFonts w:ascii="Times New Roman" w:hAnsi="Times New Roman" w:cs="Times New Roman"/>
          <w:sz w:val="24"/>
          <w:szCs w:val="28"/>
        </w:rPr>
        <w:t>8</w:t>
      </w:r>
      <w:r>
        <w:rPr>
          <w:rFonts w:ascii="Times New Roman" w:hAnsi="Times New Roman" w:cs="Times New Roman" w:hint="eastAsia"/>
          <w:sz w:val="24"/>
          <w:szCs w:val="28"/>
        </w:rPr>
        <w:t>-2</w:t>
      </w:r>
      <w:r>
        <w:rPr>
          <w:rFonts w:ascii="Times New Roman" w:hAnsi="Times New Roman" w:cs="Times New Roman"/>
          <w:sz w:val="24"/>
          <w:szCs w:val="28"/>
        </w:rPr>
        <w:t>0</w:t>
      </w:r>
      <w:r>
        <w:rPr>
          <w:rFonts w:ascii="Times New Roman" w:hAnsi="Times New Roman" w:cs="Times New Roman" w:hint="eastAsia"/>
          <w:sz w:val="24"/>
          <w:szCs w:val="28"/>
        </w:rPr>
        <w:t xml:space="preserve"> g) were obtained from Chengdu </w:t>
      </w:r>
      <w:proofErr w:type="spellStart"/>
      <w:r>
        <w:rPr>
          <w:rFonts w:ascii="Times New Roman" w:hAnsi="Times New Roman" w:cs="Times New Roman" w:hint="eastAsia"/>
          <w:sz w:val="24"/>
          <w:szCs w:val="28"/>
        </w:rPr>
        <w:t>Yaokang</w:t>
      </w:r>
      <w:proofErr w:type="spellEnd"/>
      <w:r>
        <w:rPr>
          <w:rFonts w:ascii="Times New Roman" w:hAnsi="Times New Roman" w:cs="Times New Roman" w:hint="eastAsia"/>
          <w:sz w:val="24"/>
          <w:szCs w:val="28"/>
        </w:rPr>
        <w:t xml:space="preserve">. All </w:t>
      </w:r>
      <w:r>
        <w:rPr>
          <w:rFonts w:ascii="Times New Roman Italic" w:hAnsi="Times New Roman Italic" w:cs="Times New Roman Italic"/>
          <w:i/>
          <w:iCs/>
          <w:sz w:val="24"/>
          <w:szCs w:val="28"/>
        </w:rPr>
        <w:t>in vivo</w:t>
      </w:r>
      <w:r>
        <w:rPr>
          <w:rFonts w:ascii="Times New Roman" w:hAnsi="Times New Roman" w:cs="Times New Roman" w:hint="eastAsia"/>
          <w:sz w:val="24"/>
          <w:szCs w:val="28"/>
        </w:rPr>
        <w:t xml:space="preserve"> procedures were approved by the Zhejiang Provincial Administration of Traditional Chinese Medicine and the Ethics Committee of Ningbo University [SYXK(Zhejiang)2019-0005]. Primary tumors were induced by subcutaneously injecting 5 </w:t>
      </w:r>
      <w:r>
        <w:rPr>
          <w:rFonts w:ascii="Times New Roman" w:hAnsi="Times New Roman" w:cs="Times New Roman" w:hint="eastAsia"/>
          <w:sz w:val="24"/>
          <w:szCs w:val="28"/>
        </w:rPr>
        <w:t>×</w:t>
      </w:r>
      <w:r>
        <w:rPr>
          <w:rFonts w:ascii="Times New Roman" w:hAnsi="Times New Roman" w:cs="Times New Roman" w:hint="eastAsia"/>
          <w:sz w:val="24"/>
          <w:szCs w:val="28"/>
        </w:rPr>
        <w:t xml:space="preserve"> 10</w:t>
      </w:r>
      <w:r>
        <w:rPr>
          <w:rFonts w:ascii="Times New Roman" w:hAnsi="Times New Roman" w:cs="Times New Roman" w:hint="eastAsia"/>
          <w:sz w:val="24"/>
          <w:szCs w:val="28"/>
        </w:rPr>
        <w:t>⁶</w:t>
      </w:r>
      <w:r>
        <w:rPr>
          <w:rFonts w:ascii="Times New Roman" w:hAnsi="Times New Roman" w:cs="Times New Roman" w:hint="eastAsia"/>
          <w:sz w:val="24"/>
          <w:szCs w:val="28"/>
        </w:rPr>
        <w:t xml:space="preserve"> AMC-HN-8 cells into BALB/c nude mice or SCC7 cells into C57BL/6 mice. When the tumors reached approximately 100 mm</w:t>
      </w:r>
      <w:r>
        <w:rPr>
          <w:rFonts w:ascii="Times New Roman" w:hAnsi="Times New Roman" w:cs="Times New Roman" w:hint="eastAsia"/>
          <w:sz w:val="24"/>
          <w:szCs w:val="28"/>
        </w:rPr>
        <w:t>³</w:t>
      </w:r>
      <w:r>
        <w:rPr>
          <w:rFonts w:ascii="Times New Roman" w:hAnsi="Times New Roman" w:cs="Times New Roman" w:hint="eastAsia"/>
          <w:sz w:val="24"/>
          <w:szCs w:val="28"/>
        </w:rPr>
        <w:t xml:space="preserve">, the mice were randomly assigned to one of six groups (n = 5). Each group received an equal volume of saline, Cur, P-Cur, T780/P-Cur, or Biotin@T780/P-Cur nanoparticles via tail vein injection every other day, with each dose equivalent to 2 mg/kg of IR780. Six hours post-injection, mice in the NPs and </w:t>
      </w:r>
      <w:proofErr w:type="spellStart"/>
      <w:r>
        <w:rPr>
          <w:rFonts w:ascii="Times New Roman" w:hAnsi="Times New Roman" w:cs="Times New Roman" w:hint="eastAsia"/>
          <w:sz w:val="24"/>
          <w:szCs w:val="28"/>
        </w:rPr>
        <w:t>Biotin@NPs</w:t>
      </w:r>
      <w:proofErr w:type="spellEnd"/>
      <w:r>
        <w:rPr>
          <w:rFonts w:ascii="Times New Roman" w:hAnsi="Times New Roman" w:cs="Times New Roman" w:hint="eastAsia"/>
          <w:sz w:val="24"/>
          <w:szCs w:val="28"/>
        </w:rPr>
        <w:t xml:space="preserve"> groups were subjected to 660 nm laser </w:t>
      </w:r>
      <w:r>
        <w:rPr>
          <w:rFonts w:ascii="Times New Roman" w:hAnsi="Times New Roman" w:cs="Times New Roman" w:hint="eastAsia"/>
          <w:sz w:val="24"/>
          <w:szCs w:val="28"/>
        </w:rPr>
        <w:lastRenderedPageBreak/>
        <w:t>irradiation for 5 minutes at a power density of 1.0 W/cm</w:t>
      </w:r>
      <w:r>
        <w:rPr>
          <w:rFonts w:ascii="Times New Roman" w:hAnsi="Times New Roman" w:cs="Times New Roman" w:hint="eastAsia"/>
          <w:sz w:val="24"/>
          <w:szCs w:val="28"/>
        </w:rPr>
        <w:t>²</w:t>
      </w:r>
      <w:r>
        <w:rPr>
          <w:rFonts w:ascii="Times New Roman" w:hAnsi="Times New Roman" w:cs="Times New Roman" w:hint="eastAsia"/>
          <w:sz w:val="24"/>
          <w:szCs w:val="28"/>
        </w:rPr>
        <w:t>. Body weight and tumor volume were monitored every two days. Tumor dimensions were measured with calipers, and tumor volume was calculated using the formula: Tumor volume (mm</w:t>
      </w:r>
      <w:r>
        <w:rPr>
          <w:rFonts w:ascii="Times New Roman" w:hAnsi="Times New Roman" w:cs="Times New Roman" w:hint="eastAsia"/>
          <w:sz w:val="24"/>
          <w:szCs w:val="28"/>
        </w:rPr>
        <w:t>³</w:t>
      </w:r>
      <w:r>
        <w:rPr>
          <w:rFonts w:ascii="Times New Roman" w:hAnsi="Times New Roman" w:cs="Times New Roman" w:hint="eastAsia"/>
          <w:sz w:val="24"/>
          <w:szCs w:val="28"/>
        </w:rPr>
        <w:t xml:space="preserve">) = (length </w:t>
      </w:r>
      <w:r>
        <w:rPr>
          <w:rFonts w:ascii="Times New Roman" w:hAnsi="Times New Roman" w:cs="Times New Roman" w:hint="eastAsia"/>
          <w:sz w:val="24"/>
          <w:szCs w:val="28"/>
        </w:rPr>
        <w:t>×</w:t>
      </w:r>
      <w:r>
        <w:rPr>
          <w:rFonts w:ascii="Times New Roman" w:hAnsi="Times New Roman" w:cs="Times New Roman" w:hint="eastAsia"/>
          <w:sz w:val="24"/>
          <w:szCs w:val="28"/>
        </w:rPr>
        <w:t xml:space="preserve"> width</w:t>
      </w:r>
      <w:r>
        <w:rPr>
          <w:rFonts w:ascii="Times New Roman" w:hAnsi="Times New Roman" w:cs="Times New Roman" w:hint="eastAsia"/>
          <w:sz w:val="24"/>
          <w:szCs w:val="28"/>
        </w:rPr>
        <w:t>²</w:t>
      </w:r>
      <w:r>
        <w:rPr>
          <w:rFonts w:ascii="Times New Roman" w:hAnsi="Times New Roman" w:cs="Times New Roman" w:hint="eastAsia"/>
          <w:sz w:val="24"/>
          <w:szCs w:val="28"/>
        </w:rPr>
        <w:t xml:space="preserve">) / 2. Tumor inhibition rate was determined using the formula: [(average tumor weight of the control group - average tumor weight of the treatment group) / average tumor weight of the control group] </w:t>
      </w:r>
      <w:r>
        <w:rPr>
          <w:rFonts w:ascii="Times New Roman" w:hAnsi="Times New Roman" w:cs="Times New Roman" w:hint="eastAsia"/>
          <w:sz w:val="24"/>
          <w:szCs w:val="28"/>
        </w:rPr>
        <w:t>×</w:t>
      </w:r>
      <w:r>
        <w:rPr>
          <w:rFonts w:ascii="Times New Roman" w:hAnsi="Times New Roman" w:cs="Times New Roman" w:hint="eastAsia"/>
          <w:sz w:val="24"/>
          <w:szCs w:val="28"/>
        </w:rPr>
        <w:t xml:space="preserve"> 100%. At the conclusion of the study, mice were humanely euthanized, and tumors and major organs were harvested and weighed to evaluate the efficacy of photothermal ablation in tumor suppression.</w:t>
      </w:r>
    </w:p>
    <w:p w:rsidR="00880F7F" w:rsidRDefault="00880F7F">
      <w:pPr>
        <w:spacing w:line="360" w:lineRule="auto"/>
        <w:rPr>
          <w:rFonts w:ascii="Times New Roman" w:hAnsi="Times New Roman" w:cs="Times New Roman"/>
          <w:sz w:val="24"/>
          <w:szCs w:val="28"/>
        </w:rPr>
      </w:pPr>
    </w:p>
    <w:p w:rsidR="00880F7F" w:rsidRDefault="00CF1360">
      <w:pPr>
        <w:spacing w:line="360" w:lineRule="auto"/>
        <w:rPr>
          <w:rFonts w:ascii="Times New Roman Bold" w:hAnsi="Times New Roman Bold" w:cs="Times New Roman Bold"/>
          <w:b/>
          <w:bCs/>
          <w:sz w:val="24"/>
          <w:szCs w:val="28"/>
        </w:rPr>
      </w:pPr>
      <w:r>
        <w:rPr>
          <w:rFonts w:ascii="Times New Roman Bold" w:hAnsi="Times New Roman Bold" w:cs="Times New Roman Bold"/>
          <w:b/>
          <w:bCs/>
          <w:sz w:val="24"/>
          <w:szCs w:val="28"/>
        </w:rPr>
        <w:t>Fluorescence Imaging and Biodistribution Analysis</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BALB/c mice bearing tumors were subjected to the described protocol. Once tumors naturally reached approximately 100 mm³, mice were intravenously injected with saline, free IR780, T780/P-Cur, or Biotin@T780/P-Cur nanoparticles (with each dose equivalent to 2 mg/kg of IR780). Fluorescence images were acquired at different time points (2, 4, 6, 8, 10, 12, and 24 hours) using a small animal imaging system (Xtreme, Bruker, Germany) to evaluate the biodistribution of the drugs and identify the optimal time for drug uptake.</w:t>
      </w:r>
    </w:p>
    <w:p w:rsidR="00880F7F" w:rsidRDefault="00880F7F">
      <w:pPr>
        <w:spacing w:line="360" w:lineRule="auto"/>
        <w:rPr>
          <w:rFonts w:ascii="Times New Roman Bold" w:hAnsi="Times New Roman Bold" w:cs="Times New Roman Bold"/>
          <w:sz w:val="24"/>
          <w:szCs w:val="28"/>
        </w:rPr>
      </w:pPr>
    </w:p>
    <w:p w:rsidR="00880F7F" w:rsidRDefault="00CF1360">
      <w:pPr>
        <w:spacing w:line="360" w:lineRule="auto"/>
        <w:rPr>
          <w:rFonts w:ascii="Times New Roman Bold" w:hAnsi="Times New Roman Bold" w:cs="Times New Roman Bold"/>
          <w:b/>
          <w:bCs/>
          <w:sz w:val="24"/>
          <w:szCs w:val="28"/>
        </w:rPr>
      </w:pPr>
      <w:r>
        <w:rPr>
          <w:rFonts w:ascii="Times New Roman Bold" w:hAnsi="Times New Roman Bold" w:cs="Times New Roman Bold"/>
          <w:b/>
          <w:bCs/>
          <w:sz w:val="24"/>
          <w:szCs w:val="28"/>
        </w:rPr>
        <w:t>In Vivo Photothermal Efficiency Assessment</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The photothermal efficiency was assessed using an infrared thermal imaging camera (E60: Compact Infrared Thermal Imaging Camera). Thermal images were recorded of tumor-bearing mice 6 hours after drug injection, following 5 minutes of continuous </w:t>
      </w:r>
      <w:r>
        <w:rPr>
          <w:rFonts w:ascii="Times New Roman" w:hAnsi="Times New Roman" w:cs="Times New Roman" w:hint="eastAsia"/>
          <w:sz w:val="24"/>
          <w:szCs w:val="28"/>
        </w:rPr>
        <w:t>NIR</w:t>
      </w:r>
      <w:r>
        <w:rPr>
          <w:rFonts w:ascii="Times New Roman" w:hAnsi="Times New Roman" w:cs="Times New Roman"/>
          <w:sz w:val="24"/>
          <w:szCs w:val="28"/>
        </w:rPr>
        <w:t xml:space="preserve"> laser irradiation (808 nm or 660 nm). Temperature differentials were measured and plotted to evaluate the effectiveness of photothermal conversion.</w:t>
      </w:r>
    </w:p>
    <w:p w:rsidR="00880F7F" w:rsidRDefault="00880F7F">
      <w:pPr>
        <w:spacing w:line="360" w:lineRule="auto"/>
        <w:rPr>
          <w:rFonts w:ascii="Times New Roman" w:hAnsi="Times New Roman" w:cs="Times New Roman"/>
          <w:sz w:val="24"/>
          <w:szCs w:val="28"/>
        </w:rPr>
      </w:pPr>
    </w:p>
    <w:p w:rsidR="00880F7F" w:rsidRDefault="00CF1360">
      <w:pPr>
        <w:spacing w:line="360" w:lineRule="auto"/>
        <w:rPr>
          <w:rFonts w:ascii="Times New Roman Bold" w:hAnsi="Times New Roman Bold" w:cs="Times New Roman Bold"/>
          <w:b/>
          <w:bCs/>
          <w:sz w:val="24"/>
          <w:szCs w:val="28"/>
        </w:rPr>
      </w:pPr>
      <w:r>
        <w:rPr>
          <w:rFonts w:ascii="Times New Roman Bold" w:hAnsi="Times New Roman Bold" w:cs="Times New Roman Bold"/>
          <w:b/>
          <w:bCs/>
          <w:sz w:val="24"/>
          <w:szCs w:val="28"/>
        </w:rPr>
        <w:t>Immunological Response Model in Tumor-Bearing Mice</w:t>
      </w:r>
    </w:p>
    <w:p w:rsidR="00880F7F" w:rsidRDefault="00CF1360">
      <w:pPr>
        <w:spacing w:line="360" w:lineRule="auto"/>
        <w:rPr>
          <w:rFonts w:ascii="Times New Roman" w:hAnsi="Times New Roman" w:cs="Times New Roman"/>
          <w:sz w:val="24"/>
          <w:szCs w:val="28"/>
        </w:rPr>
      </w:pPr>
      <w:r>
        <w:rPr>
          <w:rFonts w:ascii="Times New Roman" w:hAnsi="Times New Roman" w:cs="Times New Roman"/>
          <w:sz w:val="24"/>
          <w:szCs w:val="28"/>
        </w:rPr>
        <w:t xml:space="preserve">An immune response model was developed using the tumor implantation and drug administration protocols outlined previously. To evaluate the in </w:t>
      </w:r>
      <w:r>
        <w:rPr>
          <w:rFonts w:ascii="Times New Roman" w:hAnsi="Times New Roman" w:cs="Times New Roman"/>
          <w:i/>
          <w:sz w:val="24"/>
          <w:szCs w:val="28"/>
        </w:rPr>
        <w:t>vivo</w:t>
      </w:r>
      <w:r>
        <w:rPr>
          <w:rFonts w:ascii="Times New Roman" w:hAnsi="Times New Roman" w:cs="Times New Roman"/>
          <w:sz w:val="24"/>
          <w:szCs w:val="28"/>
        </w:rPr>
        <w:t xml:space="preserve"> immune effects, </w:t>
      </w:r>
      <w:r>
        <w:rPr>
          <w:rFonts w:ascii="Times New Roman" w:hAnsi="Times New Roman" w:cs="Times New Roman"/>
          <w:sz w:val="24"/>
          <w:szCs w:val="28"/>
        </w:rPr>
        <w:lastRenderedPageBreak/>
        <w:t xml:space="preserve">flow cytometry was performed on single-cell suspensions derived from the spleens of C57BL/6 mice. After 2 weeks of treatment, mice were euthanized, and spleens were excised and processed into single-cell suspensions. </w:t>
      </w:r>
      <w:r>
        <w:rPr>
          <w:rFonts w:ascii="Times New Roman" w:hAnsi="Times New Roman" w:cs="Times New Roman" w:hint="eastAsia"/>
          <w:sz w:val="24"/>
          <w:szCs w:val="28"/>
        </w:rPr>
        <w:t>Before flow cytometric analysis, T c</w:t>
      </w:r>
      <w:r>
        <w:rPr>
          <w:rFonts w:ascii="Times New Roman" w:hAnsi="Times New Roman" w:cs="Times New Roman"/>
          <w:sz w:val="24"/>
          <w:szCs w:val="28"/>
        </w:rPr>
        <w:t>e</w:t>
      </w:r>
      <w:r>
        <w:rPr>
          <w:rFonts w:ascii="Times New Roman" w:hAnsi="Times New Roman" w:cs="Times New Roman" w:hint="eastAsia"/>
          <w:sz w:val="24"/>
          <w:szCs w:val="28"/>
        </w:rPr>
        <w:t xml:space="preserve">lls were labeled with CD3-PECY7, CD4-PE, and CD8-FITC antibodies. DC maturation was evaluated using CD11c-PECY7-PC7, CD80-PE, and CD86-APC antibodies. After fixation and permeabilization, </w:t>
      </w:r>
      <w:proofErr w:type="spellStart"/>
      <w:r>
        <w:rPr>
          <w:rFonts w:ascii="Times New Roman" w:hAnsi="Times New Roman" w:cs="Times New Roman" w:hint="eastAsia"/>
          <w:sz w:val="24"/>
          <w:szCs w:val="28"/>
        </w:rPr>
        <w:t>Tregs</w:t>
      </w:r>
      <w:proofErr w:type="spellEnd"/>
      <w:r>
        <w:rPr>
          <w:rFonts w:ascii="Times New Roman" w:hAnsi="Times New Roman" w:cs="Times New Roman" w:hint="eastAsia"/>
          <w:sz w:val="24"/>
          <w:szCs w:val="28"/>
        </w:rPr>
        <w:t xml:space="preserve"> were stained with anti-CD3-PECY7, anti-CD4-PE, and anti-FOXP3-APC.</w:t>
      </w:r>
    </w:p>
    <w:p w:rsidR="00880F7F" w:rsidRDefault="00CF1360">
      <w:pPr>
        <w:pStyle w:val="1"/>
        <w:rPr>
          <w:rFonts w:ascii="Times New Roman Bold" w:hAnsi="Times New Roman Bold" w:cs="Times New Roman Bold"/>
          <w:sz w:val="24"/>
          <w:szCs w:val="24"/>
        </w:rPr>
      </w:pPr>
      <w:r>
        <w:rPr>
          <w:rFonts w:ascii="Times New Roman Bold" w:hAnsi="Times New Roman Bold" w:cs="Times New Roman Bold"/>
          <w:sz w:val="24"/>
          <w:szCs w:val="24"/>
        </w:rPr>
        <w:t>Statistical Analysis</w:t>
      </w:r>
    </w:p>
    <w:p w:rsidR="00880F7F" w:rsidRDefault="00CF1360">
      <w:pPr>
        <w:spacing w:line="360" w:lineRule="auto"/>
        <w:rPr>
          <w:rFonts w:ascii="Times New Roman" w:hAnsi="Times New Roman" w:cs="Times New Roman"/>
          <w:sz w:val="24"/>
          <w:szCs w:val="28"/>
        </w:rPr>
      </w:pPr>
      <w:r>
        <w:rPr>
          <w:rFonts w:ascii="Times New Roman" w:hAnsi="Times New Roman" w:cs="Times New Roman" w:hint="eastAsia"/>
          <w:sz w:val="24"/>
          <w:szCs w:val="28"/>
        </w:rPr>
        <w:t xml:space="preserve">All data were analyzed using GraphPad Prism 9 (GraphPad Software, La Jolla, CA, USA). The results are presented as mean </w:t>
      </w:r>
      <w:r>
        <w:rPr>
          <w:rFonts w:ascii="Times New Roman" w:hAnsi="Times New Roman" w:cs="Times New Roman" w:hint="eastAsia"/>
          <w:sz w:val="24"/>
          <w:szCs w:val="28"/>
        </w:rPr>
        <w:t>±</w:t>
      </w:r>
      <w:r>
        <w:rPr>
          <w:rFonts w:ascii="Times New Roman" w:hAnsi="Times New Roman" w:cs="Times New Roman" w:hint="eastAsia"/>
          <w:sz w:val="24"/>
          <w:szCs w:val="28"/>
        </w:rPr>
        <w:t xml:space="preserve"> standard deviation. Statistical significance between groups was assessed using the Tukey-Kramer test. The significance levels were interpreted according to the following p-values: ns (not significant),</w:t>
      </w:r>
      <w:r>
        <w:rPr>
          <w:rFonts w:ascii="Times New Roman" w:hAnsi="Times New Roman" w:cs="Times New Roman"/>
          <w:sz w:val="24"/>
          <w:szCs w:val="28"/>
        </w:rPr>
        <w:t xml:space="preserve"> * </w:t>
      </w:r>
      <w:r>
        <w:rPr>
          <w:rFonts w:ascii="Times New Roman Italic" w:hAnsi="Times New Roman Italic" w:cs="Times New Roman Italic"/>
          <w:i/>
          <w:iCs/>
          <w:sz w:val="24"/>
          <w:szCs w:val="28"/>
        </w:rPr>
        <w:t>p</w:t>
      </w:r>
      <w:r>
        <w:rPr>
          <w:rFonts w:ascii="Times New Roman" w:hAnsi="Times New Roman" w:cs="Times New Roman"/>
          <w:sz w:val="24"/>
          <w:szCs w:val="28"/>
        </w:rPr>
        <w:t xml:space="preserve"> &lt; 0.05, ** </w:t>
      </w:r>
      <w:r>
        <w:rPr>
          <w:rFonts w:ascii="Times New Roman Italic" w:hAnsi="Times New Roman Italic" w:cs="Times New Roman Italic"/>
          <w:i/>
          <w:iCs/>
          <w:sz w:val="24"/>
          <w:szCs w:val="28"/>
        </w:rPr>
        <w:t xml:space="preserve">p </w:t>
      </w:r>
      <w:r>
        <w:rPr>
          <w:rFonts w:ascii="Times New Roman" w:hAnsi="Times New Roman" w:cs="Times New Roman"/>
          <w:sz w:val="24"/>
          <w:szCs w:val="28"/>
        </w:rPr>
        <w:t xml:space="preserve">&lt; 0.01, and *** </w:t>
      </w:r>
      <w:r>
        <w:rPr>
          <w:rFonts w:ascii="Times New Roman Italic" w:hAnsi="Times New Roman Italic" w:cs="Times New Roman Italic"/>
          <w:i/>
          <w:iCs/>
          <w:sz w:val="24"/>
          <w:szCs w:val="28"/>
        </w:rPr>
        <w:t>p</w:t>
      </w:r>
      <w:r>
        <w:rPr>
          <w:rFonts w:ascii="Times New Roman" w:hAnsi="Times New Roman" w:cs="Times New Roman"/>
          <w:sz w:val="24"/>
          <w:szCs w:val="28"/>
        </w:rPr>
        <w:t xml:space="preserve"> &lt; 0.001.</w:t>
      </w:r>
    </w:p>
    <w:p w:rsidR="00880F7F" w:rsidRDefault="00880F7F">
      <w:pPr>
        <w:spacing w:line="360" w:lineRule="auto"/>
      </w:pPr>
    </w:p>
    <w:p w:rsidR="00880F7F" w:rsidRDefault="00CF1360">
      <w:pPr>
        <w:spacing w:line="360" w:lineRule="auto"/>
      </w:pPr>
      <w:r>
        <w:rPr>
          <w:noProof/>
        </w:rPr>
        <w:lastRenderedPageBreak/>
        <w:drawing>
          <wp:inline distT="0" distB="0" distL="114300" distR="114300">
            <wp:extent cx="5278755" cy="7435215"/>
            <wp:effectExtent l="0" t="0" r="0" b="0"/>
            <wp:docPr id="5" name="图片 5"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1"/>
                    <pic:cNvPicPr>
                      <a:picLocks noChangeAspect="1"/>
                    </pic:cNvPicPr>
                  </pic:nvPicPr>
                  <pic:blipFill>
                    <a:blip r:embed="rId4"/>
                    <a:srcRect t="3582" r="-290" b="2165"/>
                    <a:stretch>
                      <a:fillRect/>
                    </a:stretch>
                  </pic:blipFill>
                  <pic:spPr>
                    <a:xfrm>
                      <a:off x="0" y="0"/>
                      <a:ext cx="5278755" cy="7435215"/>
                    </a:xfrm>
                    <a:prstGeom prst="rect">
                      <a:avLst/>
                    </a:prstGeom>
                  </pic:spPr>
                </pic:pic>
              </a:graphicData>
            </a:graphic>
          </wp:inline>
        </w:drawing>
      </w:r>
    </w:p>
    <w:p w:rsidR="00880F7F" w:rsidRDefault="00CF1360">
      <w:pPr>
        <w:spacing w:line="360" w:lineRule="auto"/>
      </w:pPr>
      <w:bookmarkStart w:id="11" w:name="OLE_LINK3"/>
      <w:bookmarkStart w:id="12" w:name="OLE_LINK4"/>
      <w:r>
        <w:rPr>
          <w:rFonts w:ascii="Times New Roman" w:hAnsi="Times New Roman" w:cs="Times New Roman"/>
          <w:b/>
          <w:sz w:val="18"/>
          <w:szCs w:val="18"/>
        </w:rPr>
        <w:t>Figure S1.</w:t>
      </w:r>
      <w:bookmarkEnd w:id="11"/>
      <w:bookmarkEnd w:id="12"/>
      <w:r>
        <w:rPr>
          <w:rFonts w:ascii="Times New Roman" w:hAnsi="Times New Roman" w:cs="Times New Roman"/>
          <w:b/>
          <w:sz w:val="18"/>
          <w:szCs w:val="18"/>
        </w:rPr>
        <w:t xml:space="preserve"> Synthesis and characterization of </w:t>
      </w:r>
      <w:r>
        <w:rPr>
          <w:rFonts w:ascii="Times New Roman" w:hAnsi="Times New Roman" w:cs="Times New Roman" w:hint="eastAsia"/>
          <w:b/>
          <w:bCs/>
          <w:sz w:val="18"/>
          <w:szCs w:val="18"/>
        </w:rPr>
        <w:t>Biotin@T780/P-cur</w:t>
      </w:r>
      <w:r>
        <w:rPr>
          <w:rFonts w:ascii="Times New Roman" w:hAnsi="Times New Roman" w:cs="Times New Roman"/>
          <w:b/>
          <w:sz w:val="18"/>
          <w:szCs w:val="18"/>
        </w:rPr>
        <w:t xml:space="preserve"> NPs. </w:t>
      </w:r>
      <w:r>
        <w:rPr>
          <w:rFonts w:ascii="Times New Roman" w:hAnsi="Times New Roman" w:cs="Times New Roman"/>
          <w:sz w:val="18"/>
          <w:szCs w:val="18"/>
        </w:rPr>
        <w:t xml:space="preserve">A-B Synthesis illustration and </w:t>
      </w:r>
      <w:r>
        <w:rPr>
          <w:rFonts w:ascii="Times New Roman" w:hAnsi="Times New Roman" w:cs="Times New Roman"/>
          <w:sz w:val="18"/>
          <w:szCs w:val="18"/>
          <w:vertAlign w:val="superscript"/>
        </w:rPr>
        <w:t>1</w:t>
      </w:r>
      <w:r>
        <w:rPr>
          <w:rFonts w:ascii="Times New Roman" w:hAnsi="Times New Roman" w:cs="Times New Roman"/>
          <w:sz w:val="18"/>
          <w:szCs w:val="18"/>
        </w:rPr>
        <w:t xml:space="preserve">H NMR analysis of T780. C-D Synthesis illustration of P-Cur. E-F </w:t>
      </w:r>
      <w:r>
        <w:rPr>
          <w:rFonts w:ascii="Times New Roman" w:hAnsi="Times New Roman" w:cs="Times New Roman"/>
          <w:sz w:val="18"/>
          <w:szCs w:val="18"/>
          <w:vertAlign w:val="superscript"/>
        </w:rPr>
        <w:t>1</w:t>
      </w:r>
      <w:r>
        <w:rPr>
          <w:rFonts w:ascii="Times New Roman" w:hAnsi="Times New Roman" w:cs="Times New Roman"/>
          <w:sz w:val="18"/>
          <w:szCs w:val="18"/>
        </w:rPr>
        <w:t>H NMR analysis of Cur and P-Cur.</w:t>
      </w:r>
    </w:p>
    <w:p w:rsidR="00880F7F" w:rsidRDefault="00CF1360">
      <w:pPr>
        <w:pStyle w:val="a7"/>
        <w:rPr>
          <w:rFonts w:ascii="Times New Roman" w:hAnsi="Times New Roman" w:cs="Times New Roman"/>
          <w:b/>
          <w:sz w:val="18"/>
          <w:szCs w:val="18"/>
        </w:rPr>
      </w:pPr>
      <w:bookmarkStart w:id="13" w:name="OLE_LINK17"/>
      <w:bookmarkStart w:id="14" w:name="OLE_LINK18"/>
      <w:r>
        <w:rPr>
          <w:noProof/>
        </w:rPr>
        <w:lastRenderedPageBreak/>
        <w:drawing>
          <wp:inline distT="0" distB="0" distL="114300" distR="114300">
            <wp:extent cx="5269865" cy="5307330"/>
            <wp:effectExtent l="0" t="0" r="13335"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865" cy="5307330"/>
                    </a:xfrm>
                    <a:prstGeom prst="rect">
                      <a:avLst/>
                    </a:prstGeom>
                    <a:noFill/>
                    <a:ln>
                      <a:noFill/>
                    </a:ln>
                  </pic:spPr>
                </pic:pic>
              </a:graphicData>
            </a:graphic>
          </wp:inline>
        </w:drawing>
      </w:r>
    </w:p>
    <w:p w:rsidR="00880F7F" w:rsidRDefault="00CF1360">
      <w:pPr>
        <w:pStyle w:val="a7"/>
        <w:jc w:val="both"/>
        <w:rPr>
          <w:rFonts w:ascii="Times New Roman" w:hAnsi="Times New Roman" w:cs="Times New Roman"/>
        </w:rPr>
      </w:pPr>
      <w:r>
        <w:rPr>
          <w:rFonts w:ascii="Times New Roman" w:hAnsi="Times New Roman" w:cs="Times New Roman"/>
          <w:b/>
          <w:sz w:val="18"/>
          <w:szCs w:val="18"/>
        </w:rPr>
        <w:t>Figure S2.</w:t>
      </w:r>
      <w:bookmarkEnd w:id="13"/>
      <w:bookmarkEnd w:id="14"/>
      <w:r>
        <w:rPr>
          <w:sz w:val="18"/>
          <w:szCs w:val="18"/>
        </w:rPr>
        <w:t xml:space="preserve"> </w:t>
      </w:r>
      <w:r>
        <w:rPr>
          <w:rFonts w:ascii="Times New Roman" w:hAnsi="Times New Roman" w:cs="Times New Roman"/>
          <w:b/>
          <w:sz w:val="18"/>
          <w:szCs w:val="18"/>
        </w:rPr>
        <w:t>Activity and Function of</w:t>
      </w:r>
      <w:bookmarkStart w:id="15" w:name="OLE_LINK25"/>
      <w:bookmarkStart w:id="16" w:name="OLE_LINK24"/>
      <w:r>
        <w:rPr>
          <w:rFonts w:ascii="Times New Roman" w:hAnsi="Times New Roman" w:cs="Times New Roman"/>
          <w:b/>
          <w:sz w:val="18"/>
          <w:szCs w:val="18"/>
        </w:rPr>
        <w:t xml:space="preserve"> </w:t>
      </w:r>
      <w:bookmarkStart w:id="17" w:name="OLE_LINK21"/>
      <w:bookmarkStart w:id="18" w:name="OLE_LINK22"/>
      <w:r>
        <w:rPr>
          <w:rFonts w:ascii="Times New Roman" w:hAnsi="Times New Roman" w:cs="Times New Roman"/>
          <w:b/>
          <w:sz w:val="18"/>
          <w:szCs w:val="18"/>
        </w:rPr>
        <w:t>Biotin@T780/P-cur NPs</w:t>
      </w:r>
      <w:bookmarkEnd w:id="15"/>
      <w:bookmarkEnd w:id="16"/>
      <w:bookmarkEnd w:id="17"/>
      <w:bookmarkEnd w:id="18"/>
      <w:r>
        <w:rPr>
          <w:rFonts w:ascii="Times New Roman" w:hAnsi="Times New Roman" w:cs="Times New Roman"/>
          <w:b/>
          <w:sz w:val="18"/>
          <w:szCs w:val="18"/>
        </w:rPr>
        <w:t>.</w:t>
      </w:r>
      <w:r>
        <w:rPr>
          <w:sz w:val="18"/>
          <w:szCs w:val="18"/>
        </w:rPr>
        <w:t xml:space="preserve"> </w:t>
      </w:r>
      <w:r>
        <w:rPr>
          <w:rFonts w:ascii="Times New Roman" w:hAnsi="Times New Roman" w:cs="Times New Roman"/>
          <w:sz w:val="18"/>
          <w:szCs w:val="18"/>
        </w:rPr>
        <w:t xml:space="preserve">A </w:t>
      </w:r>
      <w:bookmarkStart w:id="19" w:name="_Hlk179586169"/>
      <w:r>
        <w:rPr>
          <w:rFonts w:ascii="Times New Roman" w:hAnsi="Times New Roman" w:cs="Times New Roman"/>
          <w:sz w:val="18"/>
          <w:szCs w:val="18"/>
        </w:rPr>
        <w:t xml:space="preserve">Molecular weight distribution change diagram of the </w:t>
      </w:r>
      <w:r>
        <w:rPr>
          <w:rFonts w:ascii="Times New Roman" w:hAnsi="Times New Roman" w:cs="Times New Roman" w:hint="eastAsia"/>
          <w:sz w:val="18"/>
          <w:szCs w:val="18"/>
        </w:rPr>
        <w:t>P-cur</w:t>
      </w:r>
      <w:r>
        <w:rPr>
          <w:rFonts w:ascii="Times New Roman" w:hAnsi="Times New Roman" w:cs="Times New Roman"/>
          <w:sz w:val="18"/>
          <w:szCs w:val="18"/>
        </w:rPr>
        <w:t xml:space="preserve"> within 24 h.</w:t>
      </w:r>
      <w:bookmarkEnd w:id="19"/>
      <w:r>
        <w:rPr>
          <w:rFonts w:ascii="Times New Roman" w:hAnsi="Times New Roman" w:cs="Times New Roman"/>
          <w:sz w:val="18"/>
          <w:szCs w:val="18"/>
        </w:rPr>
        <w:t xml:space="preserve"> B Size distribution analysis of T780/P-Cur NPs in a 1:1 molar ratio system. C Schematic diagram of the UV absorption peaks of Cur and P-Cur measured using a UV-Vis spectrophotometer. D-F Temperature increase curves of T780, T780/P-Cur NPs, and Biotin/NPs under near-infrared light irradiation at different concentrations.</w:t>
      </w:r>
      <w:r>
        <w:rPr>
          <w:noProof/>
        </w:rPr>
        <w:lastRenderedPageBreak/>
        <w:drawing>
          <wp:inline distT="0" distB="0" distL="0" distR="0">
            <wp:extent cx="5274310" cy="5574665"/>
            <wp:effectExtent l="0" t="0" r="254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5575110"/>
                    </a:xfrm>
                    <a:prstGeom prst="rect">
                      <a:avLst/>
                    </a:prstGeom>
                    <a:noFill/>
                    <a:ln>
                      <a:noFill/>
                    </a:ln>
                  </pic:spPr>
                </pic:pic>
              </a:graphicData>
            </a:graphic>
          </wp:inline>
        </w:drawing>
      </w:r>
      <w:r>
        <w:t xml:space="preserve"> </w:t>
      </w:r>
      <w:bookmarkStart w:id="20" w:name="OLE_LINK23"/>
      <w:r>
        <w:rPr>
          <w:rFonts w:ascii="Times New Roman" w:hAnsi="Times New Roman" w:cs="Times New Roman"/>
          <w:b/>
          <w:sz w:val="18"/>
          <w:szCs w:val="18"/>
        </w:rPr>
        <w:t xml:space="preserve">Figure S3. Mechanism of NPs inducing oxidative stress and sensitizing immune response in </w:t>
      </w:r>
      <w:r>
        <w:rPr>
          <w:rFonts w:ascii="Times New Roman" w:hAnsi="Times New Roman" w:cs="Times New Roman"/>
          <w:b/>
          <w:i/>
          <w:sz w:val="18"/>
          <w:szCs w:val="18"/>
        </w:rPr>
        <w:t>vitro</w:t>
      </w:r>
      <w:r>
        <w:rPr>
          <w:rFonts w:ascii="Times New Roman" w:hAnsi="Times New Roman" w:cs="Times New Roman" w:hint="eastAsia"/>
          <w:b/>
          <w:sz w:val="18"/>
          <w:szCs w:val="18"/>
        </w:rPr>
        <w:t>.</w:t>
      </w:r>
      <w:r>
        <w:rPr>
          <w:rFonts w:ascii="Times New Roman" w:hAnsi="Times New Roman" w:cs="Times New Roman"/>
          <w:b/>
          <w:sz w:val="18"/>
          <w:szCs w:val="18"/>
        </w:rPr>
        <w:t xml:space="preserve"> </w:t>
      </w:r>
      <w:r>
        <w:rPr>
          <w:rFonts w:ascii="Times New Roman" w:hAnsi="Times New Roman" w:cs="Times New Roman"/>
          <w:sz w:val="18"/>
          <w:szCs w:val="18"/>
        </w:rPr>
        <w:t xml:space="preserve">(A, B) ROS </w:t>
      </w:r>
      <w:bookmarkEnd w:id="20"/>
      <w:r>
        <w:rPr>
          <w:rFonts w:ascii="Times New Roman" w:hAnsi="Times New Roman" w:cs="Times New Roman"/>
          <w:sz w:val="18"/>
          <w:szCs w:val="18"/>
        </w:rPr>
        <w:t xml:space="preserve">levels in AMC-HN-8 following different treatments, measured by fluorescence imaging and flow cytometry. Scale bar: 150 µm. (C, D) Lipid peroxidation levels in SCC7 cells after different treatments, measured by fluorescence imaging and flow cytometry. Scale bar: 150 µm. (E) Lipid peroxidation levels in AMC-HN-8 cells after different treatments, measured by flow cytometry. (F, K, L) Quantification of ATP and pro-inflammatory factors IL-2 and TNF-α in AMC-HN-8 cells following the specified treatments. (G, H) Immunofluorescence staining and flow cytometry analysis of CRT expression on the surface of AMC-HN-8 cells after different treatments. Scale bar: 50 </w:t>
      </w:r>
      <w:proofErr w:type="spellStart"/>
      <w:r>
        <w:rPr>
          <w:rFonts w:ascii="Times New Roman" w:hAnsi="Times New Roman" w:cs="Times New Roman"/>
          <w:sz w:val="18"/>
          <w:szCs w:val="18"/>
        </w:rPr>
        <w:t>μm</w:t>
      </w:r>
      <w:proofErr w:type="spellEnd"/>
      <w:r>
        <w:rPr>
          <w:rFonts w:ascii="Times New Roman" w:hAnsi="Times New Roman" w:cs="Times New Roman"/>
          <w:sz w:val="18"/>
          <w:szCs w:val="18"/>
        </w:rPr>
        <w:t>. (I-J) AMC-HN-8 cells were subjected to HMGB1 immunofluorescence labeling and flow cytometry analysis after various treatments.</w:t>
      </w:r>
    </w:p>
    <w:p w:rsidR="00880F7F" w:rsidRDefault="00CF1360">
      <w:pPr>
        <w:spacing w:line="360" w:lineRule="auto"/>
        <w:rPr>
          <w:rFonts w:ascii="Times New Roman" w:hAnsi="Times New Roman" w:cs="Times New Roman"/>
          <w:i/>
        </w:rPr>
      </w:pPr>
      <w:r>
        <w:t xml:space="preserve"> </w:t>
      </w:r>
      <w:r>
        <w:rPr>
          <w:noProof/>
        </w:rPr>
        <w:lastRenderedPageBreak/>
        <w:drawing>
          <wp:inline distT="0" distB="0" distL="0" distR="0">
            <wp:extent cx="5274310" cy="33166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316875"/>
                    </a:xfrm>
                    <a:prstGeom prst="rect">
                      <a:avLst/>
                    </a:prstGeom>
                    <a:noFill/>
                    <a:ln>
                      <a:noFill/>
                    </a:ln>
                  </pic:spPr>
                </pic:pic>
              </a:graphicData>
            </a:graphic>
          </wp:inline>
        </w:drawing>
      </w:r>
      <w:r>
        <w:rPr>
          <w:rFonts w:ascii="Times New Roman" w:hAnsi="Times New Roman" w:cs="Times New Roman"/>
          <w:b/>
          <w:sz w:val="18"/>
          <w:szCs w:val="18"/>
        </w:rPr>
        <w:t xml:space="preserve"> Figure S4. Biosafety of Biotin@T780/P-cur NPs</w:t>
      </w:r>
      <w:r>
        <w:rPr>
          <w:rFonts w:ascii="Times New Roman" w:hAnsi="Times New Roman" w:cs="Times New Roman" w:hint="eastAsia"/>
          <w:b/>
          <w:sz w:val="18"/>
          <w:szCs w:val="18"/>
        </w:rPr>
        <w:t>.</w:t>
      </w:r>
      <w:r>
        <w:rPr>
          <w:rFonts w:ascii="Times New Roman" w:hAnsi="Times New Roman" w:cs="Times New Roman"/>
          <w:b/>
          <w:sz w:val="18"/>
          <w:szCs w:val="18"/>
        </w:rPr>
        <w:t xml:space="preserve"> </w:t>
      </w:r>
      <w:r>
        <w:rPr>
          <w:rFonts w:ascii="Times New Roman" w:hAnsi="Times New Roman" w:cs="Times New Roman"/>
          <w:sz w:val="18"/>
          <w:szCs w:val="18"/>
        </w:rPr>
        <w:t>(A-E) Biochemical parameters in mouse serum and hematoxylin-eosin (H&amp;E) staining of major organs in response to different drugs</w:t>
      </w:r>
      <w:r>
        <w:rPr>
          <w:rFonts w:ascii="Times New Roman" w:hAnsi="Times New Roman" w:cs="Times New Roman" w:hint="eastAsia"/>
          <w:sz w:val="18"/>
          <w:szCs w:val="18"/>
        </w:rPr>
        <w:t>.</w:t>
      </w:r>
    </w:p>
    <w:sectPr w:rsidR="00880F7F">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104"/>
    <w:rsid w:val="AFFE9049"/>
    <w:rsid w:val="CEDDCF3D"/>
    <w:rsid w:val="DDEFE7D9"/>
    <w:rsid w:val="00053F32"/>
    <w:rsid w:val="0034501D"/>
    <w:rsid w:val="0040386B"/>
    <w:rsid w:val="00416F7E"/>
    <w:rsid w:val="00450104"/>
    <w:rsid w:val="004D66BA"/>
    <w:rsid w:val="004E7D76"/>
    <w:rsid w:val="0051472F"/>
    <w:rsid w:val="005F6D90"/>
    <w:rsid w:val="006022D6"/>
    <w:rsid w:val="007408FE"/>
    <w:rsid w:val="007C776E"/>
    <w:rsid w:val="007D613E"/>
    <w:rsid w:val="007F2F59"/>
    <w:rsid w:val="00880F7F"/>
    <w:rsid w:val="00AC06BA"/>
    <w:rsid w:val="00BF47AF"/>
    <w:rsid w:val="00C12203"/>
    <w:rsid w:val="00C33EE6"/>
    <w:rsid w:val="00CF1360"/>
    <w:rsid w:val="00D376C3"/>
    <w:rsid w:val="00FB4384"/>
    <w:rsid w:val="00FF1DA9"/>
    <w:rsid w:val="3F6F5EA3"/>
    <w:rsid w:val="77E7CC8D"/>
    <w:rsid w:val="7A2FF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56AD"/>
  <w15:docId w15:val="{B65598BC-67EC-4FFF-BDF7-EFE84C4C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uiPriority w:val="9"/>
    <w:qFormat/>
    <w:pPr>
      <w:keepNext/>
      <w:keepLines/>
      <w:spacing w:before="340" w:after="330" w:line="578" w:lineRule="auto"/>
      <w:outlineLvl w:val="0"/>
    </w:pPr>
    <w:rPr>
      <w:rFonts w:ascii="Times New Roman" w:hAnsi="Times New Roman" w:cs="Times New Roman (Body CS)"/>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8">
    <w:name w:val="line number"/>
    <w:basedOn w:val="a0"/>
    <w:uiPriority w:val="99"/>
    <w:semiHidden/>
    <w:unhideWhenUsed/>
    <w:rPr>
      <w:rFonts w:ascii="Times New Roman" w:eastAsia="Times New Roman" w:hAnsi="Times New Roman" w:cs="Times New Roman"/>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2808</Words>
  <Characters>16009</Characters>
  <Application>Microsoft Office Word</Application>
  <DocSecurity>0</DocSecurity>
  <Lines>133</Lines>
  <Paragraphs>37</Paragraphs>
  <ScaleCrop>false</ScaleCrop>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姜浩大好人</dc:creator>
  <cp:lastModifiedBy>姜浩大好人</cp:lastModifiedBy>
  <cp:revision>4</cp:revision>
  <dcterms:created xsi:type="dcterms:W3CDTF">2025-06-27T12:39:00Z</dcterms:created>
  <dcterms:modified xsi:type="dcterms:W3CDTF">2025-06-27T12:52:00Z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AE608497097C4B42F2045E680F4C75A0_43</vt:lpwstr>
  </property>
</Properties>
</file>