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F8619">
      <w:pPr>
        <w:pStyle w:val="2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>Supporting Information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CCC8F1E">
      <w:pPr>
        <w:pStyle w:val="2"/>
        <w:jc w:val="center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  <w:t>A cell-free SHED lysate-hydrogel system for oral ulcer healing</w:t>
      </w:r>
      <w:r>
        <w:rPr>
          <w:rFonts w:hint="eastAsia" w:ascii="Times New Roman" w:hAnsi="Times New Roman" w:cs="Times New Roman"/>
          <w:b/>
          <w:bCs/>
          <w:color w:val="FF0000"/>
          <w:sz w:val="32"/>
          <w:szCs w:val="32"/>
          <w:lang w:val="en-US" w:eastAsia="zh-CN"/>
        </w:rPr>
        <w:t xml:space="preserve"> with</w:t>
      </w:r>
      <w:r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FF0000"/>
          <w:sz w:val="32"/>
          <w:szCs w:val="32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  <w:t>nti-inflammatory</w:t>
      </w:r>
      <w:r>
        <w:rPr>
          <w:rFonts w:hint="eastAsia" w:ascii="Times New Roman" w:hAnsi="Times New Roman" w:cs="Times New Roman"/>
          <w:b/>
          <w:bCs/>
          <w:color w:val="FF0000"/>
          <w:sz w:val="32"/>
          <w:szCs w:val="32"/>
          <w:lang w:val="en-US" w:eastAsia="zh-CN"/>
        </w:rPr>
        <w:t xml:space="preserve"> and</w:t>
      </w:r>
      <w:r>
        <w:rPr>
          <w:rFonts w:hint="default" w:ascii="Times New Roman" w:hAnsi="Times New Roman" w:cs="Times New Roman"/>
          <w:b/>
          <w:bCs/>
          <w:color w:val="FF0000"/>
          <w:sz w:val="32"/>
          <w:szCs w:val="32"/>
        </w:rPr>
        <w:t xml:space="preserve"> pro-angiogenic</w:t>
      </w:r>
      <w:r>
        <w:rPr>
          <w:rFonts w:hint="eastAsia" w:ascii="Times New Roman" w:hAnsi="Times New Roman" w:cs="Times New Roman"/>
          <w:b/>
          <w:bCs/>
          <w:color w:val="FF0000"/>
          <w:sz w:val="32"/>
          <w:szCs w:val="32"/>
          <w:lang w:val="en-US" w:eastAsia="zh-CN"/>
        </w:rPr>
        <w:t xml:space="preserve"> effects</w:t>
      </w:r>
      <w:bookmarkStart w:id="2" w:name="_GoBack"/>
      <w:bookmarkEnd w:id="2"/>
    </w:p>
    <w:p w14:paraId="6985B94F">
      <w:pPr>
        <w:spacing w:line="480" w:lineRule="exact"/>
        <w:rPr>
          <w:rFonts w:ascii="Times New Roman" w:hAnsi="Times New Roman" w:eastAsia="宋体" w:cs="Times New Roman"/>
          <w:color w:val="000000"/>
          <w:kern w:val="0"/>
          <w:sz w:val="28"/>
          <w:szCs w:val="28"/>
          <w:vertAlign w:val="superscript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Na Dong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1,2</w:t>
      </w:r>
      <w:r>
        <w:rPr>
          <w:rFonts w:ascii="Times New Roman" w:hAnsi="Times New Roman" w:eastAsia="微软雅黑" w:cs="Times New Roman"/>
          <w:color w:val="000000"/>
          <w:kern w:val="0"/>
          <w:sz w:val="24"/>
          <w:vertAlign w:val="superscript"/>
        </w:rPr>
        <w:t>✝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Chen Zhang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1,2</w:t>
      </w:r>
      <w:r>
        <w:rPr>
          <w:rFonts w:ascii="Times New Roman" w:hAnsi="Times New Roman" w:eastAsia="微软雅黑" w:cs="Times New Roman"/>
          <w:color w:val="000000"/>
          <w:kern w:val="0"/>
          <w:sz w:val="24"/>
          <w:vertAlign w:val="superscript"/>
        </w:rPr>
        <w:t>✝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Qiao Zhang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2,3</w:t>
      </w:r>
      <w:r>
        <w:rPr>
          <w:rFonts w:ascii="Times New Roman" w:hAnsi="Times New Roman" w:eastAsia="微软雅黑" w:cs="Times New Roman"/>
          <w:color w:val="000000"/>
          <w:kern w:val="0"/>
          <w:sz w:val="24"/>
          <w:vertAlign w:val="superscript"/>
        </w:rPr>
        <w:t>✝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Sa Bao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1,2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Yunfan Hu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Haichao Xu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Peng Dai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1,2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Caiyan Li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1,2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Shengcun Li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4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Ping Wu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2,3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Junpeng Xu</w:t>
      </w:r>
      <w:bookmarkStart w:id="0" w:name="_Hlk162442456"/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2,3</w:t>
      </w:r>
      <w:bookmarkEnd w:id="0"/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Xiaojun Cai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1*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, Zhouguang Wang</w:t>
      </w:r>
      <w:bookmarkStart w:id="1" w:name="_Hlk162442345"/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2,3*</w:t>
      </w:r>
      <w:bookmarkEnd w:id="1"/>
      <w:r>
        <w:rPr>
          <w:rFonts w:ascii="Times New Roman" w:hAnsi="Times New Roman" w:eastAsia="宋体" w:cs="Times New Roman"/>
          <w:color w:val="000000"/>
          <w:kern w:val="0"/>
          <w:sz w:val="24"/>
        </w:rPr>
        <w:t>, Lihua Luo</w:t>
      </w:r>
      <w:r>
        <w:rPr>
          <w:rFonts w:ascii="Times New Roman" w:hAnsi="Times New Roman" w:eastAsia="宋体" w:cs="Times New Roman"/>
          <w:color w:val="000000"/>
          <w:kern w:val="0"/>
          <w:sz w:val="24"/>
          <w:vertAlign w:val="superscript"/>
        </w:rPr>
        <w:t>1,2*</w:t>
      </w:r>
    </w:p>
    <w:p w14:paraId="6C1F3E40">
      <w:pPr>
        <w:spacing w:line="480" w:lineRule="exact"/>
        <w:rPr>
          <w:rFonts w:ascii="Times New Roman" w:hAnsi="Times New Roman" w:eastAsia="等线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85BC620">
      <w:pPr>
        <w:spacing w:line="480" w:lineRule="exact"/>
        <w:rPr>
          <w:rFonts w:ascii="Times New Roman" w:hAnsi="Times New Roman" w:eastAsia="等线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等线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Affiliations:</w:t>
      </w:r>
    </w:p>
    <w:p w14:paraId="72E412BF">
      <w:pPr>
        <w:spacing w:line="480" w:lineRule="exact"/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vertAlign w:val="superscript"/>
        </w:rPr>
        <w:t>1</w:t>
      </w:r>
      <w:r>
        <w:rPr>
          <w:rFonts w:hint="default" w:ascii="Times New Roman" w:hAnsi="Times New Roman" w:eastAsia="宋体" w:cs="Times New Roman"/>
          <w:kern w:val="0"/>
          <w:sz w:val="24"/>
        </w:rPr>
        <w:t>School and Hospital of Stomatology, Wenzhou Medical University, Wenzhou, Zhejiang, China</w:t>
      </w:r>
      <w:r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  <w:t xml:space="preserve">. </w:t>
      </w:r>
    </w:p>
    <w:p w14:paraId="5A164DE4">
      <w:pPr>
        <w:spacing w:line="480" w:lineRule="exact"/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vertAlign w:val="superscript"/>
        </w:rPr>
        <w:t>2</w:t>
      </w:r>
      <w:r>
        <w:rPr>
          <w:rFonts w:hint="default" w:ascii="Times New Roman" w:hAnsi="Times New Roman" w:eastAsia="宋体" w:cs="Times New Roman"/>
          <w:kern w:val="0"/>
          <w:sz w:val="24"/>
        </w:rPr>
        <w:t>Oujiang Laboratory (Zhejiang Lab for Regenerative Medicine, Vision and Brain Health), School of Pharmaceutical Science, Wenzhou Medical University, Wenzhou, 325035, Zhejiang, China</w:t>
      </w:r>
      <w:r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  <w:t xml:space="preserve">. </w:t>
      </w:r>
    </w:p>
    <w:p w14:paraId="597D7771">
      <w:pPr>
        <w:spacing w:line="480" w:lineRule="exact"/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vertAlign w:val="superscript"/>
        </w:rPr>
        <w:t>3</w:t>
      </w:r>
      <w:r>
        <w:rPr>
          <w:rFonts w:hint="default" w:ascii="Times New Roman" w:hAnsi="Times New Roman" w:eastAsia="宋体" w:cs="Times New Roman"/>
          <w:kern w:val="0"/>
          <w:sz w:val="24"/>
        </w:rPr>
        <w:t>School of Pharmaceutical Science, Wenzhou Medical University, Wenzhou, Zhejiang, 325035, China</w:t>
      </w:r>
      <w:r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  <w:t xml:space="preserve">. </w:t>
      </w:r>
    </w:p>
    <w:p w14:paraId="73F05DE2">
      <w:pPr>
        <w:spacing w:line="480" w:lineRule="exact"/>
        <w:rPr>
          <w:rFonts w:ascii="Times New Roman" w:hAnsi="Times New Roman" w:eastAsia="宋体" w:cs="Times New Roman"/>
          <w:b/>
          <w:bCs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4"/>
          <w:vertAlign w:val="superscript"/>
        </w:rPr>
        <w:t>4</w:t>
      </w:r>
      <w:r>
        <w:rPr>
          <w:rFonts w:hint="default" w:ascii="Times New Roman" w:hAnsi="Times New Roman" w:eastAsia="宋体" w:cs="Times New Roman"/>
          <w:kern w:val="0"/>
          <w:sz w:val="24"/>
        </w:rPr>
        <w:t>Rehabilitation Medicine Center, The Second Affiliated Hospital and Yuying Children's Hospital of Wenzhou Medical University, Wenzhou 325027, Zhejiang, China</w:t>
      </w:r>
    </w:p>
    <w:p w14:paraId="64E559E1">
      <w:pPr>
        <w:widowControl/>
        <w:spacing w:before="240" w:line="480" w:lineRule="exact"/>
        <w:rPr>
          <w:rFonts w:ascii="Times New Roman" w:hAnsi="Times New Roman" w:eastAsia="微软雅黑" w:cs="Times New Roman"/>
          <w:color w:val="000000"/>
          <w:kern w:val="0"/>
          <w:sz w:val="24"/>
          <w:vertAlign w:val="superscript"/>
        </w:rPr>
      </w:pPr>
    </w:p>
    <w:p w14:paraId="068138A3">
      <w:pPr>
        <w:widowControl/>
        <w:spacing w:before="240" w:line="480" w:lineRule="exact"/>
        <w:rPr>
          <w:rFonts w:ascii="Times New Roman" w:hAnsi="Times New Roman" w:eastAsia="宋体" w:cs="Times New Roman"/>
          <w:b/>
          <w:bCs/>
          <w:kern w:val="0"/>
          <w:sz w:val="24"/>
        </w:rPr>
      </w:pPr>
      <w:r>
        <w:rPr>
          <w:rFonts w:ascii="Times New Roman" w:hAnsi="Times New Roman" w:eastAsia="微软雅黑" w:cs="Times New Roman"/>
          <w:color w:val="000000"/>
          <w:kern w:val="0"/>
          <w:sz w:val="24"/>
          <w:vertAlign w:val="superscript"/>
        </w:rPr>
        <w:t>✝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Na Dong, Chen Zhang and Qiao Zhang</w:t>
      </w:r>
      <w:r>
        <w:rPr>
          <w:rFonts w:ascii="Times New Roman" w:hAnsi="Times New Roman" w:eastAsia="宋体" w:cs="Times New Roman"/>
          <w:kern w:val="0"/>
          <w:sz w:val="24"/>
        </w:rPr>
        <w:t xml:space="preserve"> contributed equally to this work. </w:t>
      </w:r>
    </w:p>
    <w:p w14:paraId="3FEAB76A">
      <w:pPr>
        <w:widowControl/>
        <w:spacing w:line="480" w:lineRule="exac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*Correspondence:</w:t>
      </w:r>
    </w:p>
    <w:p w14:paraId="489C009C">
      <w:pPr>
        <w:widowControl/>
        <w:spacing w:line="480" w:lineRule="exact"/>
        <w:rPr>
          <w:rStyle w:val="6"/>
          <w:rFonts w:ascii="Times New Roman" w:hAnsi="Times New Roman" w:eastAsia="宋体" w:cs="Times New Roman"/>
          <w:color w:val="000000" w:themeColor="text1"/>
          <w:kern w:val="0"/>
          <w:sz w:val="24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kern w:val="0"/>
          <w:sz w:val="24"/>
        </w:rPr>
        <w:t>Lihua Luo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: </w:t>
      </w:r>
      <w:r>
        <w:fldChar w:fldCharType="begin"/>
      </w:r>
      <w:r>
        <w:instrText xml:space="preserve"> HYPERLINK "mailto:lihualuo@wmu.edu.cn" </w:instrText>
      </w:r>
      <w:r>
        <w:fldChar w:fldCharType="separate"/>
      </w:r>
      <w:r>
        <w:rPr>
          <w:rStyle w:val="6"/>
          <w:rFonts w:ascii="Times New Roman" w:hAnsi="Times New Roman" w:eastAsia="宋体" w:cs="Times New Roman"/>
          <w:color w:val="auto"/>
          <w:kern w:val="0"/>
          <w:sz w:val="24"/>
          <w:u w:val="none"/>
        </w:rPr>
        <w:t>lihualuo@wmu.edu.cn</w:t>
      </w:r>
      <w:r>
        <w:rPr>
          <w:rStyle w:val="6"/>
          <w:rFonts w:ascii="Times New Roman" w:hAnsi="Times New Roman" w:eastAsia="宋体" w:cs="Times New Roman"/>
          <w:color w:val="auto"/>
          <w:kern w:val="0"/>
          <w:sz w:val="24"/>
          <w:u w:val="none"/>
        </w:rPr>
        <w:br w:type="textWrapping"/>
      </w:r>
      <w:r>
        <w:rPr>
          <w:rStyle w:val="6"/>
          <w:rFonts w:ascii="Times New Roman" w:hAnsi="Times New Roman" w:eastAsia="宋体" w:cs="Times New Roman"/>
          <w:color w:val="auto"/>
          <w:kern w:val="0"/>
          <w:sz w:val="24"/>
          <w:u w:val="none"/>
        </w:rPr>
        <w:fldChar w:fldCharType="end"/>
      </w:r>
      <w:r>
        <w:rPr>
          <w:rFonts w:ascii="Times New Roman" w:hAnsi="Times New Roman" w:eastAsia="宋体" w:cs="Times New Roman"/>
          <w:kern w:val="0"/>
          <w:sz w:val="24"/>
        </w:rPr>
        <w:t>Zhouguang Wang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: </w:t>
      </w:r>
      <w:r>
        <w:fldChar w:fldCharType="begin"/>
      </w:r>
      <w:r>
        <w:instrText xml:space="preserve"> HYPERLINK "mailto:wangzhouguang@wmu.edu.cn" </w:instrText>
      </w:r>
      <w:r>
        <w:fldChar w:fldCharType="separate"/>
      </w:r>
      <w:r>
        <w:rPr>
          <w:rStyle w:val="6"/>
          <w:rFonts w:ascii="Times New Roman" w:hAnsi="Times New Roman" w:eastAsia="宋体" w:cs="Times New Roman"/>
          <w:color w:val="000000" w:themeColor="text1"/>
          <w:kern w:val="0"/>
          <w:sz w:val="24"/>
          <w:u w:val="none"/>
          <w14:textFill>
            <w14:solidFill>
              <w14:schemeClr w14:val="tx1"/>
            </w14:solidFill>
          </w14:textFill>
        </w:rPr>
        <w:t>wangzhouguang@wmu.edu.cn</w:t>
      </w:r>
      <w:r>
        <w:rPr>
          <w:rStyle w:val="6"/>
          <w:rFonts w:ascii="Times New Roman" w:hAnsi="Times New Roman" w:eastAsia="宋体" w:cs="Times New Roman"/>
          <w:color w:val="000000" w:themeColor="text1"/>
          <w:kern w:val="0"/>
          <w:sz w:val="24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396F041C">
      <w:pPr>
        <w:widowControl/>
        <w:spacing w:line="480" w:lineRule="exact"/>
        <w:rPr>
          <w:rStyle w:val="6"/>
          <w:rFonts w:ascii="Times New Roman" w:hAnsi="Times New Roman" w:eastAsia="宋体" w:cs="Times New Roman"/>
          <w:color w:val="000000" w:themeColor="text1"/>
          <w:kern w:val="0"/>
          <w:sz w:val="24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Xiaojun Cai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/>
        </w:rPr>
        <w:t xml:space="preserve">: </w:t>
      </w:r>
      <w:r>
        <w:rPr>
          <w:rStyle w:val="6"/>
          <w:rFonts w:ascii="Times New Roman" w:hAnsi="Times New Roman" w:eastAsia="宋体" w:cs="Times New Roman"/>
          <w:color w:val="000000" w:themeColor="text1"/>
          <w:kern w:val="0"/>
          <w:sz w:val="24"/>
          <w:u w:val="none"/>
          <w14:textFill>
            <w14:solidFill>
              <w14:schemeClr w14:val="tx1"/>
            </w14:solidFill>
          </w14:textFill>
        </w:rPr>
        <w:t>cxj520118@wmu.edu.cn</w:t>
      </w:r>
    </w:p>
    <w:p w14:paraId="0CEF93F4">
      <w:pPr>
        <w:widowControl/>
        <w:spacing w:line="480" w:lineRule="exact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Junpeng Xu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/>
        </w:rPr>
        <w:t xml:space="preserve">: 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>jpxu@wmu.edu.cn</w:t>
      </w:r>
    </w:p>
    <w:p w14:paraId="496CB7C8">
      <w:pPr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18353E54">
      <w:pPr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093F4B8F">
      <w:pPr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Table S1.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Mixing protocols for 1 mL of the FT and FT/CL hydrogels.</w:t>
      </w:r>
    </w:p>
    <w:tbl>
      <w:tblPr>
        <w:tblStyle w:val="4"/>
        <w:tblW w:w="85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943"/>
        <w:gridCol w:w="1109"/>
        <w:gridCol w:w="1072"/>
        <w:gridCol w:w="1088"/>
        <w:gridCol w:w="960"/>
        <w:gridCol w:w="952"/>
      </w:tblGrid>
      <w:tr w14:paraId="211A2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Align w:val="center"/>
          </w:tcPr>
          <w:p w14:paraId="3569647B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Substance</w:t>
            </w:r>
          </w:p>
        </w:tc>
        <w:tc>
          <w:tcPr>
            <w:tcW w:w="1943" w:type="dxa"/>
            <w:vAlign w:val="center"/>
          </w:tcPr>
          <w:p w14:paraId="5A206A9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Concentration</w:t>
            </w:r>
          </w:p>
        </w:tc>
        <w:tc>
          <w:tcPr>
            <w:tcW w:w="5181" w:type="dxa"/>
            <w:gridSpan w:val="5"/>
            <w:vAlign w:val="center"/>
          </w:tcPr>
          <w:p w14:paraId="4A283E2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[mL]</w:t>
            </w:r>
          </w:p>
        </w:tc>
      </w:tr>
      <w:tr w14:paraId="71BC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Align w:val="center"/>
          </w:tcPr>
          <w:p w14:paraId="7C48F452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CaCl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subscript"/>
                <w:lang w:val="en-US" w:eastAsia="zh-CN"/>
              </w:rPr>
              <w:t>2</w:t>
            </w:r>
          </w:p>
        </w:tc>
        <w:tc>
          <w:tcPr>
            <w:tcW w:w="1943" w:type="dxa"/>
            <w:vAlign w:val="center"/>
          </w:tcPr>
          <w:p w14:paraId="6E699001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126 mmol/L</w:t>
            </w:r>
          </w:p>
        </w:tc>
        <w:tc>
          <w:tcPr>
            <w:tcW w:w="5181" w:type="dxa"/>
            <w:gridSpan w:val="5"/>
            <w:shd w:val="clear" w:color="auto" w:fill="auto"/>
            <w:vAlign w:val="center"/>
          </w:tcPr>
          <w:p w14:paraId="7C2C062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To dissolve 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thrombin</w:t>
            </w:r>
          </w:p>
        </w:tc>
      </w:tr>
      <w:tr w14:paraId="6F226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Align w:val="center"/>
          </w:tcPr>
          <w:p w14:paraId="4583C407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NaCl</w:t>
            </w:r>
          </w:p>
        </w:tc>
        <w:tc>
          <w:tcPr>
            <w:tcW w:w="1943" w:type="dxa"/>
            <w:vAlign w:val="center"/>
          </w:tcPr>
          <w:p w14:paraId="5EC9E020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0.154 mol/L</w:t>
            </w:r>
          </w:p>
        </w:tc>
        <w:tc>
          <w:tcPr>
            <w:tcW w:w="5181" w:type="dxa"/>
            <w:gridSpan w:val="5"/>
            <w:shd w:val="clear" w:color="auto" w:fill="auto"/>
            <w:vAlign w:val="center"/>
          </w:tcPr>
          <w:p w14:paraId="0DBC083B">
            <w:pPr>
              <w:jc w:val="center"/>
              <w:rPr>
                <w:rFonts w:hint="eastAsia" w:ascii="Times New Roman" w:hAnsi="Times New Roman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To dissolve 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fibrinogen</w:t>
            </w:r>
          </w:p>
        </w:tc>
      </w:tr>
      <w:tr w14:paraId="48221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Align w:val="center"/>
          </w:tcPr>
          <w:p w14:paraId="1FCE6556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CL</w:t>
            </w:r>
          </w:p>
        </w:tc>
        <w:tc>
          <w:tcPr>
            <w:tcW w:w="1943" w:type="dxa"/>
            <w:vAlign w:val="center"/>
          </w:tcPr>
          <w:p w14:paraId="196EA876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150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μg/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mL</w:t>
            </w:r>
          </w:p>
        </w:tc>
        <w:tc>
          <w:tcPr>
            <w:tcW w:w="5181" w:type="dxa"/>
            <w:gridSpan w:val="5"/>
            <w:shd w:val="clear" w:color="auto" w:fill="auto"/>
            <w:vAlign w:val="center"/>
          </w:tcPr>
          <w:p w14:paraId="2128F312">
            <w:pPr>
              <w:jc w:val="center"/>
              <w:rPr>
                <w:rFonts w:hint="eastAsia" w:ascii="Times New Roman" w:hAnsi="Times New Roman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To dissolve 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fibrinogen</w:t>
            </w:r>
          </w:p>
        </w:tc>
      </w:tr>
      <w:tr w14:paraId="2AB19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Align w:val="center"/>
          </w:tcPr>
          <w:p w14:paraId="145AE9FC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Thrombin</w:t>
            </w:r>
          </w:p>
        </w:tc>
        <w:tc>
          <w:tcPr>
            <w:tcW w:w="1943" w:type="dxa"/>
            <w:vAlign w:val="center"/>
          </w:tcPr>
          <w:p w14:paraId="72625552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21 U/mL</w:t>
            </w:r>
          </w:p>
        </w:tc>
        <w:tc>
          <w:tcPr>
            <w:tcW w:w="1109" w:type="dxa"/>
            <w:vAlign w:val="center"/>
          </w:tcPr>
          <w:p w14:paraId="3F2CEF7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0.33</w:t>
            </w:r>
          </w:p>
        </w:tc>
        <w:tc>
          <w:tcPr>
            <w:tcW w:w="1072" w:type="dxa"/>
            <w:vAlign w:val="center"/>
          </w:tcPr>
          <w:p w14:paraId="53C12E1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0.50</w:t>
            </w:r>
          </w:p>
        </w:tc>
        <w:tc>
          <w:tcPr>
            <w:tcW w:w="1088" w:type="dxa"/>
            <w:vAlign w:val="center"/>
          </w:tcPr>
          <w:p w14:paraId="65C4CD3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0.60</w:t>
            </w:r>
          </w:p>
        </w:tc>
        <w:tc>
          <w:tcPr>
            <w:tcW w:w="960" w:type="dxa"/>
            <w:vAlign w:val="center"/>
          </w:tcPr>
          <w:p w14:paraId="05820C7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0.67</w:t>
            </w:r>
          </w:p>
        </w:tc>
        <w:tc>
          <w:tcPr>
            <w:tcW w:w="952" w:type="dxa"/>
            <w:vAlign w:val="center"/>
          </w:tcPr>
          <w:p w14:paraId="6072795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0.71</w:t>
            </w:r>
          </w:p>
        </w:tc>
      </w:tr>
      <w:tr w14:paraId="62C14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Align w:val="center"/>
          </w:tcPr>
          <w:p w14:paraId="179DE28C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Fibrinogen</w:t>
            </w:r>
          </w:p>
        </w:tc>
        <w:tc>
          <w:tcPr>
            <w:tcW w:w="1943" w:type="dxa"/>
            <w:vAlign w:val="center"/>
          </w:tcPr>
          <w:p w14:paraId="63689BB1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20 mg/mL</w:t>
            </w:r>
          </w:p>
        </w:tc>
        <w:tc>
          <w:tcPr>
            <w:tcW w:w="1109" w:type="dxa"/>
            <w:vAlign w:val="center"/>
          </w:tcPr>
          <w:p w14:paraId="017C30D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0.67</w:t>
            </w:r>
          </w:p>
        </w:tc>
        <w:tc>
          <w:tcPr>
            <w:tcW w:w="1072" w:type="dxa"/>
            <w:vAlign w:val="center"/>
          </w:tcPr>
          <w:p w14:paraId="6FE33D5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0.50</w:t>
            </w:r>
          </w:p>
        </w:tc>
        <w:tc>
          <w:tcPr>
            <w:tcW w:w="1088" w:type="dxa"/>
            <w:vAlign w:val="center"/>
          </w:tcPr>
          <w:p w14:paraId="7250E8E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0.40</w:t>
            </w:r>
          </w:p>
        </w:tc>
        <w:tc>
          <w:tcPr>
            <w:tcW w:w="960" w:type="dxa"/>
            <w:vAlign w:val="center"/>
          </w:tcPr>
          <w:p w14:paraId="0F4B3EE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0.33</w:t>
            </w:r>
          </w:p>
        </w:tc>
        <w:tc>
          <w:tcPr>
            <w:tcW w:w="952" w:type="dxa"/>
            <w:vAlign w:val="center"/>
          </w:tcPr>
          <w:p w14:paraId="5464256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0.29</w:t>
            </w:r>
          </w:p>
        </w:tc>
      </w:tr>
      <w:tr w14:paraId="0476B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8" w:type="dxa"/>
            <w:gridSpan w:val="2"/>
            <w:vAlign w:val="center"/>
          </w:tcPr>
          <w:p w14:paraId="18D30A7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Fibrinogen/Thrombin (FT)</w:t>
            </w:r>
          </w:p>
        </w:tc>
        <w:tc>
          <w:tcPr>
            <w:tcW w:w="1109" w:type="dxa"/>
            <w:vAlign w:val="center"/>
          </w:tcPr>
          <w:p w14:paraId="08C4EB8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1:0.5</w:t>
            </w:r>
          </w:p>
        </w:tc>
        <w:tc>
          <w:tcPr>
            <w:tcW w:w="1072" w:type="dxa"/>
            <w:vAlign w:val="center"/>
          </w:tcPr>
          <w:p w14:paraId="5DFE96C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1:1</w:t>
            </w:r>
          </w:p>
        </w:tc>
        <w:tc>
          <w:tcPr>
            <w:tcW w:w="1088" w:type="dxa"/>
            <w:vAlign w:val="center"/>
          </w:tcPr>
          <w:p w14:paraId="59B265A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1:1.5</w:t>
            </w:r>
          </w:p>
        </w:tc>
        <w:tc>
          <w:tcPr>
            <w:tcW w:w="960" w:type="dxa"/>
            <w:vAlign w:val="center"/>
          </w:tcPr>
          <w:p w14:paraId="1BEB1D1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1:2</w:t>
            </w:r>
          </w:p>
        </w:tc>
        <w:tc>
          <w:tcPr>
            <w:tcW w:w="952" w:type="dxa"/>
            <w:vAlign w:val="center"/>
          </w:tcPr>
          <w:p w14:paraId="249C1A8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1:2.5</w:t>
            </w:r>
          </w:p>
        </w:tc>
      </w:tr>
      <w:tr w14:paraId="5E48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9" w:type="dxa"/>
            <w:gridSpan w:val="7"/>
            <w:vAlign w:val="center"/>
          </w:tcPr>
          <w:p w14:paraId="3A4DD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As for FT hydrogels, 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 xml:space="preserve">fibrinogen dissolved with NaCl solution; as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for FT/CL hydrogels,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fibrinogen 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dissolved with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CL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solution.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</w:tr>
    </w:tbl>
    <w:p w14:paraId="093C8629"/>
    <w:p w14:paraId="56A9CCD1"/>
    <w:p w14:paraId="4C292B6F"/>
    <w:p w14:paraId="512F675F">
      <w:pPr>
        <w:jc w:val="center"/>
        <w:rPr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Table S2.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Gel time, swelling ratio of FT hydrogels with different proportions.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3F343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B80F9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Group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5A590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Gel time (s)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D80A9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Swelling ratio (%)</w:t>
            </w:r>
          </w:p>
        </w:tc>
      </w:tr>
      <w:tr w14:paraId="72354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842F5A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FT (1:0.5)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772A2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842462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21.11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0.14</w:t>
            </w:r>
          </w:p>
        </w:tc>
      </w:tr>
      <w:tr w14:paraId="3A3A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02A8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FT (1:1)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F503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E1D3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28.63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2.43</w:t>
            </w:r>
          </w:p>
        </w:tc>
      </w:tr>
      <w:tr w14:paraId="198C8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0FCF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FT (1:1.5)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BD88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6848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44.22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0.98</w:t>
            </w:r>
          </w:p>
        </w:tc>
      </w:tr>
      <w:tr w14:paraId="77CA4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CD36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FT (1:2)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5C9B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9A84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39.77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1.05</w:t>
            </w:r>
          </w:p>
        </w:tc>
      </w:tr>
      <w:tr w14:paraId="4FBAE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C8F8A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FT (1:2.5)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BBCFE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90B2B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36.70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1.68</w:t>
            </w:r>
          </w:p>
        </w:tc>
      </w:tr>
    </w:tbl>
    <w:p w14:paraId="4110998D"/>
    <w:p w14:paraId="261ED2E0"/>
    <w:p w14:paraId="695907CD"/>
    <w:p w14:paraId="5308AF0E"/>
    <w:p w14:paraId="5EF169FD"/>
    <w:p w14:paraId="57270206"/>
    <w:p w14:paraId="34F427BC"/>
    <w:p w14:paraId="0629BA9E">
      <w:pPr>
        <w:jc w:val="center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3178810" cy="1566545"/>
            <wp:effectExtent l="0" t="0" r="8890" b="8255"/>
            <wp:docPr id="1" name="图片 1" descr="S1 成胶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 成胶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881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EEAB7">
      <w:pPr>
        <w:jc w:val="center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Gel picture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of FT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hydro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gels with different proportions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 w14:paraId="636AA02D">
      <w:pPr>
        <w:jc w:val="center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302F80FA">
      <w:pP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6535076B">
      <w:pP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26CA19CC">
      <w:pP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6690" cy="1391285"/>
            <wp:effectExtent l="0" t="0" r="3810" b="5715"/>
            <wp:docPr id="11" name="图片 11" descr="S2 溃疡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2 溃疡面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4E427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Statistics of ulcer surfaces on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ay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1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),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ay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3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),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ay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5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),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and d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ay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7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).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Cs w:val="21"/>
        </w:rPr>
        <w:t xml:space="preserve">In all experiments, data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were</w:t>
      </w:r>
      <w:r>
        <w:rPr>
          <w:rFonts w:hint="default" w:ascii="Times New Roman" w:hAnsi="Times New Roman" w:eastAsia="宋体" w:cs="Times New Roman"/>
          <w:szCs w:val="21"/>
        </w:rPr>
        <w:t xml:space="preserve"> presented as mean ± SD for n = 3 biological replicates.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0.05,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0.01,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0.001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. </w:t>
      </w:r>
    </w:p>
    <w:p w14:paraId="6D64F560">
      <w:pPr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5DA76DF1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2CFA38D6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442D0CBD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1E3FE110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00DC2281">
      <w:pPr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3666490" cy="1475740"/>
            <wp:effectExtent l="0" t="0" r="3810" b="10160"/>
            <wp:docPr id="2" name="图片 2" descr="S3 行为学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3 行为学D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40206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Statistics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analysis of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facial wiping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and mouth rubbing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during a 3-min block on day 3. </w:t>
      </w:r>
      <w:r>
        <w:rPr>
          <w:rFonts w:hint="default" w:ascii="Times New Roman" w:hAnsi="Times New Roman" w:eastAsia="宋体" w:cs="Times New Roman"/>
          <w:szCs w:val="21"/>
        </w:rPr>
        <w:t xml:space="preserve">In all experiments, data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were</w:t>
      </w:r>
      <w:r>
        <w:rPr>
          <w:rFonts w:hint="default" w:ascii="Times New Roman" w:hAnsi="Times New Roman" w:eastAsia="宋体" w:cs="Times New Roman"/>
          <w:szCs w:val="21"/>
        </w:rPr>
        <w:t xml:space="preserve"> presented as mean ± SD for n = 3 biological replicates.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0.05,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0.01,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0.001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. </w:t>
      </w:r>
    </w:p>
    <w:p w14:paraId="3ECD3445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525AF887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27EE245D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470431C3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7C0F5DBD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0E94DA91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4D355543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67325" cy="3469005"/>
            <wp:effectExtent l="0" t="0" r="3175" b="10795"/>
            <wp:docPr id="12" name="图片 12" descr="S3 D3Mas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3 D3Masso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C97E7">
      <w:pP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FT/CL’s effectiveness in repairing tongue tissue in oral ulcer rats on day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3.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Masson staining of ulcerated tongue tissue.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Quantification of infiltrated inflammatory cells.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Quantitative analysis of collagen synthesis.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Cs w:val="21"/>
        </w:rPr>
        <w:t xml:space="preserve">In all experiments, data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were</w:t>
      </w:r>
      <w:r>
        <w:rPr>
          <w:rFonts w:hint="default" w:ascii="Times New Roman" w:hAnsi="Times New Roman" w:eastAsia="宋体" w:cs="Times New Roman"/>
          <w:szCs w:val="21"/>
        </w:rPr>
        <w:t xml:space="preserve"> presented as mean ± SD for n = 3 biological replicates.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0.05,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0.01,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0.001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. </w:t>
      </w:r>
    </w:p>
    <w:p w14:paraId="5A554E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1DD5D6A9">
      <w:pP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5350E3F9">
      <w:pP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1D5F21AA">
      <w:pP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43765923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74310" cy="2512695"/>
            <wp:effectExtent l="0" t="0" r="8890" b="1905"/>
            <wp:docPr id="13" name="图片 13" descr="S4 D3统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4 D3统计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497C4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.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A, B, C, D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Statistical analysis of immunofluorescence intensity of iNOS, TNF-α, CD 206 and Arg1 expressions in each group. (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E, F, G, H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) mRNA expression levels of iNOS, TNF-α, CD206 and Arg1 in each group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szCs w:val="21"/>
        </w:rPr>
        <w:t xml:space="preserve">In all experiments, data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were</w:t>
      </w:r>
      <w:r>
        <w:rPr>
          <w:rFonts w:hint="default" w:ascii="Times New Roman" w:hAnsi="Times New Roman" w:eastAsia="宋体" w:cs="Times New Roman"/>
          <w:szCs w:val="21"/>
        </w:rPr>
        <w:t xml:space="preserve"> presented as mean ± SD for n = 3 biological replicates.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0.05,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0.01, </w:t>
      </w:r>
      <w:r>
        <w:rPr>
          <w:rFonts w:hint="default" w:ascii="Times New Roman" w:hAnsi="Times New Roman" w:eastAsia="宋体" w:cs="Times New Roman"/>
          <w:szCs w:val="21"/>
          <w:vertAlign w:val="superscript"/>
        </w:rPr>
        <w:t>***</w:t>
      </w:r>
      <w:r>
        <w:rPr>
          <w:rFonts w:hint="default" w:ascii="Times New Roman" w:hAnsi="Times New Roman" w:eastAsia="宋体" w:cs="Times New Roman"/>
          <w:i/>
          <w:iCs/>
          <w:szCs w:val="21"/>
        </w:rPr>
        <w:t>p</w:t>
      </w:r>
      <w:r>
        <w:rPr>
          <w:rFonts w:hint="default" w:ascii="Times New Roman" w:hAnsi="Times New Roman" w:eastAsia="宋体" w:cs="Times New Roman"/>
          <w:szCs w:val="21"/>
        </w:rPr>
        <w:t xml:space="preserve"> &lt; 0.001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dfbea6e4-67e6-4bce-906a-9b37d6cf568d"/>
  </w:docVars>
  <w:rsids>
    <w:rsidRoot w:val="00000000"/>
    <w:rsid w:val="00377076"/>
    <w:rsid w:val="021365F0"/>
    <w:rsid w:val="065A552A"/>
    <w:rsid w:val="06FF6413"/>
    <w:rsid w:val="084762C4"/>
    <w:rsid w:val="087150EF"/>
    <w:rsid w:val="09EA6F07"/>
    <w:rsid w:val="0B845139"/>
    <w:rsid w:val="0BAF479B"/>
    <w:rsid w:val="0CDB2C00"/>
    <w:rsid w:val="1154649A"/>
    <w:rsid w:val="166938A9"/>
    <w:rsid w:val="1670755D"/>
    <w:rsid w:val="18AE1A47"/>
    <w:rsid w:val="1A1B310D"/>
    <w:rsid w:val="1A1B4EBB"/>
    <w:rsid w:val="1AC13CB4"/>
    <w:rsid w:val="1B3501FE"/>
    <w:rsid w:val="1BD21EF1"/>
    <w:rsid w:val="1D2C3717"/>
    <w:rsid w:val="1D997E3A"/>
    <w:rsid w:val="20B816B5"/>
    <w:rsid w:val="20E406FC"/>
    <w:rsid w:val="21562C7C"/>
    <w:rsid w:val="22034BB2"/>
    <w:rsid w:val="220D77DF"/>
    <w:rsid w:val="22721474"/>
    <w:rsid w:val="23567ACE"/>
    <w:rsid w:val="248367D1"/>
    <w:rsid w:val="256057F3"/>
    <w:rsid w:val="25691DA4"/>
    <w:rsid w:val="2B206D89"/>
    <w:rsid w:val="2B746B21"/>
    <w:rsid w:val="2B9733C5"/>
    <w:rsid w:val="2B980A61"/>
    <w:rsid w:val="2D32155D"/>
    <w:rsid w:val="2E304F81"/>
    <w:rsid w:val="2FA77C2E"/>
    <w:rsid w:val="306E7FE2"/>
    <w:rsid w:val="33003150"/>
    <w:rsid w:val="35B2606A"/>
    <w:rsid w:val="3A486F67"/>
    <w:rsid w:val="3B9F4AB7"/>
    <w:rsid w:val="3D404AB5"/>
    <w:rsid w:val="3D735E5D"/>
    <w:rsid w:val="3DB57251"/>
    <w:rsid w:val="3DD863C0"/>
    <w:rsid w:val="3DDE5DB4"/>
    <w:rsid w:val="3E2148E6"/>
    <w:rsid w:val="3E9B6EC4"/>
    <w:rsid w:val="41AF2209"/>
    <w:rsid w:val="41FB71FC"/>
    <w:rsid w:val="425061A3"/>
    <w:rsid w:val="44703ED1"/>
    <w:rsid w:val="467F03FC"/>
    <w:rsid w:val="46935C55"/>
    <w:rsid w:val="46B02CAB"/>
    <w:rsid w:val="46DB2BB3"/>
    <w:rsid w:val="48764E94"/>
    <w:rsid w:val="496D614C"/>
    <w:rsid w:val="497A30FC"/>
    <w:rsid w:val="4DED0341"/>
    <w:rsid w:val="4E281379"/>
    <w:rsid w:val="4ED95A65"/>
    <w:rsid w:val="5076288C"/>
    <w:rsid w:val="51EE0B2B"/>
    <w:rsid w:val="53362275"/>
    <w:rsid w:val="533B38FC"/>
    <w:rsid w:val="53794425"/>
    <w:rsid w:val="54C37F16"/>
    <w:rsid w:val="579569BD"/>
    <w:rsid w:val="58B37235"/>
    <w:rsid w:val="58FC31F0"/>
    <w:rsid w:val="5C2869E8"/>
    <w:rsid w:val="5D554A6F"/>
    <w:rsid w:val="5DB93D9B"/>
    <w:rsid w:val="600B7237"/>
    <w:rsid w:val="6051650D"/>
    <w:rsid w:val="62C468F5"/>
    <w:rsid w:val="62E713AB"/>
    <w:rsid w:val="64025974"/>
    <w:rsid w:val="64CA2D32"/>
    <w:rsid w:val="65B0596B"/>
    <w:rsid w:val="66AF230E"/>
    <w:rsid w:val="69C67F6C"/>
    <w:rsid w:val="6B3C600C"/>
    <w:rsid w:val="6BD61FBC"/>
    <w:rsid w:val="6D1E1990"/>
    <w:rsid w:val="70310109"/>
    <w:rsid w:val="708E0235"/>
    <w:rsid w:val="73025D8D"/>
    <w:rsid w:val="746565D3"/>
    <w:rsid w:val="74EE0377"/>
    <w:rsid w:val="776C1A27"/>
    <w:rsid w:val="77AD62C7"/>
    <w:rsid w:val="78037B0C"/>
    <w:rsid w:val="79D97847"/>
    <w:rsid w:val="7C110C5B"/>
    <w:rsid w:val="7D1110A6"/>
    <w:rsid w:val="7F5C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466</Words>
  <Characters>2546</Characters>
  <Lines>0</Lines>
  <Paragraphs>0</Paragraphs>
  <TotalTime>0</TotalTime>
  <ScaleCrop>false</ScaleCrop>
  <LinksUpToDate>false</LinksUpToDate>
  <CharactersWithSpaces>2950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2024-12-06T08:31:00Z</dcterms:created>
  <dc:creator>董娜</dc:creator>
  <cp:lastModifiedBy>WPS_713434077</cp:lastModifiedBy>
  <dcterms:modified xsi:type="dcterms:W3CDTF">2025-06-19T10:38:38Z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4567F181370B4AED9E364F9AD6A4E3B8_13</vt:lpwstr>
  </property>
  <property fmtid="{D5CDD505-2E9C-101B-9397-08002B2CF9AE}" pid="4" name="KSOTemplateDocerSaveRecord">
    <vt:lpwstr>eyJoZGlkIjoiMzEwNTM5NzYwMDRjMzkwZTVkZjY2ODkwMGIxNGU0OTUiLCJ1c2VySWQiOiI3MTM0MzQwNzcifQ==</vt:lpwstr>
  </property>
</Properties>
</file>