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63D12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Table S1. Mouse shRNA primer sequences</w:t>
      </w:r>
      <w:r>
        <w:rPr>
          <w:rFonts w:hint="eastAsia" w:cs="Times New Roman"/>
          <w:b/>
          <w:bCs/>
          <w:sz w:val="24"/>
          <w:szCs w:val="24"/>
          <w:lang w:val="en-US" w:eastAsia="zh-CN"/>
        </w:rPr>
        <w:t>.</w:t>
      </w:r>
    </w:p>
    <w:tbl>
      <w:tblPr>
        <w:tblStyle w:val="4"/>
        <w:tblW w:w="4999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3"/>
        <w:gridCol w:w="7089"/>
      </w:tblGrid>
      <w:tr w14:paraId="794BB7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402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765B96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Plasmids</w:t>
            </w:r>
          </w:p>
        </w:tc>
        <w:tc>
          <w:tcPr>
            <w:tcW w:w="3597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32A830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Primer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equence(5’-3’)</w:t>
            </w:r>
          </w:p>
        </w:tc>
      </w:tr>
      <w:tr w14:paraId="10CB96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1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B2F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sh-NC</w:t>
            </w:r>
          </w:p>
        </w:tc>
        <w:tc>
          <w:tcPr>
            <w:tcW w:w="3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B05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GATCGTACTCACATCCACACT</w:t>
            </w:r>
          </w:p>
        </w:tc>
      </w:tr>
      <w:tr w14:paraId="6568CE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071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sh-SIRT1-1</w:t>
            </w:r>
          </w:p>
        </w:tc>
        <w:tc>
          <w:tcPr>
            <w:tcW w:w="35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375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CGCTGTGGCAGATTGTTATTA</w:t>
            </w:r>
          </w:p>
        </w:tc>
      </w:tr>
      <w:tr w14:paraId="446E78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1402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00C5A0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sh- SIRT1-2</w:t>
            </w:r>
          </w:p>
        </w:tc>
        <w:tc>
          <w:tcPr>
            <w:tcW w:w="3597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38A246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GCTGTGGCAGATTGTTATTAA</w:t>
            </w:r>
          </w:p>
        </w:tc>
      </w:tr>
    </w:tbl>
    <w:p w14:paraId="5D0AAA0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2" w:firstLineChars="200"/>
        <w:jc w:val="center"/>
        <w:textAlignment w:val="auto"/>
        <w:rPr>
          <w:rFonts w:hint="default" w:ascii="Times New Roman" w:hAnsi="Times New Roman" w:cs="Times New Roman"/>
          <w:b/>
          <w:sz w:val="24"/>
          <w:szCs w:val="24"/>
        </w:rPr>
      </w:pPr>
    </w:p>
    <w:p w14:paraId="0729062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br w:type="page"/>
      </w:r>
    </w:p>
    <w:p w14:paraId="7D295F8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eastAsia" w:ascii="Times New Roman" w:hAnsi="Times New Roman" w:eastAsia="宋体" w:cs="Times New Roman"/>
          <w:b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 xml:space="preserve">Table S2. </w:t>
      </w:r>
      <w:r>
        <w:rPr>
          <w:rFonts w:hint="default" w:ascii="Times New Roman" w:hAnsi="Times New Roman" w:cs="Times New Roman"/>
          <w:b/>
          <w:i/>
          <w:iCs/>
          <w:sz w:val="24"/>
          <w:szCs w:val="24"/>
        </w:rPr>
        <w:t xml:space="preserve">In vivo </w:t>
      </w:r>
      <w:r>
        <w:rPr>
          <w:rFonts w:hint="default" w:ascii="Times New Roman" w:hAnsi="Times New Roman" w:cs="Times New Roman"/>
          <w:b/>
          <w:sz w:val="24"/>
          <w:szCs w:val="24"/>
        </w:rPr>
        <w:t>experiment grouping information</w:t>
      </w:r>
      <w:r>
        <w:rPr>
          <w:rFonts w:hint="eastAsia" w:cs="Times New Roman"/>
          <w:b/>
          <w:sz w:val="24"/>
          <w:szCs w:val="24"/>
          <w:lang w:val="en-US" w:eastAsia="zh-CN"/>
        </w:rPr>
        <w:t>.</w:t>
      </w:r>
    </w:p>
    <w:tbl>
      <w:tblPr>
        <w:tblStyle w:val="4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4"/>
        <w:gridCol w:w="7550"/>
      </w:tblGrid>
      <w:tr w14:paraId="2E9550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169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374386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Group</w:t>
            </w:r>
          </w:p>
        </w:tc>
        <w:tc>
          <w:tcPr>
            <w:tcW w:w="3830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349E0E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Treatment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M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ethod</w:t>
            </w:r>
          </w:p>
        </w:tc>
      </w:tr>
      <w:tr w14:paraId="0B1632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14D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Control</w:t>
            </w:r>
          </w:p>
        </w:tc>
        <w:tc>
          <w:tcPr>
            <w:tcW w:w="3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367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Regular cultivation</w:t>
            </w:r>
          </w:p>
        </w:tc>
      </w:tr>
      <w:tr w14:paraId="4EB8B8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930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DNT</w:t>
            </w:r>
          </w:p>
        </w:tc>
        <w:tc>
          <w:tcPr>
            <w:tcW w:w="3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356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Sevoflurane treatment</w:t>
            </w:r>
          </w:p>
        </w:tc>
      </w:tr>
      <w:tr w14:paraId="4A87CAA2">
        <w:trPr>
          <w:trHeight w:val="312" w:hRule="atLeast"/>
        </w:trPr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51A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Angiopep-2/SIRT1</w:t>
            </w:r>
          </w:p>
        </w:tc>
        <w:tc>
          <w:tcPr>
            <w:tcW w:w="3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791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Sevoflurane treatment + Injection of Angiopep-2/SIRT1</w:t>
            </w:r>
          </w:p>
        </w:tc>
      </w:tr>
      <w:tr w14:paraId="414ADD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586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sh-NC</w:t>
            </w:r>
          </w:p>
        </w:tc>
        <w:tc>
          <w:tcPr>
            <w:tcW w:w="3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7CC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Injection of interference control lentivirus after sevoflurane treatment</w:t>
            </w:r>
          </w:p>
        </w:tc>
      </w:tr>
      <w:tr w14:paraId="6A145E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C7A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sh-NC+Angiopep-2/SIRT1</w:t>
            </w:r>
          </w:p>
        </w:tc>
        <w:tc>
          <w:tcPr>
            <w:tcW w:w="3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2CB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Injection of interference control lentivirus after sevoflurane treatment + Injection of Angiopep-2/SIRT1</w:t>
            </w:r>
          </w:p>
        </w:tc>
      </w:tr>
      <w:tr w14:paraId="70B6E5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6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A7E32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sh-SIRT1</w:t>
            </w:r>
          </w:p>
        </w:tc>
        <w:tc>
          <w:tcPr>
            <w:tcW w:w="383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66A22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Injection of lentivirus interfering with SIRT1 after sevoflurane treatment</w:t>
            </w:r>
          </w:p>
        </w:tc>
      </w:tr>
      <w:tr w14:paraId="4ACD8F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69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3394BA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Angiopep-2/SIRT1+sh-SIRT1</w:t>
            </w:r>
          </w:p>
        </w:tc>
        <w:tc>
          <w:tcPr>
            <w:tcW w:w="3830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6BB2F0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Injection of lentivirus interfering with SIRT1 after sevoflurane treatment + Injection of Angiopep-2/SIRT1</w:t>
            </w:r>
          </w:p>
        </w:tc>
      </w:tr>
    </w:tbl>
    <w:p w14:paraId="4B0886A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0D7A5AA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br w:type="page"/>
      </w:r>
    </w:p>
    <w:p w14:paraId="0F4C008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Table S3. Human shRNA primer sequences</w:t>
      </w:r>
      <w:r>
        <w:rPr>
          <w:rFonts w:hint="eastAsia" w:cs="Times New Roman"/>
          <w:b/>
          <w:bCs/>
          <w:sz w:val="24"/>
          <w:szCs w:val="24"/>
          <w:lang w:val="en-US" w:eastAsia="zh-CN"/>
        </w:rPr>
        <w:t>.</w:t>
      </w:r>
    </w:p>
    <w:tbl>
      <w:tblPr>
        <w:tblStyle w:val="4"/>
        <w:tblW w:w="4999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12"/>
        <w:gridCol w:w="7140"/>
      </w:tblGrid>
      <w:tr w14:paraId="790057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376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71BE0F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Plasmids</w:t>
            </w:r>
          </w:p>
        </w:tc>
        <w:tc>
          <w:tcPr>
            <w:tcW w:w="3623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2357C3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Primer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equence(5’-3’)</w:t>
            </w:r>
          </w:p>
        </w:tc>
      </w:tr>
      <w:tr w14:paraId="35298D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1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158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sh-NC</w:t>
            </w:r>
          </w:p>
        </w:tc>
        <w:tc>
          <w:tcPr>
            <w:tcW w:w="3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001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GATCGTACTCACATCCACACT</w:t>
            </w:r>
          </w:p>
        </w:tc>
      </w:tr>
      <w:tr w14:paraId="7F96EA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538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sh-SIRT1-1</w:t>
            </w:r>
          </w:p>
        </w:tc>
        <w:tc>
          <w:tcPr>
            <w:tcW w:w="3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DE3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CAGGTCAAGGGATGGTATTTA</w:t>
            </w:r>
          </w:p>
        </w:tc>
      </w:tr>
      <w:tr w14:paraId="30D220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1376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5BA95A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both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sh- SIRT1-2</w:t>
            </w:r>
          </w:p>
        </w:tc>
        <w:tc>
          <w:tcPr>
            <w:tcW w:w="3623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0B03EE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GCGGGAATCCAAAGGATAATT</w:t>
            </w:r>
          </w:p>
        </w:tc>
      </w:tr>
    </w:tbl>
    <w:p w14:paraId="082B478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618A3A7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br w:type="page"/>
      </w:r>
    </w:p>
    <w:p w14:paraId="7F640CE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eastAsia" w:ascii="Times New Roman" w:hAnsi="Times New Roman" w:eastAsia="宋体" w:cs="Times New Roman"/>
          <w:b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 xml:space="preserve">Table S4. </w:t>
      </w:r>
      <w:r>
        <w:rPr>
          <w:rFonts w:hint="default" w:ascii="Times New Roman" w:hAnsi="Times New Roman" w:cs="Times New Roman"/>
          <w:b/>
          <w:i/>
          <w:iCs/>
          <w:sz w:val="24"/>
          <w:szCs w:val="24"/>
        </w:rPr>
        <w:t xml:space="preserve">In vitro </w:t>
      </w:r>
      <w:r>
        <w:rPr>
          <w:rFonts w:hint="default" w:ascii="Times New Roman" w:hAnsi="Times New Roman" w:cs="Times New Roman"/>
          <w:b/>
          <w:sz w:val="24"/>
          <w:szCs w:val="24"/>
        </w:rPr>
        <w:t>experiment grouping information</w:t>
      </w:r>
      <w:r>
        <w:rPr>
          <w:rFonts w:hint="eastAsia" w:cs="Times New Roman"/>
          <w:b/>
          <w:sz w:val="24"/>
          <w:szCs w:val="24"/>
          <w:lang w:val="en-US" w:eastAsia="zh-CN"/>
        </w:rPr>
        <w:t>.</w:t>
      </w:r>
    </w:p>
    <w:tbl>
      <w:tblPr>
        <w:tblStyle w:val="4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6"/>
        <w:gridCol w:w="7718"/>
      </w:tblGrid>
      <w:tr w14:paraId="377A54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083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3C5045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Group</w:t>
            </w:r>
          </w:p>
        </w:tc>
        <w:tc>
          <w:tcPr>
            <w:tcW w:w="3916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6E75C7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Treatment 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M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ethod</w:t>
            </w:r>
          </w:p>
        </w:tc>
      </w:tr>
      <w:tr w14:paraId="01CA4D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20B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sh-NC</w:t>
            </w:r>
          </w:p>
        </w:tc>
        <w:tc>
          <w:tcPr>
            <w:tcW w:w="3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D53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Transfection of lentivirus in SH-SY5Y cells, treated with sevoflurane for 24 hours</w:t>
            </w:r>
          </w:p>
        </w:tc>
      </w:tr>
      <w:tr w14:paraId="1A7EC9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9E2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sh-NC+Angiopep-2/SIRT1</w:t>
            </w:r>
          </w:p>
        </w:tc>
        <w:tc>
          <w:tcPr>
            <w:tcW w:w="39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E00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Transfection of lentivirus in SH-SY5Y cells, treated with sevoflurane + 80 μM Angiopep-2/SIRT1 for 24 hours</w:t>
            </w:r>
          </w:p>
        </w:tc>
      </w:tr>
      <w:tr w14:paraId="6EA0CF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8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D1426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sh-SIRT1</w:t>
            </w:r>
          </w:p>
        </w:tc>
        <w:tc>
          <w:tcPr>
            <w:tcW w:w="391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910A5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Transfection of lentivirus SIRT1 in SH-SY5Y cells, treated with sevoflurane for 24 hours</w:t>
            </w:r>
          </w:p>
        </w:tc>
      </w:tr>
      <w:tr w14:paraId="7E3D75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83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2A3C01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Angiopep-2/SIRT1+sh-SIRT1</w:t>
            </w:r>
          </w:p>
        </w:tc>
        <w:tc>
          <w:tcPr>
            <w:tcW w:w="3916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5B1636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Transfection of lentivirus SIRT1 in SH-SY5Y cells, treated with sevoflurane + 80 μM Angiopep-2/SIRT1 for 24 hours</w:t>
            </w:r>
          </w:p>
        </w:tc>
      </w:tr>
    </w:tbl>
    <w:p w14:paraId="16CBCEF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0DB9DEC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br w:type="page"/>
      </w:r>
    </w:p>
    <w:p w14:paraId="433F1197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jc w:val="both"/>
        <w:textAlignment w:val="auto"/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Table S5. RT-qPCR primer sequence</w:t>
      </w:r>
      <w:r>
        <w:rPr>
          <w:rFonts w:hint="eastAsia" w:cs="Times New Roman"/>
          <w:b/>
          <w:bCs/>
          <w:sz w:val="24"/>
          <w:szCs w:val="24"/>
          <w:lang w:val="en-US" w:eastAsia="zh-CN"/>
        </w:rPr>
        <w:t>.</w:t>
      </w:r>
    </w:p>
    <w:tbl>
      <w:tblPr>
        <w:tblStyle w:val="4"/>
        <w:tblW w:w="4998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1"/>
        <w:gridCol w:w="2043"/>
        <w:gridCol w:w="5626"/>
      </w:tblGrid>
      <w:tr w14:paraId="74235A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07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6592A4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Gene</w:t>
            </w:r>
          </w:p>
        </w:tc>
        <w:tc>
          <w:tcPr>
            <w:tcW w:w="1037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45C80E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Article Number</w:t>
            </w:r>
          </w:p>
        </w:tc>
        <w:tc>
          <w:tcPr>
            <w:tcW w:w="2855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26DC7F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Primer Sequence(5’-3’)</w:t>
            </w:r>
          </w:p>
        </w:tc>
      </w:tr>
      <w:tr w14:paraId="5C5485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07" w:type="pct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705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IL-6(Mouse)</w:t>
            </w:r>
          </w:p>
        </w:tc>
        <w:tc>
          <w:tcPr>
            <w:tcW w:w="1037" w:type="pct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FBB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MP206798</w:t>
            </w:r>
          </w:p>
        </w:tc>
        <w:tc>
          <w:tcPr>
            <w:tcW w:w="2855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B6C2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  <w:t xml:space="preserve">Forward: 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TACCACTTCACAAGTCGGAGGC</w:t>
            </w:r>
          </w:p>
        </w:tc>
      </w:tr>
      <w:tr w14:paraId="48F352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07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7F69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7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89F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BE3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  <w:t xml:space="preserve">Reverse: 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CTGCAAGTGCATCATCGTTGTTC</w:t>
            </w:r>
          </w:p>
        </w:tc>
      </w:tr>
      <w:tr w14:paraId="4698A6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0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34A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TNF-α(Mouse)</w:t>
            </w:r>
          </w:p>
        </w:tc>
        <w:tc>
          <w:tcPr>
            <w:tcW w:w="103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AF2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MP217748</w:t>
            </w:r>
          </w:p>
        </w:tc>
        <w:tc>
          <w:tcPr>
            <w:tcW w:w="2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E1F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  <w:t xml:space="preserve">Forward: 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GGTGCCTATGTCTCAGCCTCTT</w:t>
            </w:r>
          </w:p>
        </w:tc>
      </w:tr>
      <w:tr w14:paraId="099AF7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07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302A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7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953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7C4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  <w:t xml:space="preserve">Reverse: 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GCCATAGAACTGATGAGAGGGAG</w:t>
            </w:r>
          </w:p>
        </w:tc>
      </w:tr>
      <w:tr w14:paraId="288668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0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501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TGFβ(Mouse)</w:t>
            </w:r>
          </w:p>
        </w:tc>
        <w:tc>
          <w:tcPr>
            <w:tcW w:w="103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8A0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MP217184</w:t>
            </w:r>
          </w:p>
        </w:tc>
        <w:tc>
          <w:tcPr>
            <w:tcW w:w="2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18F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  <w:t xml:space="preserve">Forward: 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TGATACGCCTGAGTGGCTGTCT</w:t>
            </w:r>
          </w:p>
        </w:tc>
      </w:tr>
      <w:tr w14:paraId="7576A2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07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56E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7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1723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77D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  <w:t xml:space="preserve">Reverse: 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CACAAGAGCAGTGAGCGCTGAA</w:t>
            </w:r>
          </w:p>
        </w:tc>
      </w:tr>
      <w:tr w14:paraId="741ACF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0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231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GAPDH(Mouse)</w:t>
            </w:r>
          </w:p>
        </w:tc>
        <w:tc>
          <w:tcPr>
            <w:tcW w:w="103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2D7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MP205604</w:t>
            </w:r>
          </w:p>
        </w:tc>
        <w:tc>
          <w:tcPr>
            <w:tcW w:w="2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961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  <w:t xml:space="preserve">Forward: 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CATCACTGCCACCCAGAAGACTG</w:t>
            </w:r>
          </w:p>
        </w:tc>
      </w:tr>
      <w:tr w14:paraId="1C3A9C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07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424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7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EE1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712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  <w:t xml:space="preserve">Reverse: 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ATGCCAGTGAGCTTCCCGTTCAG</w:t>
            </w:r>
          </w:p>
        </w:tc>
      </w:tr>
      <w:tr w14:paraId="0962DC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35E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14:paraId="6D1C6D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0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CE1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IL-6(Human)</w:t>
            </w:r>
          </w:p>
        </w:tc>
        <w:tc>
          <w:tcPr>
            <w:tcW w:w="103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4C61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HP200567</w:t>
            </w:r>
          </w:p>
        </w:tc>
        <w:tc>
          <w:tcPr>
            <w:tcW w:w="2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16D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  <w:t xml:space="preserve">Forward: 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AGACAGCCACTCACCTCTTCAG</w:t>
            </w:r>
          </w:p>
        </w:tc>
      </w:tr>
      <w:tr w14:paraId="6169F5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07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B26E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7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43F8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A1E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  <w:t xml:space="preserve">Reverse: 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TTCTGCCAGTGCCTCTTTGCTG</w:t>
            </w:r>
          </w:p>
        </w:tc>
      </w:tr>
      <w:tr w14:paraId="52F7A6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0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65C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TNF-α(Human)</w:t>
            </w:r>
          </w:p>
        </w:tc>
        <w:tc>
          <w:tcPr>
            <w:tcW w:w="103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6AB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HP200561</w:t>
            </w:r>
          </w:p>
        </w:tc>
        <w:tc>
          <w:tcPr>
            <w:tcW w:w="2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DB9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  <w:t xml:space="preserve">Forward: 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CTCTTCTGCCTGCTGCACTTTG</w:t>
            </w:r>
          </w:p>
        </w:tc>
      </w:tr>
      <w:tr w14:paraId="1AB34E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07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16A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7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EDA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76E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  <w:t xml:space="preserve">Reverse: 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ATGGGCTACAGGCTTGTCACTC</w:t>
            </w:r>
          </w:p>
        </w:tc>
      </w:tr>
      <w:tr w14:paraId="7562B2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0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DA20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TGFβ(Human)</w:t>
            </w:r>
          </w:p>
        </w:tc>
        <w:tc>
          <w:tcPr>
            <w:tcW w:w="103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F1E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HP200609</w:t>
            </w:r>
          </w:p>
        </w:tc>
        <w:tc>
          <w:tcPr>
            <w:tcW w:w="2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D5D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  <w:t xml:space="preserve">Forward: 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TACCTGAACCCGTGTTGCTCTC</w:t>
            </w:r>
          </w:p>
        </w:tc>
      </w:tr>
      <w:tr w14:paraId="7601D8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07" w:type="pct"/>
            <w:vMerge w:val="continue"/>
            <w:tcBorders>
              <w:top w:val="nil"/>
              <w:left w:val="nil"/>
              <w:right w:val="nil"/>
            </w:tcBorders>
            <w:vAlign w:val="center"/>
          </w:tcPr>
          <w:p w14:paraId="665CDB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7" w:type="pct"/>
            <w:vMerge w:val="continue"/>
            <w:tcBorders>
              <w:top w:val="nil"/>
              <w:left w:val="nil"/>
              <w:right w:val="nil"/>
            </w:tcBorders>
            <w:vAlign w:val="center"/>
          </w:tcPr>
          <w:p w14:paraId="1359C1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5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54F15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  <w:t xml:space="preserve">Reverse: 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GTTGCTGAGGTATCGCCAGGAA</w:t>
            </w:r>
          </w:p>
        </w:tc>
      </w:tr>
      <w:tr w14:paraId="680AD0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0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EE6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GAPDH(Human)</w:t>
            </w:r>
          </w:p>
        </w:tc>
        <w:tc>
          <w:tcPr>
            <w:tcW w:w="103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2E7E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HP205798</w:t>
            </w:r>
          </w:p>
        </w:tc>
        <w:tc>
          <w:tcPr>
            <w:tcW w:w="2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9E6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  <w:t xml:space="preserve">Forward: 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GTCTCCTCTGACTTCAACAGCG</w:t>
            </w:r>
          </w:p>
        </w:tc>
      </w:tr>
      <w:tr w14:paraId="77EA60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07" w:type="pct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01FD0A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7" w:type="pct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637E4A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55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7F0B84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eastAsia="zh-CN"/>
              </w:rPr>
              <w:t xml:space="preserve">Reverse: 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ACCACCCTGTTGCTGTAGCCAA</w:t>
            </w:r>
          </w:p>
        </w:tc>
      </w:tr>
    </w:tbl>
    <w:p w14:paraId="7574ED8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331DA8B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br w:type="page"/>
      </w:r>
    </w:p>
    <w:p w14:paraId="10D9580B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jc w:val="both"/>
        <w:textAlignment w:val="auto"/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Table S6. KEGG </w:t>
      </w:r>
      <w:bookmarkStart w:id="1" w:name="_GoBack"/>
      <w:r>
        <w:rPr>
          <w:rFonts w:hint="default" w:ascii="Times New Roman" w:hAnsi="Times New Roman" w:cs="Times New Roman"/>
          <w:b/>
          <w:bCs/>
          <w:sz w:val="24"/>
          <w:szCs w:val="24"/>
        </w:rPr>
        <w:t>enrichment resul</w:t>
      </w:r>
      <w:bookmarkEnd w:id="1"/>
      <w:r>
        <w:rPr>
          <w:rFonts w:hint="default" w:ascii="Times New Roman" w:hAnsi="Times New Roman" w:cs="Times New Roman"/>
          <w:b/>
          <w:bCs/>
          <w:sz w:val="24"/>
          <w:szCs w:val="24"/>
        </w:rPr>
        <w:t>ts</w:t>
      </w:r>
      <w:r>
        <w:rPr>
          <w:rFonts w:hint="eastAsia" w:cs="Times New Roman"/>
          <w:b/>
          <w:bCs/>
          <w:sz w:val="24"/>
          <w:szCs w:val="24"/>
          <w:lang w:val="en-US" w:eastAsia="zh-CN"/>
        </w:rPr>
        <w:t>.</w:t>
      </w:r>
    </w:p>
    <w:tbl>
      <w:tblPr>
        <w:tblStyle w:val="4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09"/>
        <w:gridCol w:w="976"/>
        <w:gridCol w:w="1207"/>
        <w:gridCol w:w="819"/>
        <w:gridCol w:w="911"/>
        <w:gridCol w:w="911"/>
        <w:gridCol w:w="821"/>
      </w:tblGrid>
      <w:tr w14:paraId="60E360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35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7D134E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Pathway Name</w:t>
            </w:r>
          </w:p>
        </w:tc>
        <w:tc>
          <w:tcPr>
            <w:tcW w:w="495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68AAE6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Match Status</w:t>
            </w:r>
          </w:p>
        </w:tc>
        <w:tc>
          <w:tcPr>
            <w:tcW w:w="612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7F52A6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</w:t>
            </w:r>
          </w:p>
        </w:tc>
        <w:tc>
          <w:tcPr>
            <w:tcW w:w="415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20D751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-log(p)</w:t>
            </w:r>
          </w:p>
        </w:tc>
        <w:tc>
          <w:tcPr>
            <w:tcW w:w="462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7F6951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Holm p</w:t>
            </w:r>
          </w:p>
        </w:tc>
        <w:tc>
          <w:tcPr>
            <w:tcW w:w="462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065C1E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FDR</w:t>
            </w:r>
          </w:p>
        </w:tc>
        <w:tc>
          <w:tcPr>
            <w:tcW w:w="416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1702C8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Impact</w:t>
            </w:r>
          </w:p>
        </w:tc>
      </w:tr>
      <w:tr w14:paraId="49B70D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35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09D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bookmarkStart w:id="0" w:name="_Hlk172130068"/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Glyoxylate and dicarboxylate metabolism</w:t>
            </w:r>
          </w:p>
        </w:tc>
        <w:tc>
          <w:tcPr>
            <w:tcW w:w="495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D4F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5/32</w:t>
            </w:r>
          </w:p>
        </w:tc>
        <w:tc>
          <w:tcPr>
            <w:tcW w:w="612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F3E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1.52E-05</w:t>
            </w:r>
          </w:p>
        </w:tc>
        <w:tc>
          <w:tcPr>
            <w:tcW w:w="415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A83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4.8193</w:t>
            </w:r>
          </w:p>
        </w:tc>
        <w:tc>
          <w:tcPr>
            <w:tcW w:w="462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333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0.001213</w:t>
            </w:r>
          </w:p>
        </w:tc>
        <w:tc>
          <w:tcPr>
            <w:tcW w:w="462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A97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0.001213</w:t>
            </w:r>
          </w:p>
        </w:tc>
        <w:tc>
          <w:tcPr>
            <w:tcW w:w="416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BBB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14:paraId="55FCDE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EFE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Alanine, aspartate and glutamate metabolism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994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4/28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AEA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1.83E-04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974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3.7373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328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0.014466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468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0.007325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6A7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0.3109</w:t>
            </w:r>
          </w:p>
        </w:tc>
      </w:tr>
      <w:tr w14:paraId="7055CC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268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Nitrogen metabolism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239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2/6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340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0.001706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F33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2.7682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9D8D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0.13303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753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0.035413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7C8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14:paraId="43DFD4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440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Pyruvate metabolism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7445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3/23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FDD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0.001771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7B3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2.7519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4C3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0.13634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9DC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0.035413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651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0.27088</w:t>
            </w:r>
          </w:p>
        </w:tc>
      </w:tr>
      <w:bookmarkEnd w:id="0"/>
      <w:tr w14:paraId="5F791C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EC9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Glycolysis / Gluconeogenesis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1D2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3/26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F49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0.002546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1DB2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2.5941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C0F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0.1935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326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0.040737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FED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0.12616</w:t>
            </w:r>
          </w:p>
        </w:tc>
      </w:tr>
      <w:tr w14:paraId="7528E2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CCD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Glycine, serine and threonine metabolism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A033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3/34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546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0.005544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BD3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2.2562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CA4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0.41582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218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0.073923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F1D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0.08874</w:t>
            </w:r>
          </w:p>
        </w:tc>
      </w:tr>
      <w:tr w14:paraId="73B040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3CA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Arginine biosynthesis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F9E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2/14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516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0.009817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145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2.008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051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0.72649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578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0.1122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405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0.11675</w:t>
            </w:r>
          </w:p>
        </w:tc>
      </w:tr>
      <w:tr w14:paraId="551C06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A018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Butanoate metabolism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09B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2/15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02A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0.011254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E26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1.9487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3AA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0.82152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1BEE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0.11254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D63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14:paraId="040AA3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A5C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Histidine metabolism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6A8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2/16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A89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0.012777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D31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1.8936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4F9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0.91998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A36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0.11358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DA4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0.22131</w:t>
            </w:r>
          </w:p>
        </w:tc>
      </w:tr>
      <w:tr w14:paraId="7FD012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FEC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Citrate cycle (TCA cycle)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813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2/20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C2E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0.019708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D84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1.7053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B95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91A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0.15767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A9C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0.07907</w:t>
            </w:r>
          </w:p>
        </w:tc>
      </w:tr>
      <w:tr w14:paraId="2D9B68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00A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Purine metabolism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D23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3/71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9F9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0.04099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CE5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1.3873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A9A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5B7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0.29224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4762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0.02427</w:t>
            </w:r>
          </w:p>
        </w:tc>
      </w:tr>
      <w:tr w14:paraId="1C3461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FFFF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Phenylalanine, tyrosine and tryptophan biosynthesis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87B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1/4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B67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0.043836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35C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1.3582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2E5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82A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0.29224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B77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0.5</w:t>
            </w:r>
          </w:p>
        </w:tc>
      </w:tr>
      <w:tr w14:paraId="4B8CDF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1FC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Arginine and proline metabolism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CE6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2/36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618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0.058878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144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1.23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B54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E4D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0.33645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C3A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14:paraId="2C6D72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4F2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Glycerophospholipid metabolism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858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2/36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978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0.058878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D70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1.23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438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AA1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0.33645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419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0.07396</w:t>
            </w:r>
          </w:p>
        </w:tc>
      </w:tr>
      <w:tr w14:paraId="1724DB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FCB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Tyrosine metabolism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413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2/42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161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0.077395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082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1.1113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AFE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527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0.41277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926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0.13972</w:t>
            </w:r>
          </w:p>
        </w:tc>
      </w:tr>
      <w:tr w14:paraId="751A3D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841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Valine, leucine and isoleucine biosynthesis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09C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1/8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BFF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0.085859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55E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1.0662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41E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ABFC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0.42929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EAD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14:paraId="3803AD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8A1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Phenylalanine metabolism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816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1/10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549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0.10621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1D8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0.97383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975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BE2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0.47205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CB7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14:paraId="3B384B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A6D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Biotin metabolism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8C8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1/10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E5A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0.10621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7E4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0.97383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F29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D97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0.47205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BAA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14:paraId="5BE54C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2FA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Nicotinate and nicotinamide metabolism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5BE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1/15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5DC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0.15525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1EF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0.80898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BFD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5C0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0.65367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6E9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0.1943</w:t>
            </w:r>
          </w:p>
        </w:tc>
      </w:tr>
      <w:tr w14:paraId="574E0C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548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Ubiquinone and other terpenoid-quinone biosynthesis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CB3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1/18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191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0.18344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9B6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0.73651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B88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302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0.73376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438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14:paraId="025E16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3CF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Ether lipid metabolism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03A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1/20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801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0.20174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502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0.69521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BE1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035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0.76401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D9F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14:paraId="7164B1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07D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beta-Alanine metabolism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E6D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1/21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EB5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0.21074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487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0.67624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58E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970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0.76401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2B7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14:paraId="72966B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AD3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Propanoate metabolism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705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1/22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755C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0.21965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509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0.65826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159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DE8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0.76401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2CF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14:paraId="7665BD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561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Lipoic acid metabolism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DC9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1/28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35A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0.27115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FCF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0.56679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4D1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670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0.86769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76A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14:paraId="11264A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396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Glutathione metabolism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F53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1/28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936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0.27115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7A6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0.56679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36C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F7A1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0.86769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B97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0.01966</w:t>
            </w:r>
          </w:p>
        </w:tc>
      </w:tr>
      <w:tr w14:paraId="5ED72B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E05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Lysine degradation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223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1/30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A97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0.2876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72F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0.54122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B828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49E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0.87611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B24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14:paraId="54CC51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4DF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Porphyrin metabolism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297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1/31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A39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0.29569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215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0.52917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288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70B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0.87611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760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14:paraId="4D38FF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8E1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Cysteine and methionine metabolism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A56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1/33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5EF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0.31161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7022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0.50639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245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E01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0.89031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329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14:paraId="4A4CF7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EABE0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Pyrimidine metabolism</w:t>
            </w:r>
          </w:p>
        </w:tc>
        <w:tc>
          <w:tcPr>
            <w:tcW w:w="49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2C8AC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1/39</w:t>
            </w:r>
          </w:p>
        </w:tc>
        <w:tc>
          <w:tcPr>
            <w:tcW w:w="61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78BFC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0.35736</w:t>
            </w:r>
          </w:p>
        </w:tc>
        <w:tc>
          <w:tcPr>
            <w:tcW w:w="4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065CD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0.44689</w:t>
            </w:r>
          </w:p>
        </w:tc>
        <w:tc>
          <w:tcPr>
            <w:tcW w:w="46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C81CF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6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AFE60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0.97255</w:t>
            </w:r>
          </w:p>
        </w:tc>
        <w:tc>
          <w:tcPr>
            <w:tcW w:w="41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BC471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14:paraId="1D8991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135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05BAAD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Valine, leucine and isoleucine degradation</w:t>
            </w:r>
          </w:p>
        </w:tc>
        <w:tc>
          <w:tcPr>
            <w:tcW w:w="495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659D59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1/40</w:t>
            </w:r>
          </w:p>
        </w:tc>
        <w:tc>
          <w:tcPr>
            <w:tcW w:w="612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60783C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0.36471</w:t>
            </w:r>
          </w:p>
        </w:tc>
        <w:tc>
          <w:tcPr>
            <w:tcW w:w="415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7FC591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0.43806</w:t>
            </w:r>
          </w:p>
        </w:tc>
        <w:tc>
          <w:tcPr>
            <w:tcW w:w="462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596175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62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0AE2AD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0.97255</w:t>
            </w:r>
          </w:p>
        </w:tc>
        <w:tc>
          <w:tcPr>
            <w:tcW w:w="416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351910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right"/>
              <w:textAlignment w:val="auto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</w:tr>
    </w:tbl>
    <w:p w14:paraId="41A464D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4B1C91F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imesNewRomanPSMT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iNTM0YjVmZTI1MTFhZDkzNDY4ZWZmNjA0NjYzMWMifQ=="/>
  </w:docVars>
  <w:rsids>
    <w:rsidRoot w:val="00670F2F"/>
    <w:rsid w:val="00372378"/>
    <w:rsid w:val="00670F2F"/>
    <w:rsid w:val="01FB40D3"/>
    <w:rsid w:val="0B354AFA"/>
    <w:rsid w:val="10352221"/>
    <w:rsid w:val="237254E0"/>
    <w:rsid w:val="26E825C8"/>
    <w:rsid w:val="2CE20D99"/>
    <w:rsid w:val="36806379"/>
    <w:rsid w:val="4FF616A4"/>
    <w:rsid w:val="512C2F2E"/>
    <w:rsid w:val="5D1C56C8"/>
    <w:rsid w:val="663B1D3E"/>
    <w:rsid w:val="685343A7"/>
    <w:rsid w:val="790D1E79"/>
    <w:rsid w:val="7DA13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7"/>
    <w:qFormat/>
    <w:uiPriority w:val="0"/>
    <w:pPr>
      <w:spacing w:after="120"/>
    </w:pPr>
  </w:style>
  <w:style w:type="paragraph" w:styleId="3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Emphasis"/>
    <w:basedOn w:val="5"/>
    <w:qFormat/>
    <w:uiPriority w:val="20"/>
    <w:rPr>
      <w:i/>
    </w:rPr>
  </w:style>
  <w:style w:type="character" w:customStyle="1" w:styleId="7">
    <w:name w:val="正文文本 字符"/>
    <w:basedOn w:val="5"/>
    <w:link w:val="2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8">
    <w:name w:val="fontstyle01"/>
    <w:autoRedefine/>
    <w:qFormat/>
    <w:uiPriority w:val="0"/>
    <w:rPr>
      <w:rFonts w:hint="default" w:ascii="TimesNewRomanPSMT" w:hAnsi="TimesNewRomanPSMT"/>
      <w:color w:val="000000"/>
      <w:sz w:val="24"/>
      <w:szCs w:val="24"/>
    </w:rPr>
  </w:style>
  <w:style w:type="paragraph" w:customStyle="1" w:styleId="9">
    <w:name w:val="1"/>
    <w:basedOn w:val="1"/>
    <w:link w:val="10"/>
    <w:autoRedefine/>
    <w:qFormat/>
    <w:uiPriority w:val="0"/>
    <w:pPr>
      <w:spacing w:line="360" w:lineRule="auto"/>
      <w:ind w:firstLine="480" w:firstLineChars="200"/>
    </w:pPr>
    <w:rPr>
      <w:color w:val="0000FF"/>
      <w:sz w:val="24"/>
    </w:rPr>
  </w:style>
  <w:style w:type="character" w:customStyle="1" w:styleId="10">
    <w:name w:val="1 字符"/>
    <w:link w:val="9"/>
    <w:autoRedefine/>
    <w:qFormat/>
    <w:uiPriority w:val="0"/>
    <w:rPr>
      <w:rFonts w:ascii="Times New Roman" w:hAnsi="Times New Roman" w:eastAsia="宋体" w:cs="Times New Roman"/>
      <w:color w:val="0000FF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517</Words>
  <Characters>3804</Characters>
  <DocSecurity>0</DocSecurity>
  <Lines>26</Lines>
  <Paragraphs>7</Paragraphs>
  <ScaleCrop>false</ScaleCrop>
  <LinksUpToDate>false</LinksUpToDate>
  <CharactersWithSpaces>4021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2024-07-27T03:03:00Z</dcterms:created>
  <dcterms:modified xsi:type="dcterms:W3CDTF">2024-09-01T09:21:02Z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F1479A6DF85E4D108D2D25E525F7B4F8_12</vt:lpwstr>
  </property>
</Properties>
</file>