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6B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0" w:firstLineChars="0"/>
        <w:jc w:val="both"/>
        <w:rPr>
          <w:b/>
          <w:bCs/>
          <w:sz w:val="32"/>
          <w:szCs w:val="32"/>
          <w:highlight w:val="none"/>
          <w:lang w:bidi="ar"/>
        </w:rPr>
      </w:pPr>
      <w:r>
        <w:rPr>
          <w:b/>
          <w:bCs/>
          <w:sz w:val="32"/>
          <w:szCs w:val="32"/>
          <w:highlight w:val="none"/>
          <w:lang w:bidi="ar"/>
        </w:rPr>
        <w:t>Supplementary Materials</w:t>
      </w:r>
    </w:p>
    <w:p w14:paraId="500F1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/>
          <w:b/>
          <w:bCs/>
          <w:sz w:val="32"/>
          <w:szCs w:val="32"/>
          <w:highlight w:val="none"/>
          <w:lang w:val="en-US" w:eastAsia="zh-CN"/>
        </w:rPr>
      </w:pPr>
    </w:p>
    <w:p w14:paraId="5CBE6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>Injectable responsive hydrogel with s</w:t>
      </w:r>
      <w:r>
        <w:rPr>
          <w:rFonts w:hint="default"/>
          <w:b/>
          <w:bCs/>
          <w:sz w:val="32"/>
          <w:szCs w:val="32"/>
          <w:highlight w:val="none"/>
          <w:lang w:val="en-US" w:eastAsia="zh-CN"/>
        </w:rPr>
        <w:t xml:space="preserve">ynergistic </w:t>
      </w: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>a</w:t>
      </w:r>
      <w:r>
        <w:rPr>
          <w:rFonts w:hint="default"/>
          <w:b/>
          <w:bCs/>
          <w:sz w:val="32"/>
          <w:szCs w:val="32"/>
          <w:highlight w:val="none"/>
          <w:lang w:val="en-US" w:eastAsia="zh-CN"/>
        </w:rPr>
        <w:t xml:space="preserve">ntibacterial and </w:t>
      </w: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>a</w:t>
      </w:r>
      <w:r>
        <w:rPr>
          <w:rFonts w:hint="default"/>
          <w:b/>
          <w:bCs/>
          <w:sz w:val="32"/>
          <w:szCs w:val="32"/>
          <w:highlight w:val="none"/>
          <w:lang w:val="en-US" w:eastAsia="zh-CN"/>
        </w:rPr>
        <w:t>nti-</w:t>
      </w: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>i</w:t>
      </w:r>
      <w:r>
        <w:rPr>
          <w:rFonts w:hint="default"/>
          <w:b/>
          <w:bCs/>
          <w:sz w:val="32"/>
          <w:szCs w:val="32"/>
          <w:highlight w:val="none"/>
          <w:lang w:val="en-US" w:eastAsia="zh-CN"/>
        </w:rPr>
        <w:t xml:space="preserve">nflammatory </w:t>
      </w: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>propertie</w:t>
      </w:r>
      <w:r>
        <w:rPr>
          <w:rFonts w:hint="default"/>
          <w:b/>
          <w:bCs/>
          <w:sz w:val="32"/>
          <w:szCs w:val="32"/>
          <w:highlight w:val="none"/>
          <w:lang w:val="en-US" w:eastAsia="zh-CN"/>
        </w:rPr>
        <w:t>s</w:t>
      </w: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 xml:space="preserve"> for enhanced periodontitis treatment</w:t>
      </w:r>
    </w:p>
    <w:p w14:paraId="4A437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</w:pPr>
    </w:p>
    <w:p w14:paraId="650F9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="Times New Roman" w:hAnsi="Times New Roman" w:cs="Times New Roman"/>
          <w:iCs/>
          <w:sz w:val="24"/>
          <w:szCs w:val="24"/>
          <w:highlight w:val="none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Xinjie Li</w:t>
      </w:r>
      <w:r>
        <w:rPr>
          <w:rFonts w:hint="eastAsia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1#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, Zhidong Zhang</w:t>
      </w:r>
      <w:r>
        <w:rPr>
          <w:rFonts w:hint="eastAsia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1#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, Xin Yang</w:t>
      </w:r>
      <w:r>
        <w:rPr>
          <w:rFonts w:hint="eastAsia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1,2#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, Mengyu Yu</w:t>
      </w:r>
      <w:r>
        <w:rPr>
          <w:rFonts w:hint="eastAsia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1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, Yanjiao Tang</w:t>
      </w:r>
      <w:r>
        <w:rPr>
          <w:rFonts w:hint="eastAsia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1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, Jinxian Wei</w:t>
      </w:r>
      <w:r>
        <w:rPr>
          <w:rFonts w:hint="eastAsia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1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, Zhige Li</w:t>
      </w:r>
      <w:r>
        <w:rPr>
          <w:rFonts w:hint="eastAsia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iCs/>
          <w:sz w:val="24"/>
          <w:szCs w:val="24"/>
          <w:highlight w:val="none"/>
          <w:lang w:val="en-US" w:eastAsia="zh-CN"/>
        </w:rPr>
        <w:t>*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, Jun Hai</w:t>
      </w:r>
      <w:r>
        <w:rPr>
          <w:rFonts w:hint="eastAsia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iCs/>
          <w:sz w:val="24"/>
          <w:szCs w:val="24"/>
          <w:highlight w:val="none"/>
          <w:lang w:val="en-US" w:eastAsia="zh-CN"/>
        </w:rPr>
        <w:t>*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, Baoping Zhang</w:t>
      </w:r>
      <w:r>
        <w:rPr>
          <w:rFonts w:hint="eastAsia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1,4</w:t>
      </w:r>
      <w:r>
        <w:rPr>
          <w:rFonts w:hint="default" w:ascii="Times New Roman" w:hAnsi="Times New Roman" w:cs="Times New Roman"/>
          <w:iCs/>
          <w:sz w:val="24"/>
          <w:szCs w:val="24"/>
          <w:highlight w:val="none"/>
          <w:lang w:val="en-US" w:eastAsia="zh-CN"/>
        </w:rPr>
        <w:t>*</w:t>
      </w:r>
    </w:p>
    <w:p w14:paraId="6587D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="Times New Roman" w:hAnsi="Times New Roman" w:cs="Times New Roman"/>
          <w:iCs/>
          <w:sz w:val="24"/>
          <w:szCs w:val="24"/>
          <w:highlight w:val="none"/>
          <w:lang w:val="en-US" w:eastAsia="zh-CN"/>
        </w:rPr>
      </w:pPr>
    </w:p>
    <w:p w14:paraId="56DF8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</w:rPr>
      </w:pPr>
      <w:r>
        <w:rPr>
          <w:rFonts w:hint="eastAsia" w:cs="Times New Roman"/>
          <w:i w:val="0"/>
          <w:iCs w:val="0"/>
          <w:color w:val="000000"/>
          <w:sz w:val="24"/>
          <w:szCs w:val="24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</w:rPr>
        <w:t xml:space="preserve"> School (Hospital) of Stomatology, Lanzhou University, Lanzhou, 730000, China</w:t>
      </w:r>
    </w:p>
    <w:p w14:paraId="2737E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</w:rPr>
      </w:pPr>
      <w:r>
        <w:rPr>
          <w:rFonts w:hint="eastAsia" w:cs="Times New Roman"/>
          <w:i w:val="0"/>
          <w:iCs w:val="0"/>
          <w:color w:val="000000"/>
          <w:sz w:val="24"/>
          <w:szCs w:val="24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  <w:lang w:val="en-US" w:eastAsia="zh-CN"/>
        </w:rPr>
        <w:t>Department of Stomatology, Affiliated Hospital of Gansu University of Chinese Medicine, Lanzhou</w:t>
      </w:r>
      <w:r>
        <w:rPr>
          <w:rFonts w:hint="eastAsia" w:cs="Times New Roman"/>
          <w:i w:val="0"/>
          <w:iCs w:val="0"/>
          <w:color w:val="000000"/>
          <w:sz w:val="24"/>
          <w:szCs w:val="24"/>
          <w:highlight w:val="none"/>
          <w:lang w:val="en-US" w:eastAsia="zh-CN"/>
        </w:rPr>
        <w:t>,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  <w:lang w:val="en-US" w:eastAsia="zh-CN"/>
        </w:rPr>
        <w:t xml:space="preserve"> 730000, China</w:t>
      </w:r>
    </w:p>
    <w:p w14:paraId="4C119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olor w:val="000000"/>
          <w:sz w:val="24"/>
          <w:szCs w:val="24"/>
          <w:highlight w:val="none"/>
        </w:rPr>
        <w:t>CAS Key Laboratory of Chemistry of Northwestern Plant Resources and Key Laboratory of Natural Medicine of Gansu Province, Lanzhou Institute of Chemical Physics, Chinese Academy of Sciences, Lanzhou</w:t>
      </w:r>
      <w:r>
        <w:rPr>
          <w:rFonts w:hint="eastAsia" w:cs="Times New Roman"/>
          <w:i w:val="0"/>
          <w:iCs w:val="0"/>
          <w:color w:val="000000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i w:val="0"/>
          <w:iCs w:val="0"/>
          <w:color w:val="000000"/>
          <w:sz w:val="24"/>
          <w:szCs w:val="24"/>
          <w:highlight w:val="none"/>
        </w:rPr>
        <w:t xml:space="preserve"> 730000, China</w:t>
      </w:r>
    </w:p>
    <w:p w14:paraId="168FE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cs="Times New Roman"/>
          <w:i w:val="0"/>
          <w:iCs w:val="0"/>
          <w:color w:val="000000"/>
          <w:sz w:val="24"/>
          <w:szCs w:val="24"/>
          <w:highlight w:val="none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  <w:vertAlign w:val="superscript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  <w:lang w:val="en-GB" w:eastAsia="en-GB"/>
        </w:rPr>
        <w:t>Gansu Province Key Lab of Maxillofacial Reconstruction and Intelligent Manufacturing, Lanzhou,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</w:rPr>
        <w:t xml:space="preserve"> 730000,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highlight w:val="none"/>
          <w:lang w:val="en-GB" w:eastAsia="en-GB"/>
        </w:rPr>
        <w:t xml:space="preserve"> China</w:t>
      </w:r>
    </w:p>
    <w:p w14:paraId="478FC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</w:pPr>
    </w:p>
    <w:p w14:paraId="38817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cs="Times New Roman"/>
          <w:bCs/>
          <w:i w:val="0"/>
          <w:iCs w:val="0"/>
          <w:color w:val="000000" w:themeColor="text1"/>
          <w:sz w:val="24"/>
          <w:szCs w:val="24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#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Xinjie Li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Zhidong Zhang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and 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Xin Yang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contributed equally to this paper.</w:t>
      </w:r>
    </w:p>
    <w:p w14:paraId="4A074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/>
          <w:b w:val="0"/>
          <w:bCs w:val="0"/>
          <w:sz w:val="24"/>
          <w:szCs w:val="24"/>
          <w:highlight w:val="none"/>
          <w:lang w:val="en-US" w:eastAsia="zh-CN"/>
        </w:rPr>
      </w:pPr>
    </w:p>
    <w:p w14:paraId="5C69F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i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* Correspondence:</w:t>
      </w:r>
    </w:p>
    <w:p w14:paraId="61ED1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i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iCs/>
          <w:sz w:val="24"/>
          <w:szCs w:val="24"/>
          <w:highlight w:val="none"/>
          <w:lang w:val="en-US" w:eastAsia="zh-CN"/>
        </w:rPr>
        <w:t>Zhige Li, lizhig0206@163.com</w:t>
      </w:r>
    </w:p>
    <w:p w14:paraId="4EF5F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Times New Roman" w:hAnsi="Times New Roman" w:cs="Times New Roman"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/>
          <w:color w:val="000000"/>
          <w:sz w:val="24"/>
          <w:szCs w:val="24"/>
          <w:highlight w:val="none"/>
          <w:lang w:val="fr-FR"/>
        </w:rPr>
        <w:t>Jun Hai</w:t>
      </w:r>
      <w:r>
        <w:rPr>
          <w:rFonts w:hint="eastAsia" w:ascii="Times New Roman" w:hAnsi="Times New Roman"/>
          <w:color w:val="000000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Times New Roman" w:hAnsi="Times New Roman"/>
          <w:iCs/>
          <w:color w:val="000000"/>
          <w:sz w:val="24"/>
          <w:szCs w:val="24"/>
          <w:highlight w:val="none"/>
          <w:lang w:val="fr-FR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highlight w:val="none"/>
          <w:lang w:val="fr-FR"/>
        </w:rPr>
        <w:t>haijun@licp.cas.cn</w:t>
      </w:r>
    </w:p>
    <w:p w14:paraId="6C33A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iCs/>
          <w:sz w:val="24"/>
          <w:szCs w:val="24"/>
          <w:highlight w:val="none"/>
          <w:lang w:val="en-US" w:eastAsia="zh-CN"/>
        </w:rPr>
        <w:t>Baoping</w:t>
      </w:r>
      <w:r>
        <w:rPr>
          <w:rFonts w:hint="default" w:ascii="Times New Roman" w:hAnsi="Times New Roman" w:cs="Times New Roman"/>
          <w:iCs/>
          <w:sz w:val="24"/>
          <w:szCs w:val="24"/>
          <w:highlight w:val="none"/>
          <w:lang w:val="en-US" w:eastAsia="zh-CN"/>
        </w:rPr>
        <w:t xml:space="preserve"> Zhang, </w:t>
      </w:r>
      <w:r>
        <w:rPr>
          <w:rFonts w:hint="default" w:ascii="Times New Roman" w:hAnsi="Times New Roman" w:cs="Times New Roman"/>
          <w:iCs/>
          <w:sz w:val="24"/>
          <w:szCs w:val="24"/>
          <w:highlight w:val="none"/>
          <w:lang w:val="fr-FR" w:eastAsia="zh-CN"/>
        </w:rPr>
        <w:t>zhang</w:t>
      </w:r>
      <w:r>
        <w:rPr>
          <w:rFonts w:hint="eastAsia" w:ascii="Times New Roman" w:hAnsi="Times New Roman" w:cs="Times New Roman"/>
          <w:iCs/>
          <w:sz w:val="24"/>
          <w:szCs w:val="24"/>
          <w:highlight w:val="none"/>
          <w:lang w:val="en-US" w:eastAsia="zh-CN"/>
        </w:rPr>
        <w:t>bp</w:t>
      </w:r>
      <w:r>
        <w:rPr>
          <w:rFonts w:hint="default" w:ascii="Times New Roman" w:hAnsi="Times New Roman" w:cs="Times New Roman"/>
          <w:iCs/>
          <w:sz w:val="24"/>
          <w:szCs w:val="24"/>
          <w:highlight w:val="none"/>
          <w:lang w:val="fr-FR" w:eastAsia="zh-CN"/>
        </w:rPr>
        <w:t>@lzu.edu.cn</w:t>
      </w:r>
    </w:p>
    <w:p w14:paraId="65A64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0" w:firstLineChars="0"/>
        <w:jc w:val="both"/>
        <w:rPr>
          <w:b/>
          <w:bCs/>
          <w:sz w:val="24"/>
          <w:szCs w:val="24"/>
          <w:highlight w:val="none"/>
          <w:lang w:bidi="ar"/>
        </w:rPr>
      </w:pPr>
    </w:p>
    <w:p w14:paraId="4228D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0" w:firstLineChars="0"/>
        <w:jc w:val="both"/>
        <w:rPr>
          <w:b/>
          <w:bCs/>
          <w:sz w:val="24"/>
          <w:szCs w:val="24"/>
          <w:highlight w:val="none"/>
          <w:lang w:bidi="ar"/>
        </w:rPr>
      </w:pPr>
    </w:p>
    <w:p w14:paraId="158EB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0" w:firstLineChars="0"/>
        <w:jc w:val="both"/>
        <w:rPr>
          <w:b/>
          <w:bCs/>
          <w:sz w:val="24"/>
          <w:szCs w:val="24"/>
          <w:highlight w:val="none"/>
          <w:lang w:bidi="ar"/>
        </w:rPr>
      </w:pPr>
    </w:p>
    <w:p w14:paraId="323EE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0" w:firstLineChars="0"/>
        <w:jc w:val="both"/>
        <w:rPr>
          <w:b/>
          <w:bCs/>
          <w:sz w:val="24"/>
          <w:szCs w:val="24"/>
          <w:highlight w:val="none"/>
          <w:lang w:bidi="ar"/>
        </w:rPr>
      </w:pPr>
    </w:p>
    <w:p w14:paraId="0DD65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0" w:firstLineChars="0"/>
        <w:jc w:val="both"/>
        <w:rPr>
          <w:b/>
          <w:bCs/>
          <w:sz w:val="24"/>
          <w:szCs w:val="24"/>
          <w:highlight w:val="none"/>
          <w:lang w:bidi="ar"/>
        </w:rPr>
      </w:pPr>
    </w:p>
    <w:p w14:paraId="20F8BC7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rPr>
          <w:highlight w:val="none"/>
        </w:rPr>
      </w:pPr>
      <w:r>
        <w:rPr>
          <w:rFonts w:hint="eastAsia"/>
          <w:highlight w:val="none"/>
          <w:lang w:val="en-US" w:eastAsia="zh-CN"/>
        </w:rPr>
        <w:t xml:space="preserve">1. </w:t>
      </w:r>
      <w:r>
        <w:rPr>
          <w:highlight w:val="none"/>
        </w:rPr>
        <w:t>Experimental Section</w:t>
      </w:r>
    </w:p>
    <w:p w14:paraId="0D576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eastAsia="宋体"/>
          <w:i/>
          <w:iCs/>
          <w:sz w:val="28"/>
          <w:szCs w:val="28"/>
          <w:highlight w:val="none"/>
          <w:lang w:val="en-US" w:eastAsia="zh-CN"/>
        </w:rPr>
      </w:pP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>1.1 Materials</w:t>
      </w:r>
    </w:p>
    <w:p w14:paraId="7F875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rFonts w:hint="eastAsia"/>
          <w:highlight w:val="none"/>
        </w:rPr>
        <w:t>Z</w:t>
      </w:r>
      <w:r>
        <w:rPr>
          <w:highlight w:val="none"/>
        </w:rPr>
        <w:t>inc nitrate hexahydrate, 2-methylimidazole, chitosan, and β-sodium glycerophosphate were purchased from Aladdin Scientific Corp. (Shanghai, China);</w:t>
      </w:r>
      <w:r>
        <w:rPr>
          <w:rFonts w:hint="eastAsia"/>
          <w:highlight w:val="none"/>
        </w:rPr>
        <w:t xml:space="preserve"> </w:t>
      </w:r>
      <w:r>
        <w:rPr>
          <w:highlight w:val="none"/>
        </w:rPr>
        <w:t>minocycline hydrochloride was obtained from Sigma-Aldrich (Missouri, USA)</w:t>
      </w:r>
      <w:r>
        <w:rPr>
          <w:rFonts w:hint="eastAsia"/>
          <w:highlight w:val="none"/>
        </w:rPr>
        <w:t xml:space="preserve">; </w:t>
      </w:r>
      <w:r>
        <w:rPr>
          <w:highlight w:val="none"/>
        </w:rPr>
        <w:t>the CCK-8 Cell Proliferation and Cytotoxicity Assay Kit was sourced from APEx BIO (Texas, USA);</w:t>
      </w:r>
      <w:r>
        <w:rPr>
          <w:rFonts w:hint="eastAsia"/>
          <w:highlight w:val="none"/>
        </w:rPr>
        <w:t xml:space="preserve"> </w:t>
      </w:r>
      <w:r>
        <w:rPr>
          <w:highlight w:val="none"/>
        </w:rPr>
        <w:t>DMEM medium, trypsin, penicillin-streptomycin solution, fetal bovine serum (FBS), and phosphate-buffered saline (PBS) were acquired from Biological Industries (Kibbutz Beit Haemek, Israel);</w:t>
      </w:r>
      <w:r>
        <w:rPr>
          <w:rFonts w:hint="eastAsia"/>
          <w:highlight w:val="none"/>
        </w:rPr>
        <w:t xml:space="preserve"> </w:t>
      </w:r>
      <w:r>
        <w:rPr>
          <w:highlight w:val="none"/>
        </w:rPr>
        <w:t>the LIVE/DEAD™ BacLight™ Bacterial Viability Kit was procured from Thermo Fisher Scientific Inc. (Massachusetts, USA);</w:t>
      </w:r>
      <w:r>
        <w:rPr>
          <w:rFonts w:hint="eastAsia"/>
          <w:highlight w:val="none"/>
        </w:rPr>
        <w:t xml:space="preserve"> </w:t>
      </w:r>
      <w:r>
        <w:rPr>
          <w:highlight w:val="none"/>
        </w:rPr>
        <w:t>the Calcein/PI Cell Viability and Cytotoxicity Assay Kit and Reactive Oxygen Species Assay Kit were supplied by Beyotime Biotechnology (Shanghai, China);</w:t>
      </w:r>
      <w:r>
        <w:rPr>
          <w:rFonts w:hint="eastAsia"/>
          <w:highlight w:val="none"/>
        </w:rPr>
        <w:t xml:space="preserve"> </w:t>
      </w:r>
      <w:r>
        <w:rPr>
          <w:highlight w:val="none"/>
        </w:rPr>
        <w:t xml:space="preserve">nutrient agar and LB agar were purchased from Beijing Solarbio Science &amp; Technology Co.,Ltd. (Beijing, China); TNF-α ELISA Kit, RNA Extraction Kit, Reverse Transcription Kit, and Real-Time PCR Kit were obtained from Mei5 Biotechnology Co., Ltd (Beijing, China); Masson’s Trichrome Staining Kit, Hematoxylin and Eosin (H&amp;E) Staining Kit, Immunohistochemistry (IHC) Staining Kit, Anti-NLRP3, Anti-Caspase-1, Anti-IL-1β, and Anti-TNF-α antibodies were provided by Servicebio </w:t>
      </w:r>
      <w:r>
        <w:rPr>
          <w:rFonts w:hint="eastAsia"/>
          <w:highlight w:val="none"/>
        </w:rPr>
        <w:t>T</w:t>
      </w:r>
      <w:r>
        <w:rPr>
          <w:highlight w:val="none"/>
        </w:rPr>
        <w:t>echnology Co., Ltd (Wuhan, China).</w:t>
      </w:r>
    </w:p>
    <w:p w14:paraId="52812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highlight w:val="none"/>
        </w:rPr>
      </w:pP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 xml:space="preserve">1.2 </w:t>
      </w:r>
      <w:r>
        <w:rPr>
          <w:i/>
          <w:iCs/>
          <w:sz w:val="28"/>
          <w:szCs w:val="28"/>
          <w:highlight w:val="none"/>
          <w:lang w:val="en-GB"/>
        </w:rPr>
        <w:t>Synthesis of MH@ZIF-8/CS/</w:t>
      </w:r>
      <w:r>
        <w:rPr>
          <w:i/>
          <w:iCs/>
          <w:sz w:val="28"/>
          <w:szCs w:val="28"/>
          <w:highlight w:val="none"/>
        </w:rPr>
        <w:t>β</w:t>
      </w:r>
      <w:r>
        <w:rPr>
          <w:i/>
          <w:iCs/>
          <w:sz w:val="28"/>
          <w:szCs w:val="28"/>
          <w:highlight w:val="none"/>
          <w:lang w:val="en-GB"/>
        </w:rPr>
        <w:t>-GP</w:t>
      </w:r>
    </w:p>
    <w:p w14:paraId="289E52CF">
      <w:pPr>
        <w:keepNext w:val="0"/>
        <w:keepLines w:val="0"/>
        <w:widowControl/>
        <w:suppressLineNumbers w:val="0"/>
        <w:spacing w:line="360" w:lineRule="auto"/>
        <w:ind w:left="0" w:leftChars="0" w:firstLine="240" w:firstLineChars="100"/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lang w:val="en-GB" w:eastAsia="zh-CN" w:bidi="ar"/>
          <w14:ligatures w14:val="standardContextual"/>
        </w:rPr>
        <w:t>Synthesis</w:t>
      </w:r>
      <w:r>
        <w:rPr>
          <w:rFonts w:hint="eastAsia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of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MH@ZIF-8</w:t>
      </w:r>
      <w:r>
        <w:rPr>
          <w:rFonts w:hint="eastAsia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Three aliquots of 200 mg zinc nitrate hexahydrate were precisely weighed and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dissolved in 5 mL deionized water,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respectively. Minocycline hydrochloride (MH) at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doses of 2.5 mg, 5 mg, and 10 mg was separately dissolved into the zinc nitrate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hexahydrate solutions, followed by pH adjustment to 8. Subsequently, 1000 mg of 2-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methylimidazole powder was dissolved in 5 mL deionized water. The fully dissolved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2-methylimidazole solution was added dropwise to the vigorously stirred MH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containing zinc nitrate hexahydrate solutions. After complete addition, the mixture was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stirred for 60 minutes. The resulting suspension was transferred to 15 mL centrifuge tubes and centrifuged at 8000 rpm for 5 minutes. The precipitate was alternately washed three times with anhydrous ethanol and deionized water, followed by vacuum drying at room temperature for 24 hours. The final products, designated as ZIF-8@MH-0.25, ZIF-8@MH-0.5, and ZIF-8@MH-1, corresponded to MH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concentrations of 0.25 mg/mL, 0.5 mg/mL, and 1 mg/mL, respectiv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ely.</w:t>
      </w:r>
    </w:p>
    <w:p w14:paraId="3DC48A47">
      <w:pPr>
        <w:keepNext w:val="0"/>
        <w:keepLines w:val="0"/>
        <w:widowControl/>
        <w:suppressLineNumbers w:val="0"/>
        <w:spacing w:line="360" w:lineRule="auto"/>
        <w:ind w:left="0" w:leftChars="0" w:firstLine="240" w:firstLineChars="100"/>
        <w:jc w:val="both"/>
        <w:rPr>
          <w:rFonts w:hint="eastAsia"/>
          <w:highlight w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lang w:val="en-GB" w:eastAsia="zh-CN" w:bidi="ar"/>
          <w14:ligatures w14:val="standardContextual"/>
        </w:rPr>
        <w:t>Synthesis</w:t>
      </w:r>
      <w:r>
        <w:rPr>
          <w:rFonts w:hint="eastAsia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of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MH@ZIF-8/CS/β-GP</w:t>
      </w:r>
      <w:r>
        <w:rPr>
          <w:rFonts w:hint="eastAsia" w:cs="Times New Roman"/>
          <w:i w:val="0"/>
          <w:iCs w:val="0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: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A 2.5 g aliquot of chitosan (CS) powder was precisely weighed, sterilized via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autoclaving for 10 minutes, and fully dissolved in 100 mL of 0.1 M glacial acetic acid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solution. Separately, 3 g of β-glycerophosphate (β-GP) was dissolved in 10 mL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deionized water and filtered through a 0.22 μm membrane into a sterile vial. Both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solutions were stored overnight at 4°C for subsequent use. Next, 0.8 mg of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ZIF-8@MH-1 was ultrasonically dispersed in 1 mL of β-GP solution. The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ZIF-8@MH-1-containing β-GP solution was then added dropwise to the CS solution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at a 1:4 volume ratio under continuous ice-bath conditions with magnetic stirring at 800 rpm. After complete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addition, stirring was maintained for 15 minutes, and the pH was adjusted to 7.4 to obtain the CS/β-GP/ZIF-8@MH hydrogel solution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  <w14:ligatures w14:val="standardContextual"/>
        </w:rPr>
        <w:t>.</w:t>
      </w:r>
    </w:p>
    <w:p w14:paraId="56AF1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highlight w:val="none"/>
        </w:rPr>
      </w:pP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 xml:space="preserve">1.3 </w:t>
      </w:r>
      <w:r>
        <w:rPr>
          <w:i/>
          <w:iCs/>
          <w:sz w:val="28"/>
          <w:szCs w:val="28"/>
          <w:highlight w:val="none"/>
        </w:rPr>
        <w:t>Characterisation of MH@ZIF-8 and MH@ZIF-8/CS/β-GP</w:t>
      </w:r>
    </w:p>
    <w:p w14:paraId="165F3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>The microscopic morphology of the synthesized materials was analysed using scanning electron microscopy (SEM, Apreo S, USA). For SEM imaging, 1 mg of ZIF-8 or MH@ZIF-8 was resuspended in 100 μ</w:t>
      </w:r>
      <w:r>
        <w:rPr>
          <w:rFonts w:hint="eastAsia"/>
          <w:highlight w:val="none"/>
          <w:lang w:val="en-US" w:eastAsia="zh-CN"/>
        </w:rPr>
        <w:t>L</w:t>
      </w:r>
      <w:r>
        <w:rPr>
          <w:highlight w:val="none"/>
        </w:rPr>
        <w:t xml:space="preserve"> anhydrous ethanol and sonicated for 5 minutes to ensure uniform dispersion. The suspension was deposited onto a silicon wafer via 200 μ</w:t>
      </w:r>
      <w:r>
        <w:rPr>
          <w:rFonts w:hint="eastAsia"/>
          <w:highlight w:val="none"/>
          <w:lang w:val="en-US" w:eastAsia="zh-CN"/>
        </w:rPr>
        <w:t>L</w:t>
      </w:r>
      <w:r>
        <w:rPr>
          <w:highlight w:val="none"/>
        </w:rPr>
        <w:t xml:space="preserve"> pipette capillary action. After ethanol evaporation, samples were gold-sputtered for 60 s and examined under SEM, with simultaneous elemental composition analysis via energy-dispersive spectroscopy (EDS, Apreo S, USA). For hydrogel morphology assessment, 2 m</w:t>
      </w:r>
      <w:r>
        <w:rPr>
          <w:rFonts w:hint="eastAsia"/>
          <w:highlight w:val="none"/>
          <w:lang w:val="en-US" w:eastAsia="zh-CN"/>
        </w:rPr>
        <w:t>L</w:t>
      </w:r>
      <w:r>
        <w:rPr>
          <w:highlight w:val="none"/>
        </w:rPr>
        <w:t xml:space="preserve"> aliquots of CS/β-GP and MH@ZIF-8/CS/β-GP sols were dispensed into 6-well plates, frozen overnight at -20°C, and freeze-dried for 24 h. The freeze-dried samples were gold-coated and imaged under SEM.</w:t>
      </w:r>
    </w:p>
    <w:p w14:paraId="5EE33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>X-ray diffraction (XRD, Rigaku, Japan) was employed to investigate material crystallinity. Data were collected using Cu-Kα radiation with a 2θ scanning range of 5–60°, step size of 0.02°, and operating parameters of 40 kV/100 mA. Fourier-transform infrared spectroscopy (FTIR, Thermo Fisher, USA) was performed at room temperature over a wavenumber range of 500–4000 cm</w:t>
      </w:r>
      <w:r>
        <w:rPr>
          <w:rFonts w:hint="eastAsia"/>
          <w:highlight w:val="none"/>
          <w:vertAlign w:val="superscript"/>
          <w:lang w:val="en-US" w:eastAsia="zh-CN"/>
        </w:rPr>
        <w:t>-1</w:t>
      </w:r>
      <w:r>
        <w:rPr>
          <w:highlight w:val="none"/>
        </w:rPr>
        <w:t xml:space="preserve"> to identify functional groups.</w:t>
      </w:r>
    </w:p>
    <w:p w14:paraId="4EFA1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>The sol-gel transition behaviour was evaluated via vial inversion assay. Briefly, 1–2 mL of hydrogel solution was dispensed into the base of a 5 m</w:t>
      </w:r>
      <w:r>
        <w:rPr>
          <w:rFonts w:hint="eastAsia"/>
          <w:highlight w:val="none"/>
          <w:lang w:val="en-US" w:eastAsia="zh-CN"/>
        </w:rPr>
        <w:t>L</w:t>
      </w:r>
      <w:r>
        <w:rPr>
          <w:highlight w:val="none"/>
        </w:rPr>
        <w:t xml:space="preserve"> vial, which was then incubated upright in a 37°C water bath. The vial was inverted every 30 s to monitor phase transition. Successful gelation was defined as the absence of fluid flow upon inversion</w:t>
      </w:r>
      <w:r>
        <w:rPr>
          <w:rFonts w:hint="eastAsia"/>
          <w:highlight w:val="none"/>
        </w:rPr>
        <w:t>.</w:t>
      </w:r>
    </w:p>
    <w:p w14:paraId="77A61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 xml:space="preserve">Rheological </w:t>
      </w:r>
      <w:r>
        <w:rPr>
          <w:rFonts w:hint="eastAsia"/>
          <w:highlight w:val="none"/>
        </w:rPr>
        <w:t>c</w:t>
      </w:r>
      <w:r>
        <w:rPr>
          <w:highlight w:val="none"/>
        </w:rPr>
        <w:t xml:space="preserve">haracterisation was performed using a Malvern Kinexus Pro+ rheometer (Malvern Panalytical, UK) fitted with a Peltier temperature-controlled lower plate. Prior to testing, the MH@ZIF-8/CS/β-GP composite was carefully deposited into the measurement geometry and maintained under controlled hydration conditions until reaching full equilibration. Temperature-dependent viscoelastic behaviour was assessed through thermal sweeps spanning 27°C to 37°C at a controlled ramp rate of 2°C/min. Oscillatory frequency sweeps were subsequently conducted within the predetermined linear viscoelastic region using 0.1% strain amplitude, with angular frequencies ranging from 6.283 rad/s (1 Hz). The </w:t>
      </w:r>
      <w:r>
        <w:rPr>
          <w:rFonts w:hint="eastAsia"/>
          <w:highlight w:val="none"/>
          <w:lang w:val="en-US" w:eastAsia="zh-CN"/>
        </w:rPr>
        <w:t>shear</w:t>
      </w:r>
      <w:r>
        <w:rPr>
          <w:highlight w:val="none"/>
        </w:rPr>
        <w:t xml:space="preserve"> rheological behavior was investigated over a shear rate range of 0.1–100 s⁻¹, while the thixotropic recovery properties were evaluated through step tests alternating between high (100%) and low (0.1%) strains. Additionally, the temperature-dependent viscosity was characterized within the 2</w:t>
      </w:r>
      <w:r>
        <w:rPr>
          <w:rFonts w:hint="eastAsia"/>
          <w:highlight w:val="none"/>
          <w:lang w:val="en-US" w:eastAsia="zh-CN"/>
        </w:rPr>
        <w:t>4</w:t>
      </w:r>
      <w:r>
        <w:rPr>
          <w:highlight w:val="none"/>
        </w:rPr>
        <w:t>°C to 40°C range at a fixed frequency of 1 Hz.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highlight w:val="none"/>
        </w:rPr>
        <w:t>Both storage modulus (G') and loss modulus (G'') were quantitatively tracked throughout thermal cycling experiments.</w:t>
      </w:r>
    </w:p>
    <w:p w14:paraId="72755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>The adhesion strengths of CS/β-GP and MH@ZIF-8/CS/β-GP hydrogel</w:t>
      </w:r>
      <w:r>
        <w:rPr>
          <w:rFonts w:hint="eastAsia"/>
          <w:highlight w:val="none"/>
          <w:lang w:val="en-US" w:eastAsia="zh-CN"/>
        </w:rPr>
        <w:t>s</w:t>
      </w:r>
      <w:r>
        <w:rPr>
          <w:highlight w:val="none"/>
        </w:rPr>
        <w:t xml:space="preserve"> were investigated by tensile-stress and lap shear experiments using a universal testing machine under a 500 N load cell with stretch rate of 1cm min</w:t>
      </w:r>
      <w:r>
        <w:rPr>
          <w:highlight w:val="none"/>
          <w:vertAlign w:val="superscript"/>
        </w:rPr>
        <w:t>−1</w:t>
      </w:r>
      <w:r>
        <w:rPr>
          <w:highlight w:val="none"/>
        </w:rPr>
        <w:t xml:space="preserve">. Fresh porcine skin was cut into a </w:t>
      </w:r>
      <w:r>
        <w:rPr>
          <w:rFonts w:hint="eastAsia"/>
          <w:highlight w:val="none"/>
          <w:lang w:val="en-US" w:eastAsia="zh-CN"/>
        </w:rPr>
        <w:t>10</w:t>
      </w:r>
      <w:r>
        <w:rPr>
          <w:highlight w:val="none"/>
        </w:rPr>
        <w:t xml:space="preserve"> mm × </w:t>
      </w:r>
      <w:r>
        <w:rPr>
          <w:rFonts w:hint="eastAsia"/>
          <w:highlight w:val="none"/>
          <w:lang w:val="en-US" w:eastAsia="zh-CN"/>
        </w:rPr>
        <w:t>10</w:t>
      </w:r>
      <w:r>
        <w:rPr>
          <w:highlight w:val="none"/>
        </w:rPr>
        <w:t xml:space="preserve"> mm section, then cemented on the surface of a ‘T’ shaped sheet. </w:t>
      </w:r>
      <w:r>
        <w:rPr>
          <w:rFonts w:hint="eastAsia"/>
          <w:highlight w:val="none"/>
          <w:lang w:val="en-US" w:eastAsia="zh-CN"/>
        </w:rPr>
        <w:t>1</w:t>
      </w:r>
      <w:r>
        <w:rPr>
          <w:highlight w:val="none"/>
        </w:rPr>
        <w:t xml:space="preserve"> </w:t>
      </w:r>
      <w:r>
        <w:rPr>
          <w:rFonts w:hint="eastAsia"/>
          <w:highlight w:val="none"/>
          <w:lang w:val="en-US" w:eastAsia="zh-CN"/>
        </w:rPr>
        <w:t>m</w:t>
      </w:r>
      <w:r>
        <w:rPr>
          <w:highlight w:val="none"/>
        </w:rPr>
        <w:t>L of the CS/β-GP and MH@ZIF-8/CS/β-GP hydrogel</w:t>
      </w:r>
      <w:r>
        <w:rPr>
          <w:rFonts w:hint="eastAsia"/>
          <w:highlight w:val="none"/>
          <w:lang w:val="en-US" w:eastAsia="zh-CN"/>
        </w:rPr>
        <w:t>s</w:t>
      </w:r>
      <w:r>
        <w:rPr>
          <w:highlight w:val="none"/>
        </w:rPr>
        <w:t xml:space="preserve"> were added and spread over the surface of tissues; the two strips were brought in contact and allowed to cure for 5 min</w:t>
      </w:r>
      <w:r>
        <w:rPr>
          <w:rFonts w:hint="eastAsia"/>
          <w:highlight w:val="none"/>
          <w:lang w:val="en-US" w:eastAsia="zh-CN"/>
        </w:rPr>
        <w:t xml:space="preserve"> at 37 </w:t>
      </w:r>
      <w:r>
        <w:rPr>
          <w:highlight w:val="none"/>
        </w:rPr>
        <w:t>°C.</w:t>
      </w:r>
    </w:p>
    <w:p w14:paraId="779C4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>To evaluate the degradation of the MH@ZIF-8/CS/β-GP hydrogel, the dried hydrogel specimens were accurately weighed (W</w:t>
      </w:r>
      <w:r>
        <w:rPr>
          <w:highlight w:val="none"/>
          <w:vertAlign w:val="subscript"/>
        </w:rPr>
        <w:t>0</w:t>
      </w:r>
      <w:r>
        <w:rPr>
          <w:highlight w:val="none"/>
        </w:rPr>
        <w:t xml:space="preserve">) and soaked in phosphate-buffered saline (PBS) at physiologically relevant pH values (7.4 and 6.0) under controlled temperature (37°C ± 0.5°C) for </w:t>
      </w:r>
      <w:r>
        <w:rPr>
          <w:rFonts w:hint="eastAsia"/>
          <w:highlight w:val="none"/>
          <w:lang w:val="en-US" w:eastAsia="zh-CN"/>
        </w:rPr>
        <w:t>9</w:t>
      </w:r>
      <w:r>
        <w:rPr>
          <w:highlight w:val="none"/>
        </w:rPr>
        <w:t xml:space="preserve"> days. The remaining hydrogel was freeze-dried after discharging the PBS at the prescribed time to obtain the residual mass (W</w:t>
      </w:r>
      <w:r>
        <w:rPr>
          <w:highlight w:val="none"/>
          <w:vertAlign w:val="subscript"/>
        </w:rPr>
        <w:t>t</w:t>
      </w:r>
      <w:r>
        <w:rPr>
          <w:highlight w:val="none"/>
        </w:rPr>
        <w:t>).</w:t>
      </w:r>
    </w:p>
    <w:p w14:paraId="38113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rFonts w:hint="eastAsia"/>
          <w:highlight w:val="none"/>
          <w:lang w:val="en-US" w:eastAsia="zh-CN"/>
        </w:rPr>
      </w:pPr>
      <w:r>
        <w:rPr>
          <w:highlight w:val="none"/>
        </w:rPr>
        <w:t>The degradation rat</w:t>
      </w:r>
      <w:r>
        <w:rPr>
          <w:rFonts w:hint="eastAsia"/>
          <w:highlight w:val="none"/>
          <w:lang w:val="en-US" w:eastAsia="zh-CN"/>
        </w:rPr>
        <w:t>e</w:t>
      </w:r>
      <w:r>
        <w:rPr>
          <w:highlight w:val="none"/>
        </w:rPr>
        <w:t xml:space="preserve"> was calculated</w:t>
      </w:r>
      <w:r>
        <w:rPr>
          <w:rFonts w:hint="eastAsia"/>
          <w:highlight w:val="none"/>
          <w:lang w:val="en-US" w:eastAsia="zh-CN"/>
        </w:rPr>
        <w:t xml:space="preserve"> as:</w:t>
      </w:r>
    </w:p>
    <w:tbl>
      <w:tblPr>
        <w:tblStyle w:val="3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4764"/>
        <w:gridCol w:w="1967"/>
      </w:tblGrid>
      <w:tr w14:paraId="5A6BD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7" w:type="dxa"/>
            <w:vAlign w:val="center"/>
          </w:tcPr>
          <w:p w14:paraId="40010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6804" w:type="dxa"/>
            <w:vAlign w:val="center"/>
          </w:tcPr>
          <w:p w14:paraId="15F2E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highlight w:val="none"/>
                  </w:rPr>
                  <m:t>D</m:t>
                </m:r>
                <m:r>
                  <m:rPr>
                    <m:sty m:val="p"/>
                  </m:rPr>
                  <w:rPr>
                    <w:rFonts w:hint="default" w:ascii="Cambria Math" w:hAnsi="Cambria Math"/>
                    <w:highlight w:val="none"/>
                    <w:lang w:val="en-US" w:eastAsia="zh-CN"/>
                  </w:rPr>
                  <m:t>egradation</m:t>
                </m:r>
                <m:r>
                  <m:rPr>
                    <m:sty m:val="p"/>
                  </m:rPr>
                  <w:rPr>
                    <w:rFonts w:ascii="Cambria Math" w:hAnsi="Cambria Math"/>
                    <w:highlight w:val="none"/>
                  </w:rPr>
                  <m:t xml:space="preserve"> Rate (%)=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highlight w:val="none"/>
                              </w:rPr>
                            </m:ctrlPr>
                          </m:sSubPr>
                          <m:e>
                            <m:r>
                              <m:rPr/>
                              <w:rPr>
                                <w:rFonts w:hint="default" w:ascii="Cambria Math" w:hAnsi="Cambria Math"/>
                                <w:highlight w:val="none"/>
                                <w:lang w:val="en-US" w:eastAsia="zh-CN"/>
                              </w:rPr>
                              <m:t>W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highlight w:val="none"/>
                              </w:rPr>
                            </m:ctrlPr>
                          </m:e>
                          <m:sub>
                            <m:r>
                              <m:rPr/>
                              <w:rPr>
                                <w:rFonts w:ascii="Cambria Math" w:hAnsi="Cambria Math"/>
                                <w:highlight w:val="none"/>
                              </w:rPr>
                              <m:t>0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highlight w:val="none"/>
                              </w:rPr>
                            </m:ctrlPr>
                          </m:sub>
                        </m:sSub>
                        <m:r>
                          <m:rPr/>
                          <w:rPr>
                            <w:rFonts w:hint="default" w:ascii="Cambria Math" w:hAnsi="Cambria Math"/>
                            <w:highlight w:val="none"/>
                            <w:lang w:val="en-US" w:eastAsia="zh-CN"/>
                          </w:rPr>
                          <m:t>−W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/>
                            <w:highlight w:val="none"/>
                          </w:rPr>
                          <m:t>t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/>
                            <w:highlight w:val="none"/>
                            <w:lang w:val="en-US" w:eastAsia="zh-CN"/>
                          </w:rPr>
                          <m:t>W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/>
                            <w:highlight w:val="none"/>
                          </w:rPr>
                          <m:t>0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den>
                </m:f>
                <m:r>
                  <m:rPr/>
                  <w:rPr>
                    <w:rFonts w:hint="eastAsia" w:ascii="Cambria Math" w:hAnsi="Cambria Math"/>
                    <w:highlight w:val="none"/>
                  </w:rPr>
                  <m:t>×</m:t>
                </m:r>
                <m:r>
                  <m:rPr/>
                  <w:rPr>
                    <w:rFonts w:ascii="Cambria Math" w:hAnsi="Cambria Math"/>
                    <w:highlight w:val="none"/>
                  </w:rPr>
                  <m:t>100%</m:t>
                </m:r>
              </m:oMath>
            </m:oMathPara>
          </w:p>
        </w:tc>
        <w:tc>
          <w:tcPr>
            <w:tcW w:w="2768" w:type="dxa"/>
            <w:vAlign w:val="center"/>
          </w:tcPr>
          <w:p w14:paraId="32725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right"/>
              <w:textAlignment w:val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(</w:t>
            </w:r>
            <w:r>
              <w:rPr>
                <w:rFonts w:hint="eastAsia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highlight w:val="none"/>
              </w:rPr>
              <w:t>.</w:t>
            </w:r>
            <w:r>
              <w:rPr>
                <w:rFonts w:hint="eastAsia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highlight w:val="none"/>
              </w:rPr>
              <w:t>)</w:t>
            </w:r>
          </w:p>
        </w:tc>
      </w:tr>
    </w:tbl>
    <w:p w14:paraId="07420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sz w:val="28"/>
          <w:szCs w:val="28"/>
          <w:highlight w:val="none"/>
        </w:rPr>
      </w:pP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 xml:space="preserve">1.4 </w:t>
      </w:r>
      <w:r>
        <w:rPr>
          <w:i/>
          <w:iCs/>
          <w:sz w:val="28"/>
          <w:szCs w:val="28"/>
          <w:highlight w:val="none"/>
        </w:rPr>
        <w:t xml:space="preserve">Drug </w:t>
      </w: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>l</w:t>
      </w:r>
      <w:r>
        <w:rPr>
          <w:i/>
          <w:iCs/>
          <w:sz w:val="28"/>
          <w:szCs w:val="28"/>
          <w:highlight w:val="none"/>
        </w:rPr>
        <w:t xml:space="preserve">oading and </w:t>
      </w: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>r</w:t>
      </w:r>
      <w:r>
        <w:rPr>
          <w:i/>
          <w:iCs/>
          <w:sz w:val="28"/>
          <w:szCs w:val="28"/>
          <w:highlight w:val="none"/>
        </w:rPr>
        <w:t xml:space="preserve">elease </w:t>
      </w: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>p</w:t>
      </w:r>
      <w:r>
        <w:rPr>
          <w:i/>
          <w:iCs/>
          <w:sz w:val="28"/>
          <w:szCs w:val="28"/>
          <w:highlight w:val="none"/>
        </w:rPr>
        <w:t>rofiling</w:t>
      </w:r>
    </w:p>
    <w:p w14:paraId="56C9E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 xml:space="preserve">The drug loading efficiency (DLE) was determined as follows: </w:t>
      </w:r>
      <w:r>
        <w:rPr>
          <w:rFonts w:hint="eastAsia"/>
          <w:highlight w:val="none"/>
          <w:lang w:val="en-US" w:eastAsia="zh-CN"/>
        </w:rPr>
        <w:t>g</w:t>
      </w:r>
      <w:r>
        <w:rPr>
          <w:highlight w:val="none"/>
        </w:rPr>
        <w:t>iven the pH-responsive degradation of ZIF-8 under acidic conditions, 0.1 M HCl was used as a solvent. A standard curve for minocycline hydrochloride was established using a microplate reader (λ = 350 nm). Aliquots of 10 mg MH-0.25@ZIF-8, MH-0.5@ZIF-8, and MH-1@ZIF-8 were dissolved in 1 m</w:t>
      </w:r>
      <w:r>
        <w:rPr>
          <w:rFonts w:hint="eastAsia"/>
          <w:highlight w:val="none"/>
          <w:lang w:val="en-US" w:eastAsia="zh-CN"/>
        </w:rPr>
        <w:t>L</w:t>
      </w:r>
      <w:r>
        <w:rPr>
          <w:highlight w:val="none"/>
        </w:rPr>
        <w:t xml:space="preserve"> 0.1 M HCl, ultrasonicated to ensure complete dissolution, and their absorbance at 350 nm was measured to calculate DLE via the standard curve.</w:t>
      </w:r>
    </w:p>
    <w:p w14:paraId="1BD5D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>The DLE was calculated using the formula:：</w:t>
      </w:r>
    </w:p>
    <w:tbl>
      <w:tblPr>
        <w:tblStyle w:val="34"/>
        <w:tblW w:w="84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5448"/>
        <w:gridCol w:w="1701"/>
      </w:tblGrid>
      <w:tr w14:paraId="53F6C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 w14:paraId="76138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w:bookmarkStart w:id="0" w:name="_Hlk196852020"/>
          </w:p>
        </w:tc>
        <w:tc>
          <w:tcPr>
            <w:tcW w:w="5448" w:type="dxa"/>
            <w:vAlign w:val="center"/>
          </w:tcPr>
          <w:p w14:paraId="665C8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highlight w:val="none"/>
                  </w:rPr>
                  <m:t>Drug Loading Efficiency (%)=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/>
                            <w:highlight w:val="none"/>
                          </w:rPr>
                          <m:t>W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e>
                      <m:sub>
                        <m:r>
                          <m:rPr/>
                          <w:rPr>
                            <w:rFonts w:hint="eastAsia" w:ascii="Cambria Math" w:hAnsi="Cambria Math"/>
                            <w:highlight w:val="none"/>
                          </w:rPr>
                          <m:t>MH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/>
                            <w:highlight w:val="none"/>
                          </w:rPr>
                          <m:t>W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/>
                            <w:highlight w:val="none"/>
                          </w:rPr>
                          <m:t>0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den>
                </m:f>
                <m:r>
                  <m:rPr/>
                  <w:rPr>
                    <w:rFonts w:hint="eastAsia" w:ascii="Cambria Math" w:hAnsi="Cambria Math"/>
                    <w:highlight w:val="none"/>
                  </w:rPr>
                  <m:t>×</m:t>
                </m:r>
                <m:r>
                  <m:rPr/>
                  <w:rPr>
                    <w:rFonts w:ascii="Cambria Math" w:hAnsi="Cambria Math"/>
                    <w:highlight w:val="none"/>
                  </w:rPr>
                  <m:t>100%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07A4A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right"/>
              <w:textAlignment w:val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(</w:t>
            </w:r>
            <w:r>
              <w:rPr>
                <w:rFonts w:hint="eastAsia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highlight w:val="none"/>
              </w:rPr>
              <w:t>.</w:t>
            </w:r>
            <w:r>
              <w:rPr>
                <w:rFonts w:hint="eastAsia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highlight w:val="none"/>
              </w:rPr>
              <w:t>)</w:t>
            </w:r>
          </w:p>
        </w:tc>
      </w:tr>
      <w:bookmarkEnd w:id="0"/>
    </w:tbl>
    <w:p w14:paraId="3C8D7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>Where</w:t>
      </w:r>
      <w:r>
        <w:rPr>
          <w:rFonts w:hint="eastAsia"/>
          <w:highlight w:val="none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highlight w:val="none"/>
              </w:rPr>
            </m:ctrlPr>
          </m:sSubPr>
          <m:e>
            <m:r>
              <m:rPr/>
              <w:rPr>
                <w:rFonts w:ascii="Cambria Math" w:hAnsi="Cambria Math"/>
                <w:highlight w:val="none"/>
              </w:rPr>
              <m:t>W</m:t>
            </m:r>
            <m:ctrlPr>
              <w:rPr>
                <w:rFonts w:ascii="Cambria Math" w:hAnsi="Cambria Math"/>
                <w:i/>
                <w:highlight w:val="none"/>
              </w:rPr>
            </m:ctrlPr>
          </m:e>
          <m:sub>
            <m:r>
              <m:rPr/>
              <w:rPr>
                <w:rFonts w:hint="eastAsia" w:ascii="Cambria Math" w:hAnsi="Cambria Math"/>
                <w:highlight w:val="none"/>
              </w:rPr>
              <m:t>MH</m:t>
            </m:r>
            <m:ctrlPr>
              <w:rPr>
                <w:rFonts w:ascii="Cambria Math" w:hAnsi="Cambria Math"/>
                <w:i/>
                <w:highlight w:val="none"/>
              </w:rPr>
            </m:ctrlPr>
          </m:sub>
        </m:sSub>
      </m:oMath>
      <w:r>
        <w:rPr>
          <w:rFonts w:hint="eastAsia"/>
          <w:highlight w:val="none"/>
        </w:rPr>
        <w:t xml:space="preserve"> </w:t>
      </w:r>
      <w:r>
        <w:rPr>
          <w:highlight w:val="none"/>
        </w:rPr>
        <w:t>is the mass of MH loaded into ZIF-8, and</w:t>
      </w:r>
      <w:r>
        <w:rPr>
          <w:rFonts w:hint="eastAsia"/>
          <w:highlight w:val="none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highlight w:val="none"/>
              </w:rPr>
            </m:ctrlPr>
          </m:sSubPr>
          <m:e>
            <m:r>
              <m:rPr/>
              <w:rPr>
                <w:rFonts w:ascii="Cambria Math" w:hAnsi="Cambria Math"/>
                <w:highlight w:val="none"/>
              </w:rPr>
              <m:t>W</m:t>
            </m:r>
            <m:ctrlPr>
              <w:rPr>
                <w:rFonts w:ascii="Cambria Math" w:hAnsi="Cambria Math"/>
                <w:i/>
                <w:highlight w:val="none"/>
              </w:rPr>
            </m:ctrlPr>
          </m:e>
          <m:sub>
            <m:r>
              <m:rPr/>
              <w:rPr>
                <w:rFonts w:ascii="Cambria Math" w:hAnsi="Cambria Math"/>
                <w:highlight w:val="none"/>
              </w:rPr>
              <m:t>0</m:t>
            </m:r>
            <m:ctrlPr>
              <w:rPr>
                <w:rFonts w:ascii="Cambria Math" w:hAnsi="Cambria Math"/>
                <w:i/>
                <w:highlight w:val="none"/>
              </w:rPr>
            </m:ctrlPr>
          </m:sub>
        </m:sSub>
      </m:oMath>
      <w:r>
        <w:rPr>
          <w:highlight w:val="none"/>
        </w:rPr>
        <w:t xml:space="preserve"> is the total mass of MH@ZIF-8.</w:t>
      </w:r>
    </w:p>
    <w:p w14:paraId="1B2C8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>For drug release kinetics, equal masses of MH@ZIF-8 were suspended in 5 m</w:t>
      </w:r>
      <w:r>
        <w:rPr>
          <w:rFonts w:hint="eastAsia"/>
          <w:highlight w:val="none"/>
          <w:lang w:val="en-US" w:eastAsia="zh-CN"/>
        </w:rPr>
        <w:t>L</w:t>
      </w:r>
      <w:r>
        <w:rPr>
          <w:highlight w:val="none"/>
        </w:rPr>
        <w:t xml:space="preserve"> PBS (pH 7.4) and incubated at 37°C. Aliquots (600 μ</w:t>
      </w:r>
      <w:r>
        <w:rPr>
          <w:rFonts w:hint="eastAsia"/>
          <w:highlight w:val="none"/>
          <w:lang w:val="en-US" w:eastAsia="zh-CN"/>
        </w:rPr>
        <w:t>L</w:t>
      </w:r>
      <w:r>
        <w:rPr>
          <w:highlight w:val="none"/>
        </w:rPr>
        <w:t>) were collected at 2 h, 4 h, 6 h, 12 h, 24 h, 48 h, and 72 h, transferred to a 96-well plate (200 μ</w:t>
      </w:r>
      <w:r>
        <w:rPr>
          <w:rFonts w:hint="eastAsia"/>
          <w:highlight w:val="none"/>
          <w:lang w:val="en-US" w:eastAsia="zh-CN"/>
        </w:rPr>
        <w:t>L</w:t>
      </w:r>
      <w:r>
        <w:rPr>
          <w:highlight w:val="none"/>
        </w:rPr>
        <w:t>/well), and analysed at 350 nm to quantify MH release using the standard curve.</w:t>
      </w:r>
      <w:r>
        <w:rPr>
          <w:rFonts w:ascii="PingFang SC" w:hAnsi="PingFang SC"/>
          <w:color w:val="2A2F45"/>
          <w:sz w:val="21"/>
          <w:szCs w:val="21"/>
          <w:highlight w:val="none"/>
          <w:shd w:val="clear" w:color="auto" w:fill="FFFFFF"/>
        </w:rPr>
        <w:t xml:space="preserve"> </w:t>
      </w:r>
      <w:r>
        <w:rPr>
          <w:highlight w:val="none"/>
        </w:rPr>
        <w:t xml:space="preserve">To evaluate the pH-responsive release profile of the MH@ZIF-8/CS/β-GP hydrogel, specimens were incubated in PBS at physiologically relevant pH values (7.4 and 6.0) under controlled temperature (37°C ± 0.5°C) for 72 </w:t>
      </w:r>
      <w:r>
        <w:rPr>
          <w:rFonts w:hint="eastAsia"/>
          <w:highlight w:val="none"/>
          <w:lang w:val="en-US" w:eastAsia="zh-CN"/>
        </w:rPr>
        <w:t>h</w:t>
      </w:r>
      <w:r>
        <w:rPr>
          <w:highlight w:val="none"/>
        </w:rPr>
        <w:t>,</w:t>
      </w:r>
      <w:r>
        <w:rPr>
          <w:rFonts w:hint="eastAsia"/>
          <w:highlight w:val="none"/>
        </w:rPr>
        <w:t xml:space="preserve"> </w:t>
      </w:r>
      <w:r>
        <w:rPr>
          <w:highlight w:val="none"/>
        </w:rPr>
        <w:t xml:space="preserve">with release quantification performed as </w:t>
      </w:r>
      <w:r>
        <w:rPr>
          <w:rFonts w:hint="eastAsia"/>
          <w:highlight w:val="none"/>
        </w:rPr>
        <w:t>follow</w:t>
      </w:r>
      <w:r>
        <w:rPr>
          <w:highlight w:val="none"/>
        </w:rPr>
        <w:t>.</w:t>
      </w:r>
    </w:p>
    <w:p w14:paraId="16BB3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>The cumulative drug release rate was calculated as:</w:t>
      </w:r>
    </w:p>
    <w:tbl>
      <w:tblPr>
        <w:tblStyle w:val="3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4682"/>
        <w:gridCol w:w="2003"/>
      </w:tblGrid>
      <w:tr w14:paraId="11A9B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7" w:type="dxa"/>
            <w:vAlign w:val="center"/>
          </w:tcPr>
          <w:p w14:paraId="2653F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6804" w:type="dxa"/>
            <w:vAlign w:val="center"/>
          </w:tcPr>
          <w:p w14:paraId="7E016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highlight w:val="none"/>
                  </w:rPr>
                  <m:t>Drug Release Rate (%)=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/>
                            <w:highlight w:val="none"/>
                          </w:rPr>
                          <m:t>m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/>
                            <w:highlight w:val="none"/>
                          </w:rPr>
                          <m:t>t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/>
                            <w:highlight w:val="none"/>
                          </w:rPr>
                          <m:t>m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/>
                            <w:highlight w:val="none"/>
                          </w:rPr>
                          <m:t>0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den>
                </m:f>
                <m:r>
                  <m:rPr/>
                  <w:rPr>
                    <w:rFonts w:hint="eastAsia" w:ascii="Cambria Math" w:hAnsi="Cambria Math"/>
                    <w:highlight w:val="none"/>
                  </w:rPr>
                  <m:t>×</m:t>
                </m:r>
                <m:r>
                  <m:rPr/>
                  <w:rPr>
                    <w:rFonts w:ascii="Cambria Math" w:hAnsi="Cambria Math"/>
                    <w:highlight w:val="none"/>
                  </w:rPr>
                  <m:t>100%</m:t>
                </m:r>
              </m:oMath>
            </m:oMathPara>
          </w:p>
        </w:tc>
        <w:tc>
          <w:tcPr>
            <w:tcW w:w="2768" w:type="dxa"/>
            <w:vAlign w:val="center"/>
          </w:tcPr>
          <w:p w14:paraId="182D0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right"/>
              <w:textAlignment w:val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(</w:t>
            </w:r>
            <w:r>
              <w:rPr>
                <w:rFonts w:hint="eastAsia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highlight w:val="none"/>
              </w:rPr>
              <w:t>.</w:t>
            </w:r>
            <w:r>
              <w:rPr>
                <w:rFonts w:hint="eastAsia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highlight w:val="none"/>
              </w:rPr>
              <w:t>)</w:t>
            </w:r>
          </w:p>
        </w:tc>
      </w:tr>
    </w:tbl>
    <w:p w14:paraId="359AB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rFonts w:hint="eastAsia"/>
          <w:highlight w:val="none"/>
          <w:lang w:val="en-US" w:eastAsia="zh-CN"/>
        </w:rPr>
        <w:t>W</w:t>
      </w:r>
      <w:r>
        <w:rPr>
          <w:rFonts w:hint="eastAsia"/>
          <w:highlight w:val="none"/>
        </w:rPr>
        <w:t xml:space="preserve">here </w:t>
      </w:r>
      <m:oMath>
        <m:sSub>
          <m:sSubPr>
            <m:ctrlPr>
              <w:rPr>
                <w:rFonts w:ascii="Cambria Math" w:hAnsi="Cambria Math"/>
                <w:i/>
                <w:highlight w:val="none"/>
              </w:rPr>
            </m:ctrlPr>
          </m:sSubPr>
          <m:e>
            <m:r>
              <m:rPr/>
              <w:rPr>
                <w:rFonts w:ascii="Cambria Math" w:hAnsi="Cambria Math"/>
                <w:highlight w:val="none"/>
              </w:rPr>
              <m:t>m</m:t>
            </m:r>
            <m:ctrlPr>
              <w:rPr>
                <w:rFonts w:ascii="Cambria Math" w:hAnsi="Cambria Math"/>
                <w:i/>
                <w:highlight w:val="none"/>
              </w:rPr>
            </m:ctrlPr>
          </m:e>
          <m:sub>
            <m:r>
              <m:rPr/>
              <w:rPr>
                <w:rFonts w:ascii="Cambria Math" w:hAnsi="Cambria Math"/>
                <w:highlight w:val="none"/>
              </w:rPr>
              <m:t>t</m:t>
            </m:r>
            <m:ctrlPr>
              <w:rPr>
                <w:rFonts w:ascii="Cambria Math" w:hAnsi="Cambria Math"/>
                <w:i/>
                <w:highlight w:val="none"/>
              </w:rPr>
            </m:ctrlPr>
          </m:sub>
        </m:sSub>
      </m:oMath>
      <w:r>
        <w:rPr>
          <w:rFonts w:hint="eastAsia"/>
          <w:highlight w:val="none"/>
        </w:rPr>
        <w:t xml:space="preserve"> </w:t>
      </w:r>
      <w:r>
        <w:rPr>
          <w:highlight w:val="none"/>
        </w:rPr>
        <w:t>is the cumulative mass of MH released at each time point, and</w:t>
      </w:r>
      <w:r>
        <w:rPr>
          <w:rFonts w:hint="eastAsia"/>
          <w:highlight w:val="none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highlight w:val="none"/>
              </w:rPr>
            </m:ctrlPr>
          </m:sSubPr>
          <m:e>
            <m:r>
              <m:rPr/>
              <w:rPr>
                <w:rFonts w:ascii="Cambria Math" w:hAnsi="Cambria Math"/>
                <w:highlight w:val="none"/>
              </w:rPr>
              <m:t>m</m:t>
            </m:r>
            <m:ctrlPr>
              <w:rPr>
                <w:rFonts w:ascii="Cambria Math" w:hAnsi="Cambria Math"/>
                <w:i/>
                <w:highlight w:val="none"/>
              </w:rPr>
            </m:ctrlPr>
          </m:e>
          <m:sub>
            <m:r>
              <m:rPr/>
              <w:rPr>
                <w:rFonts w:ascii="Cambria Math" w:hAnsi="Cambria Math"/>
                <w:highlight w:val="none"/>
              </w:rPr>
              <m:t>0</m:t>
            </m:r>
            <m:ctrlPr>
              <w:rPr>
                <w:rFonts w:ascii="Cambria Math" w:hAnsi="Cambria Math"/>
                <w:i/>
                <w:highlight w:val="none"/>
              </w:rPr>
            </m:ctrlPr>
          </m:sub>
        </m:sSub>
      </m:oMath>
      <w:r>
        <w:rPr>
          <w:highlight w:val="none"/>
        </w:rPr>
        <w:t xml:space="preserve"> is the total loaded MH mass.</w:t>
      </w:r>
    </w:p>
    <w:p w14:paraId="4B94E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highlight w:val="none"/>
        </w:rPr>
      </w:pP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>1.</w:t>
      </w:r>
      <w:r>
        <w:rPr>
          <w:rFonts w:hint="default"/>
          <w:i/>
          <w:iCs/>
          <w:sz w:val="28"/>
          <w:szCs w:val="28"/>
          <w:highlight w:val="none"/>
          <w:lang w:eastAsia="zh-CN"/>
        </w:rPr>
        <w:t>5</w:t>
      </w: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 xml:space="preserve"> </w:t>
      </w:r>
      <w:r>
        <w:rPr>
          <w:i/>
          <w:iCs/>
          <w:sz w:val="28"/>
          <w:szCs w:val="28"/>
          <w:highlight w:val="none"/>
        </w:rPr>
        <w:t>A</w:t>
      </w:r>
      <w:r>
        <w:rPr>
          <w:rFonts w:hint="default"/>
          <w:highlight w:val="none"/>
        </w:rPr>
        <w:t>ntibacterial rate</w:t>
      </w:r>
    </w:p>
    <w:p w14:paraId="52B9A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rFonts w:hint="default"/>
          <w:highlight w:val="none"/>
        </w:rPr>
      </w:pPr>
      <w:r>
        <w:rPr>
          <w:rFonts w:hint="default"/>
          <w:highlight w:val="none"/>
        </w:rPr>
        <w:t xml:space="preserve">We performed plate colony counting on </w:t>
      </w:r>
      <w:r>
        <w:rPr>
          <w:rFonts w:hint="eastAsia"/>
          <w:highlight w:val="none"/>
          <w:lang w:val="en-US" w:eastAsia="zh-CN"/>
        </w:rPr>
        <w:t>bacteria</w:t>
      </w:r>
      <w:r>
        <w:rPr>
          <w:rFonts w:hint="default"/>
          <w:highlight w:val="none"/>
        </w:rPr>
        <w:t xml:space="preserve"> from different treatment groups and subsequently calculated the antibacterial rate.</w:t>
      </w:r>
    </w:p>
    <w:tbl>
      <w:tblPr>
        <w:tblStyle w:val="3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4776"/>
        <w:gridCol w:w="1961"/>
      </w:tblGrid>
      <w:tr w14:paraId="2DDBB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7" w:type="dxa"/>
            <w:vAlign w:val="center"/>
          </w:tcPr>
          <w:p w14:paraId="5DDCD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6804" w:type="dxa"/>
            <w:vAlign w:val="center"/>
          </w:tcPr>
          <w:p w14:paraId="1A06A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/>
                    <w:highlight w:val="none"/>
                    <w:lang w:val="en-US" w:eastAsia="zh-CN"/>
                  </w:rPr>
                  <m:t>A</m:t>
                </m:r>
                <m:r>
                  <m:rPr>
                    <m:sty m:val="p"/>
                  </m:rPr>
                  <w:rPr>
                    <w:rFonts w:hint="default" w:ascii="Cambria Math" w:hAnsi="Cambria Math"/>
                    <w:highlight w:val="none"/>
                    <w:lang w:eastAsia="zh-CN"/>
                  </w:rPr>
                  <m:t>ntibacterial</m:t>
                </m:r>
                <m:r>
                  <m:rPr>
                    <m:sty m:val="p"/>
                  </m:rPr>
                  <w:rPr>
                    <w:rFonts w:ascii="Cambria Math" w:hAnsi="Cambria Math"/>
                    <w:highlight w:val="none"/>
                  </w:rPr>
                  <m:t xml:space="preserve"> Rate (%)=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highlight w:val="none"/>
                              </w:rPr>
                            </m:ctrlPr>
                          </m:sSubPr>
                          <m:e>
                            <m:r>
                              <m:rPr/>
                              <w:rPr>
                                <w:rFonts w:hint="default" w:ascii="Cambria Math" w:hAnsi="Cambria Math"/>
                                <w:highlight w:val="none"/>
                              </w:rPr>
                              <m:t>N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highlight w:val="none"/>
                              </w:rPr>
                            </m:ctrlPr>
                          </m:e>
                          <m:sub>
                            <m:r>
                              <m:rPr/>
                              <w:rPr>
                                <w:rFonts w:hint="default" w:ascii="Cambria Math" w:hAnsi="Cambria Math"/>
                                <w:highlight w:val="none"/>
                              </w:rPr>
                              <m:t>C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highlight w:val="none"/>
                              </w:rPr>
                            </m:ctrlPr>
                          </m:sub>
                        </m:sSub>
                        <m:r>
                          <m:rPr/>
                          <w:rPr>
                            <w:rFonts w:hint="default" w:ascii="Cambria Math" w:hAnsi="Cambria Math"/>
                            <w:highlight w:val="none"/>
                            <w:lang w:val="en-US" w:eastAsia="zh-CN"/>
                          </w:rPr>
                          <m:t>−</m:t>
                        </m:r>
                        <m:r>
                          <m:rPr/>
                          <w:rPr>
                            <w:rFonts w:hint="default" w:ascii="Cambria Math" w:hAnsi="Cambria Math"/>
                            <w:highlight w:val="none"/>
                            <w:lang w:eastAsia="zh-CN"/>
                          </w:rPr>
                          <m:t>N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/>
                            <w:highlight w:val="none"/>
                          </w:rPr>
                          <m:t>T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/>
                            <w:highlight w:val="none"/>
                          </w:rPr>
                          <m:t>N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/>
                            <w:highlight w:val="none"/>
                          </w:rPr>
                          <m:t>C</m:t>
                        </m:r>
                        <m:ctrlPr>
                          <w:rPr>
                            <w:rFonts w:ascii="Cambria Math" w:hAnsi="Cambria Math"/>
                            <w:i/>
                            <w:highlight w:val="none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i/>
                        <w:highlight w:val="none"/>
                      </w:rPr>
                    </m:ctrlPr>
                  </m:den>
                </m:f>
                <m:r>
                  <m:rPr/>
                  <w:rPr>
                    <w:rFonts w:hint="eastAsia" w:ascii="Cambria Math" w:hAnsi="Cambria Math"/>
                    <w:highlight w:val="none"/>
                  </w:rPr>
                  <m:t>×</m:t>
                </m:r>
                <m:r>
                  <m:rPr/>
                  <w:rPr>
                    <w:rFonts w:ascii="Cambria Math" w:hAnsi="Cambria Math"/>
                    <w:highlight w:val="none"/>
                  </w:rPr>
                  <m:t>100%</m:t>
                </m:r>
              </m:oMath>
            </m:oMathPara>
          </w:p>
        </w:tc>
        <w:tc>
          <w:tcPr>
            <w:tcW w:w="2768" w:type="dxa"/>
            <w:vAlign w:val="center"/>
          </w:tcPr>
          <w:p w14:paraId="1354D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right"/>
              <w:textAlignment w:val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(</w:t>
            </w:r>
            <w:r>
              <w:rPr>
                <w:rFonts w:hint="eastAsia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highlight w:val="none"/>
              </w:rPr>
              <w:t>.</w:t>
            </w:r>
            <w:r>
              <w:rPr>
                <w:rFonts w:hint="default"/>
                <w:highlight w:val="none"/>
                <w:lang w:eastAsia="zh-CN"/>
              </w:rPr>
              <w:t>4</w:t>
            </w:r>
            <w:r>
              <w:rPr>
                <w:rFonts w:hint="eastAsia"/>
                <w:highlight w:val="none"/>
              </w:rPr>
              <w:t>)</w:t>
            </w:r>
          </w:p>
        </w:tc>
      </w:tr>
    </w:tbl>
    <w:p w14:paraId="667CB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rFonts w:hint="default"/>
          <w:highlight w:val="none"/>
        </w:rPr>
      </w:pPr>
      <w:r>
        <w:rPr>
          <w:rFonts w:hint="eastAsia"/>
          <w:highlight w:val="none"/>
          <w:lang w:val="en-US" w:eastAsia="zh-CN"/>
        </w:rPr>
        <w:t>W</w:t>
      </w:r>
      <w:r>
        <w:rPr>
          <w:rFonts w:hint="eastAsia"/>
          <w:highlight w:val="none"/>
        </w:rPr>
        <w:t xml:space="preserve">here </w:t>
      </w:r>
      <m:oMath>
        <m:sSub>
          <m:sSubPr>
            <m:ctrlPr>
              <w:rPr>
                <w:rFonts w:ascii="Cambria Math" w:hAnsi="Cambria Math"/>
                <w:i/>
                <w:highlight w:val="none"/>
              </w:rPr>
            </m:ctrlPr>
          </m:sSubPr>
          <m:e>
            <m:r>
              <m:rPr/>
              <w:rPr>
                <w:rFonts w:hint="default" w:ascii="Cambria Math" w:hAnsi="Cambria Math"/>
                <w:highlight w:val="none"/>
              </w:rPr>
              <m:t>N</m:t>
            </m:r>
            <m:ctrlPr>
              <w:rPr>
                <w:rFonts w:ascii="Cambria Math" w:hAnsi="Cambria Math"/>
                <w:i/>
                <w:highlight w:val="none"/>
              </w:rPr>
            </m:ctrlPr>
          </m:e>
          <m:sub>
            <m:r>
              <m:rPr/>
              <w:rPr>
                <w:rFonts w:hint="default" w:ascii="Cambria Math" w:hAnsi="Cambria Math"/>
                <w:highlight w:val="none"/>
              </w:rPr>
              <m:t>C</m:t>
            </m:r>
            <m:ctrlPr>
              <w:rPr>
                <w:rFonts w:ascii="Cambria Math" w:hAnsi="Cambria Math"/>
                <w:i/>
                <w:highlight w:val="none"/>
              </w:rPr>
            </m:ctrlPr>
          </m:sub>
        </m:sSub>
      </m:oMath>
      <w:r>
        <w:rPr>
          <w:rFonts w:hint="eastAsia"/>
          <w:highlight w:val="none"/>
        </w:rPr>
        <w:t xml:space="preserve"> </w:t>
      </w:r>
      <w:r>
        <w:rPr>
          <w:highlight w:val="none"/>
        </w:rPr>
        <w:t xml:space="preserve">is the </w:t>
      </w:r>
      <w:r>
        <w:rPr>
          <w:rFonts w:hint="eastAsia"/>
          <w:highlight w:val="none"/>
          <w:lang w:val="en-US" w:eastAsia="zh-CN"/>
        </w:rPr>
        <w:t>m</w:t>
      </w:r>
      <w:r>
        <w:rPr>
          <w:rFonts w:hint="default"/>
          <w:highlight w:val="none"/>
        </w:rPr>
        <w:t>ean colony count of control group</w:t>
      </w:r>
      <w:r>
        <w:rPr>
          <w:highlight w:val="none"/>
        </w:rPr>
        <w:t>, and</w:t>
      </w:r>
      <w:r>
        <w:rPr>
          <w:rFonts w:hint="eastAsia"/>
          <w:highlight w:val="none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highlight w:val="none"/>
              </w:rPr>
            </m:ctrlPr>
          </m:sSubPr>
          <m:e>
            <m:r>
              <m:rPr/>
              <w:rPr>
                <w:rFonts w:hint="default" w:ascii="Cambria Math" w:hAnsi="Cambria Math"/>
                <w:highlight w:val="none"/>
                <w:lang w:val="en-US" w:eastAsia="zh-CN"/>
              </w:rPr>
              <m:t>N</m:t>
            </m:r>
            <m:ctrlPr>
              <w:rPr>
                <w:rFonts w:ascii="Cambria Math" w:hAnsi="Cambria Math"/>
                <w:i/>
                <w:highlight w:val="none"/>
              </w:rPr>
            </m:ctrlPr>
          </m:e>
          <m:sub>
            <m:r>
              <m:rPr/>
              <w:rPr>
                <w:rFonts w:hint="default" w:ascii="Cambria Math" w:hAnsi="Cambria Math"/>
                <w:highlight w:val="none"/>
                <w:lang w:val="en-US" w:eastAsia="zh-CN"/>
              </w:rPr>
              <m:t>T</m:t>
            </m:r>
            <m:ctrlPr>
              <w:rPr>
                <w:rFonts w:ascii="Cambria Math" w:hAnsi="Cambria Math"/>
                <w:i/>
                <w:highlight w:val="none"/>
              </w:rPr>
            </m:ctrlPr>
          </m:sub>
        </m:sSub>
      </m:oMath>
      <w:r>
        <w:rPr>
          <w:highlight w:val="none"/>
        </w:rPr>
        <w:t xml:space="preserve"> is the </w:t>
      </w:r>
      <w:r>
        <w:rPr>
          <w:rFonts w:hint="eastAsia"/>
          <w:highlight w:val="none"/>
          <w:lang w:val="en-US" w:eastAsia="zh-CN"/>
        </w:rPr>
        <w:t>m</w:t>
      </w:r>
      <w:r>
        <w:rPr>
          <w:rFonts w:hint="default"/>
          <w:highlight w:val="none"/>
        </w:rPr>
        <w:t>ean colony count of treatment group</w:t>
      </w:r>
      <w:r>
        <w:rPr>
          <w:highlight w:val="none"/>
        </w:rPr>
        <w:t>.</w:t>
      </w:r>
    </w:p>
    <w:p w14:paraId="29E77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sz w:val="28"/>
          <w:szCs w:val="28"/>
          <w:highlight w:val="none"/>
        </w:rPr>
      </w:pP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>1.</w:t>
      </w:r>
      <w:r>
        <w:rPr>
          <w:rFonts w:hint="default"/>
          <w:i/>
          <w:iCs/>
          <w:sz w:val="28"/>
          <w:szCs w:val="28"/>
          <w:highlight w:val="none"/>
          <w:lang w:eastAsia="zh-CN"/>
        </w:rPr>
        <w:t>6</w:t>
      </w: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 xml:space="preserve"> </w:t>
      </w:r>
      <w:r>
        <w:rPr>
          <w:i/>
          <w:iCs/>
          <w:sz w:val="28"/>
          <w:szCs w:val="28"/>
          <w:highlight w:val="none"/>
        </w:rPr>
        <w:t xml:space="preserve">Establishment of RAW264.7 </w:t>
      </w: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>i</w:t>
      </w:r>
      <w:r>
        <w:rPr>
          <w:i/>
          <w:iCs/>
          <w:sz w:val="28"/>
          <w:szCs w:val="28"/>
          <w:highlight w:val="none"/>
        </w:rPr>
        <w:t xml:space="preserve">nflammatory </w:t>
      </w: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>m</w:t>
      </w:r>
      <w:r>
        <w:rPr>
          <w:i/>
          <w:iCs/>
          <w:sz w:val="28"/>
          <w:szCs w:val="28"/>
          <w:highlight w:val="none"/>
        </w:rPr>
        <w:t>odel</w:t>
      </w:r>
    </w:p>
    <w:p w14:paraId="599CC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textAlignment w:val="auto"/>
        <w:rPr>
          <w:highlight w:val="none"/>
        </w:rPr>
      </w:pPr>
      <w:r>
        <w:rPr>
          <w:highlight w:val="none"/>
        </w:rPr>
        <w:t>RAW264.7 murine monocyte-macrophage leukaemia cells (Procell Life Science &amp; Technology Co., Ltd, Wuhan, China) were cultured per protocol. Second-passage cells were used for experiments.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highlight w:val="none"/>
        </w:rPr>
        <w:t xml:space="preserve">RAW264.7 </w:t>
      </w:r>
      <w:r>
        <w:rPr>
          <w:rFonts w:hint="default" w:ascii="Times New Roman" w:hAnsi="Times New Roman" w:cs="Times New Roman"/>
          <w:highlight w:val="none"/>
        </w:rPr>
        <w:t>cells were divided into four groups: control, LPS, ZIF-8, and MH@ZIF-8</w:t>
      </w:r>
      <w:r>
        <w:rPr>
          <w:highlight w:val="none"/>
        </w:rPr>
        <w:t>. Cells (1 × 10</w:t>
      </w:r>
      <w:r>
        <w:rPr>
          <w:rFonts w:hint="eastAsia"/>
          <w:highlight w:val="none"/>
          <w:vertAlign w:val="superscript"/>
          <w:lang w:val="en-US" w:eastAsia="zh-CN"/>
        </w:rPr>
        <w:t>6</w:t>
      </w:r>
      <w:r>
        <w:rPr>
          <w:highlight w:val="none"/>
        </w:rPr>
        <w:t xml:space="preserve"> cells/well) were seeded into 6-well plates. The control group was cultured in DMEM with 10%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highlight w:val="none"/>
        </w:rPr>
        <w:t>fetal bovine serum</w:t>
      </w:r>
      <w:r>
        <w:rPr>
          <w:rFonts w:hint="eastAsia" w:cs="Times New Roman"/>
          <w:highlight w:val="none"/>
          <w:lang w:val="en-US" w:eastAsia="zh-CN"/>
        </w:rPr>
        <w:t xml:space="preserve"> (</w:t>
      </w:r>
      <w:r>
        <w:rPr>
          <w:highlight w:val="none"/>
        </w:rPr>
        <w:t>FBS</w:t>
      </w:r>
      <w:r>
        <w:rPr>
          <w:rFonts w:hint="eastAsia"/>
          <w:highlight w:val="none"/>
          <w:lang w:val="en-US" w:eastAsia="zh-CN"/>
        </w:rPr>
        <w:t>)</w:t>
      </w:r>
      <w:r>
        <w:rPr>
          <w:highlight w:val="none"/>
        </w:rPr>
        <w:t xml:space="preserve"> for 48 h. The LPS, </w:t>
      </w:r>
      <w:r>
        <w:rPr>
          <w:rFonts w:hint="eastAsia"/>
          <w:highlight w:val="none"/>
          <w:lang w:val="en-US" w:eastAsia="zh-CN"/>
        </w:rPr>
        <w:t>Z</w:t>
      </w:r>
      <w:r>
        <w:rPr>
          <w:highlight w:val="none"/>
        </w:rPr>
        <w:t xml:space="preserve">IF-8, and </w:t>
      </w:r>
      <w:r>
        <w:rPr>
          <w:rFonts w:hint="eastAsia"/>
          <w:highlight w:val="none"/>
        </w:rPr>
        <w:t>MH@ZIF-8</w:t>
      </w:r>
      <w:r>
        <w:rPr>
          <w:highlight w:val="none"/>
        </w:rPr>
        <w:t xml:space="preserve"> groups were pretreated with 1 μg/m</w:t>
      </w:r>
      <w:r>
        <w:rPr>
          <w:rFonts w:hint="eastAsia"/>
          <w:highlight w:val="none"/>
          <w:lang w:val="en-US" w:eastAsia="zh-CN"/>
        </w:rPr>
        <w:t>L</w:t>
      </w:r>
      <w:r>
        <w:rPr>
          <w:highlight w:val="none"/>
        </w:rPr>
        <w:t xml:space="preserve"> LPS for 24 h, followed by 23-hour incubation with DMEM (10% FBS), ZIF-8 extract, or </w:t>
      </w:r>
      <w:r>
        <w:rPr>
          <w:rFonts w:hint="eastAsia"/>
          <w:highlight w:val="none"/>
        </w:rPr>
        <w:t>MH@ZIF-8</w:t>
      </w:r>
      <w:r>
        <w:rPr>
          <w:highlight w:val="none"/>
        </w:rPr>
        <w:t xml:space="preserve"> extract, respectively. Cells were then stimulated with 1 mg/m</w:t>
      </w:r>
      <w:r>
        <w:rPr>
          <w:rFonts w:hint="eastAsia"/>
          <w:highlight w:val="none"/>
          <w:lang w:val="en-US" w:eastAsia="zh-CN"/>
        </w:rPr>
        <w:t>L</w:t>
      </w:r>
      <w:r>
        <w:rPr>
          <w:highlight w:val="none"/>
        </w:rPr>
        <w:t xml:space="preserve"> ATP for 3 h</w:t>
      </w:r>
      <w:r>
        <w:rPr>
          <w:rFonts w:hint="eastAsia"/>
          <w:highlight w:val="none"/>
        </w:rPr>
        <w:t>.</w:t>
      </w:r>
    </w:p>
    <w:p w14:paraId="1123D58D">
      <w:pPr>
        <w:pStyle w:val="6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/>
          <w:i/>
          <w:iCs/>
          <w:sz w:val="28"/>
          <w:szCs w:val="28"/>
          <w:highlight w:val="none"/>
          <w:lang w:val="en-US" w:eastAsia="zh-CN"/>
        </w:rPr>
      </w:pP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>1.</w:t>
      </w:r>
      <w:r>
        <w:rPr>
          <w:rFonts w:hint="default"/>
          <w:i/>
          <w:iCs/>
          <w:sz w:val="28"/>
          <w:szCs w:val="28"/>
          <w:highlight w:val="none"/>
          <w:lang w:eastAsia="zh-CN"/>
        </w:rPr>
        <w:t>7</w:t>
      </w: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 xml:space="preserve"> </w:t>
      </w:r>
      <w:r>
        <w:rPr>
          <w:i/>
          <w:iCs/>
          <w:sz w:val="28"/>
          <w:szCs w:val="28"/>
          <w:highlight w:val="none"/>
        </w:rPr>
        <w:t xml:space="preserve">Animal </w:t>
      </w:r>
      <w:r>
        <w:rPr>
          <w:rFonts w:hint="eastAsia"/>
          <w:i/>
          <w:iCs/>
          <w:sz w:val="28"/>
          <w:szCs w:val="28"/>
          <w:highlight w:val="none"/>
          <w:lang w:val="en-US" w:eastAsia="zh-CN"/>
        </w:rPr>
        <w:t>e</w:t>
      </w:r>
      <w:r>
        <w:rPr>
          <w:i/>
          <w:iCs/>
          <w:sz w:val="28"/>
          <w:szCs w:val="28"/>
          <w:highlight w:val="none"/>
        </w:rPr>
        <w:t>xperiments</w:t>
      </w:r>
    </w:p>
    <w:p w14:paraId="1B1A98A6">
      <w:pPr>
        <w:pStyle w:val="6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240" w:firstLineChars="100"/>
        <w:jc w:val="both"/>
        <w:textAlignment w:val="auto"/>
        <w:rPr>
          <w:rFonts w:hint="default"/>
          <w:i w:val="0"/>
          <w:iCs w:val="0"/>
          <w:highlight w:val="none"/>
          <w:lang w:val="en-US" w:eastAsia="zh-CN"/>
        </w:rPr>
      </w:pPr>
      <w:r>
        <w:rPr>
          <w:rFonts w:hint="eastAsia"/>
          <w:i/>
          <w:iCs/>
          <w:highlight w:val="none"/>
          <w:lang w:val="en-US" w:eastAsia="zh-CN"/>
        </w:rPr>
        <w:t>1.</w:t>
      </w:r>
      <w:r>
        <w:rPr>
          <w:rFonts w:hint="default"/>
          <w:i/>
          <w:iCs/>
          <w:highlight w:val="none"/>
          <w:lang w:eastAsia="zh-CN"/>
        </w:rPr>
        <w:t>7</w:t>
      </w:r>
      <w:r>
        <w:rPr>
          <w:rFonts w:hint="eastAsia"/>
          <w:i/>
          <w:iCs/>
          <w:highlight w:val="none"/>
          <w:lang w:val="en-US" w:eastAsia="zh-CN"/>
        </w:rPr>
        <w:t>.1 Antibacterial effects evaluation.</w:t>
      </w:r>
      <w:r>
        <w:rPr>
          <w:rFonts w:hint="eastAsia"/>
          <w:i w:val="0"/>
          <w:iCs w:val="0"/>
          <w:highlight w:val="none"/>
          <w:lang w:val="en-US" w:eastAsia="zh-CN"/>
        </w:rPr>
        <w:t xml:space="preserve"> </w:t>
      </w:r>
      <w:r>
        <w:rPr>
          <w:highlight w:val="none"/>
        </w:rPr>
        <w:t>At weeks 2 and 4 post-treatment, sterile filter paper strips were gently inserted into periodontal pockets for 30 s</w:t>
      </w:r>
      <w:r>
        <w:rPr>
          <w:rFonts w:hint="eastAsia"/>
          <w:highlight w:val="none"/>
          <w:lang w:val="en-US" w:eastAsia="zh-CN"/>
        </w:rPr>
        <w:t>ec</w:t>
      </w:r>
      <w:r>
        <w:rPr>
          <w:highlight w:val="none"/>
        </w:rPr>
        <w:t xml:space="preserve"> to collect gingival crevicular fluid samples, which were immediately transferred into 5 mL of brain heart infusion (BHI) broth and incubated at 37°C for 24 h. 100 μL of bacterial suspension was aliquoted into 96-well plates, and the optical density was measured at 600 nm using a microplate reader. Additionally, 1 mL of bacterial suspension was transferred to 24-well plates for quantitative analysis of biofilm formation via crystal violet staining.</w:t>
      </w:r>
    </w:p>
    <w:p w14:paraId="01E824E1">
      <w:pPr>
        <w:pStyle w:val="6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240" w:firstLineChars="100"/>
        <w:jc w:val="both"/>
        <w:textAlignment w:val="auto"/>
        <w:rPr>
          <w:highlight w:val="none"/>
        </w:rPr>
      </w:pPr>
      <w:r>
        <w:rPr>
          <w:rFonts w:hint="eastAsia"/>
          <w:i/>
          <w:iCs/>
          <w:highlight w:val="none"/>
          <w:lang w:val="en-US" w:eastAsia="zh-CN"/>
        </w:rPr>
        <w:t>1.</w:t>
      </w:r>
      <w:r>
        <w:rPr>
          <w:rFonts w:hint="default"/>
          <w:i/>
          <w:iCs/>
          <w:highlight w:val="none"/>
          <w:lang w:eastAsia="zh-CN"/>
        </w:rPr>
        <w:t>7</w:t>
      </w:r>
      <w:r>
        <w:rPr>
          <w:rFonts w:hint="eastAsia"/>
          <w:i/>
          <w:iCs/>
          <w:highlight w:val="none"/>
          <w:lang w:val="en-US" w:eastAsia="zh-CN"/>
        </w:rPr>
        <w:t xml:space="preserve">.1 </w:t>
      </w:r>
      <w:r>
        <w:rPr>
          <w:i/>
          <w:iCs/>
          <w:highlight w:val="none"/>
        </w:rPr>
        <w:t xml:space="preserve">Micro-CT </w:t>
      </w:r>
      <w:r>
        <w:rPr>
          <w:rFonts w:hint="eastAsia"/>
          <w:i/>
          <w:iCs/>
          <w:highlight w:val="none"/>
          <w:lang w:val="en-US" w:eastAsia="zh-CN"/>
        </w:rPr>
        <w:t>a</w:t>
      </w:r>
      <w:r>
        <w:rPr>
          <w:i/>
          <w:iCs/>
          <w:highlight w:val="none"/>
        </w:rPr>
        <w:t>nalysis</w:t>
      </w:r>
      <w:r>
        <w:rPr>
          <w:rFonts w:hint="eastAsia"/>
          <w:highlight w:val="none"/>
          <w:lang w:val="en-US" w:eastAsia="zh-CN"/>
        </w:rPr>
        <w:t xml:space="preserve">. </w:t>
      </w:r>
      <w:r>
        <w:rPr>
          <w:highlight w:val="none"/>
        </w:rPr>
        <w:t>Maxillary bones were fixed in 4% paraformaldehyde for 24 h and scanned using a SkyScan-1176 micro-CT system (Bruker).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highlight w:val="none"/>
        </w:rPr>
        <w:t>Three-dimensional reconstructions were generated with CTvox 3.3 software. The cementoenamel junction to alveolar bone crest (CEJ-ABC) distance was measured to quantify bone loss.</w:t>
      </w:r>
    </w:p>
    <w:p w14:paraId="19CF33A3">
      <w:pPr>
        <w:pStyle w:val="6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240" w:firstLineChars="100"/>
        <w:jc w:val="both"/>
        <w:textAlignment w:val="auto"/>
        <w:rPr>
          <w:highlight w:val="none"/>
        </w:rPr>
      </w:pPr>
      <w:r>
        <w:rPr>
          <w:rFonts w:hint="eastAsia"/>
          <w:i/>
          <w:iCs/>
          <w:highlight w:val="none"/>
          <w:lang w:val="en-US" w:eastAsia="zh-CN"/>
        </w:rPr>
        <w:t>1.</w:t>
      </w:r>
      <w:r>
        <w:rPr>
          <w:rFonts w:hint="default"/>
          <w:i/>
          <w:iCs/>
          <w:highlight w:val="none"/>
          <w:lang w:eastAsia="zh-CN"/>
        </w:rPr>
        <w:t>7</w:t>
      </w:r>
      <w:r>
        <w:rPr>
          <w:rFonts w:hint="eastAsia"/>
          <w:i/>
          <w:iCs/>
          <w:highlight w:val="none"/>
          <w:lang w:val="en-US" w:eastAsia="zh-CN"/>
        </w:rPr>
        <w:t xml:space="preserve">.2 </w:t>
      </w:r>
      <w:r>
        <w:rPr>
          <w:i/>
          <w:iCs/>
          <w:highlight w:val="none"/>
        </w:rPr>
        <w:t xml:space="preserve">Histological </w:t>
      </w:r>
      <w:r>
        <w:rPr>
          <w:rFonts w:hint="eastAsia"/>
          <w:i/>
          <w:iCs/>
          <w:highlight w:val="none"/>
          <w:lang w:val="en-US" w:eastAsia="zh-CN"/>
        </w:rPr>
        <w:t>a</w:t>
      </w:r>
      <w:r>
        <w:rPr>
          <w:i/>
          <w:iCs/>
          <w:highlight w:val="none"/>
        </w:rPr>
        <w:t>nalysis</w:t>
      </w:r>
      <w:r>
        <w:rPr>
          <w:rFonts w:hint="eastAsia"/>
          <w:highlight w:val="none"/>
          <w:lang w:val="en-US" w:eastAsia="zh-CN"/>
        </w:rPr>
        <w:t xml:space="preserve">. </w:t>
      </w:r>
      <w:r>
        <w:rPr>
          <w:highlight w:val="none"/>
        </w:rPr>
        <w:t>Maxillary bones, surrounding soft tissues, and major organs (heart, liver, spleen, lungs, kidneys) were fixed in 4% paraformaldehyde, decalcified in 10% EDTA for 1 month, dehydrated, and paraffin-embedded. Sections (4 μm) were stained with hematoxylin and eosin (H&amp;E) or Masson’s trichrome (Beyotime Biotechnology) following manufacturer protocols</w:t>
      </w:r>
      <w:r>
        <w:rPr>
          <w:rFonts w:hint="eastAsia"/>
          <w:highlight w:val="none"/>
        </w:rPr>
        <w:t>.</w:t>
      </w:r>
    </w:p>
    <w:p w14:paraId="19E765C0">
      <w:pPr>
        <w:pStyle w:val="6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240" w:firstLineChars="100"/>
        <w:jc w:val="both"/>
        <w:textAlignment w:val="auto"/>
        <w:rPr>
          <w:highlight w:val="none"/>
        </w:rPr>
      </w:pPr>
      <w:r>
        <w:rPr>
          <w:rFonts w:hint="eastAsia"/>
          <w:i/>
          <w:iCs/>
          <w:highlight w:val="none"/>
          <w:lang w:val="en-US" w:eastAsia="zh-CN"/>
        </w:rPr>
        <w:t>1.</w:t>
      </w:r>
      <w:r>
        <w:rPr>
          <w:rFonts w:hint="default"/>
          <w:i/>
          <w:iCs/>
          <w:highlight w:val="none"/>
          <w:lang w:eastAsia="zh-CN"/>
        </w:rPr>
        <w:t>7</w:t>
      </w:r>
      <w:r>
        <w:rPr>
          <w:rFonts w:hint="eastAsia"/>
          <w:i/>
          <w:iCs/>
          <w:highlight w:val="none"/>
          <w:lang w:val="en-US" w:eastAsia="zh-CN"/>
        </w:rPr>
        <w:t xml:space="preserve">.3 </w:t>
      </w:r>
      <w:r>
        <w:rPr>
          <w:i/>
          <w:iCs/>
          <w:highlight w:val="none"/>
        </w:rPr>
        <w:t>Immunohistochemical</w:t>
      </w:r>
      <w:r>
        <w:rPr>
          <w:rFonts w:hint="eastAsia"/>
          <w:i/>
          <w:iCs/>
          <w:highlight w:val="none"/>
        </w:rPr>
        <w:t xml:space="preserve"> </w:t>
      </w:r>
      <w:r>
        <w:rPr>
          <w:rFonts w:hint="eastAsia"/>
          <w:i/>
          <w:iCs/>
          <w:highlight w:val="none"/>
          <w:lang w:val="en-US" w:eastAsia="zh-CN"/>
        </w:rPr>
        <w:t>a</w:t>
      </w:r>
      <w:r>
        <w:rPr>
          <w:i/>
          <w:iCs/>
          <w:highlight w:val="none"/>
        </w:rPr>
        <w:t>nalysis</w:t>
      </w:r>
      <w:r>
        <w:rPr>
          <w:rFonts w:hint="eastAsia"/>
          <w:highlight w:val="none"/>
          <w:lang w:val="en-US" w:eastAsia="zh-CN"/>
        </w:rPr>
        <w:t xml:space="preserve">. </w:t>
      </w:r>
      <w:r>
        <w:rPr>
          <w:highlight w:val="none"/>
        </w:rPr>
        <w:t>Paraffin-embedded periodontal tissue sections underwent dewaxing and rehydration, followed by antigen retrieval in citrate-based antigen retrieval solution (95°C incubation for 20 min). Endogenous peroxidase activity was blocked with 3% H</w:t>
      </w:r>
      <w:r>
        <w:rPr>
          <w:rFonts w:hint="eastAsia"/>
          <w:highlight w:val="none"/>
          <w:vertAlign w:val="subscript"/>
          <w:lang w:val="en-US" w:eastAsia="zh-CN"/>
        </w:rPr>
        <w:t>2</w:t>
      </w:r>
      <w:r>
        <w:rPr>
          <w:highlight w:val="none"/>
        </w:rPr>
        <w:t>O</w:t>
      </w:r>
      <w:r>
        <w:rPr>
          <w:rFonts w:hint="eastAsia"/>
          <w:highlight w:val="none"/>
          <w:vertAlign w:val="subscript"/>
          <w:lang w:val="en-US" w:eastAsia="zh-CN"/>
        </w:rPr>
        <w:t>2</w:t>
      </w:r>
      <w:r>
        <w:rPr>
          <w:highlight w:val="none"/>
        </w:rPr>
        <w:t>, and nonspecific binding sites were blocked with 5% bovine serum albumin (BSA). Primary antibodies against NLRP3, Caspase-1, IL-1β, and TNF-α (1:200 dilution) were applied and incubated at 4°C overnight. Subsequently, HRP-labelled secondary antibodies (1:500 dilution) were added for 1 h at room temperature. Colo</w:t>
      </w:r>
      <w:r>
        <w:rPr>
          <w:rFonts w:hint="eastAsia"/>
          <w:highlight w:val="none"/>
        </w:rPr>
        <w:t>u</w:t>
      </w:r>
      <w:r>
        <w:rPr>
          <w:highlight w:val="none"/>
        </w:rPr>
        <w:t>r development was performed using DAB substrate, followed by hematoxylin counterstaining. Sections were dehydrated, cleared, and mounted for microscopic observation.</w:t>
      </w:r>
    </w:p>
    <w:p w14:paraId="78F91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textAlignment w:val="auto"/>
        <w:rPr>
          <w:highlight w:val="none"/>
        </w:rPr>
      </w:pPr>
      <w:r>
        <w:rPr>
          <w:rFonts w:hint="eastAsia" w:cs="Times New Roman"/>
          <w:b w:val="0"/>
          <w:bCs/>
          <w:i/>
          <w:iCs/>
          <w:kern w:val="0"/>
          <w:sz w:val="28"/>
          <w:szCs w:val="28"/>
          <w:highlight w:val="none"/>
          <w:lang w:val="en-US" w:eastAsia="zh-CN" w:bidi="ar-SA"/>
          <w14:ligatures w14:val="standardContextual"/>
        </w:rPr>
        <w:t>1</w:t>
      </w:r>
      <w:r>
        <w:rPr>
          <w:rFonts w:hint="eastAsia" w:ascii="Times New Roman" w:hAnsi="Times New Roman" w:eastAsia="黑体" w:cs="Times New Roman"/>
          <w:b w:val="0"/>
          <w:bCs/>
          <w:i/>
          <w:iCs/>
          <w:kern w:val="0"/>
          <w:sz w:val="28"/>
          <w:szCs w:val="28"/>
          <w:highlight w:val="none"/>
          <w:lang w:val="en-US" w:eastAsia="zh-CN" w:bidi="ar-SA"/>
          <w14:ligatures w14:val="standardContextual"/>
        </w:rPr>
        <w:t>.</w:t>
      </w:r>
      <w:r>
        <w:rPr>
          <w:rFonts w:hint="eastAsia" w:cs="Times New Roman"/>
          <w:b w:val="0"/>
          <w:bCs/>
          <w:i/>
          <w:iCs/>
          <w:kern w:val="0"/>
          <w:sz w:val="28"/>
          <w:szCs w:val="28"/>
          <w:highlight w:val="none"/>
          <w:lang w:val="en-US" w:eastAsia="zh-CN" w:bidi="ar-SA"/>
          <w14:ligatures w14:val="standardContextual"/>
        </w:rPr>
        <w:t>7</w:t>
      </w:r>
      <w:r>
        <w:rPr>
          <w:rFonts w:hint="eastAsia" w:ascii="Times New Roman" w:hAnsi="Times New Roman" w:eastAsia="黑体" w:cs="Times New Roman"/>
          <w:b w:val="0"/>
          <w:bCs/>
          <w:i/>
          <w:iCs/>
          <w:kern w:val="0"/>
          <w:sz w:val="28"/>
          <w:szCs w:val="28"/>
          <w:highlight w:val="none"/>
          <w:lang w:val="en-US" w:eastAsia="zh-CN" w:bidi="ar-SA"/>
          <w14:ligatures w14:val="standardContextual"/>
        </w:rPr>
        <w:t xml:space="preserve"> Primer </w:t>
      </w:r>
      <w:r>
        <w:rPr>
          <w:rFonts w:hint="eastAsia" w:cs="Times New Roman"/>
          <w:b w:val="0"/>
          <w:bCs/>
          <w:i/>
          <w:iCs/>
          <w:kern w:val="0"/>
          <w:sz w:val="28"/>
          <w:szCs w:val="28"/>
          <w:highlight w:val="none"/>
          <w:lang w:val="en-US" w:eastAsia="zh-CN" w:bidi="ar-SA"/>
          <w14:ligatures w14:val="standardContextual"/>
        </w:rPr>
        <w:t>s</w:t>
      </w:r>
      <w:r>
        <w:rPr>
          <w:rFonts w:hint="eastAsia" w:ascii="Times New Roman" w:hAnsi="Times New Roman" w:eastAsia="黑体" w:cs="Times New Roman"/>
          <w:b w:val="0"/>
          <w:bCs/>
          <w:i/>
          <w:iCs/>
          <w:kern w:val="0"/>
          <w:sz w:val="28"/>
          <w:szCs w:val="28"/>
          <w:highlight w:val="none"/>
          <w:lang w:val="en-US" w:eastAsia="zh-CN" w:bidi="ar-SA"/>
          <w14:ligatures w14:val="standardContextual"/>
        </w:rPr>
        <w:t xml:space="preserve">equences for </w:t>
      </w:r>
      <w:r>
        <w:rPr>
          <w:rFonts w:hint="eastAsia" w:cs="Times New Roman"/>
          <w:b w:val="0"/>
          <w:bCs/>
          <w:i/>
          <w:iCs/>
          <w:kern w:val="0"/>
          <w:sz w:val="28"/>
          <w:szCs w:val="28"/>
          <w:highlight w:val="none"/>
          <w:lang w:val="en-US" w:eastAsia="zh-CN" w:bidi="ar-SA"/>
          <w14:ligatures w14:val="standardContextual"/>
        </w:rPr>
        <w:t>i</w:t>
      </w:r>
      <w:r>
        <w:rPr>
          <w:rFonts w:hint="eastAsia" w:ascii="Times New Roman" w:hAnsi="Times New Roman" w:eastAsia="黑体" w:cs="Times New Roman"/>
          <w:b w:val="0"/>
          <w:bCs/>
          <w:i/>
          <w:iCs/>
          <w:kern w:val="0"/>
          <w:sz w:val="28"/>
          <w:szCs w:val="28"/>
          <w:highlight w:val="none"/>
          <w:lang w:val="en-US" w:eastAsia="zh-CN" w:bidi="ar-SA"/>
          <w14:ligatures w14:val="standardContextual"/>
        </w:rPr>
        <w:t xml:space="preserve">nflammation-related </w:t>
      </w:r>
      <w:r>
        <w:rPr>
          <w:rFonts w:hint="eastAsia" w:cs="Times New Roman"/>
          <w:b w:val="0"/>
          <w:bCs/>
          <w:i/>
          <w:iCs/>
          <w:kern w:val="0"/>
          <w:sz w:val="28"/>
          <w:szCs w:val="28"/>
          <w:highlight w:val="none"/>
          <w:lang w:val="en-US" w:eastAsia="zh-CN" w:bidi="ar-SA"/>
          <w14:ligatures w14:val="standardContextual"/>
        </w:rPr>
        <w:t>g</w:t>
      </w:r>
      <w:r>
        <w:rPr>
          <w:rFonts w:hint="eastAsia" w:ascii="Times New Roman" w:hAnsi="Times New Roman" w:eastAsia="黑体" w:cs="Times New Roman"/>
          <w:b w:val="0"/>
          <w:bCs/>
          <w:i/>
          <w:iCs/>
          <w:kern w:val="0"/>
          <w:sz w:val="28"/>
          <w:szCs w:val="28"/>
          <w:highlight w:val="none"/>
          <w:lang w:val="en-US" w:eastAsia="zh-CN" w:bidi="ar-SA"/>
          <w14:ligatures w14:val="standardContextual"/>
        </w:rPr>
        <w:t>enes</w:t>
      </w:r>
    </w:p>
    <w:p w14:paraId="227EA48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0" w:beforeLines="0" w:line="360" w:lineRule="auto"/>
        <w:textAlignment w:val="auto"/>
        <w:rPr>
          <w:rFonts w:cs="Times New Roman"/>
          <w:b/>
          <w:bCs w:val="0"/>
          <w:sz w:val="24"/>
          <w:szCs w:val="24"/>
          <w:highlight w:val="none"/>
        </w:rPr>
      </w:pPr>
      <w:bookmarkStart w:id="1" w:name="_Ref188998330"/>
      <w:bookmarkStart w:id="2" w:name="_Hlk190367633"/>
      <w:r>
        <w:rPr>
          <w:rFonts w:cs="Times New Roman"/>
          <w:b/>
          <w:bCs w:val="0"/>
          <w:sz w:val="24"/>
          <w:szCs w:val="24"/>
          <w:highlight w:val="none"/>
        </w:rPr>
        <w:t>Table S</w:t>
      </w:r>
      <w:bookmarkEnd w:id="1"/>
      <w:r>
        <w:rPr>
          <w:rFonts w:hint="eastAsia" w:cs="Times New Roman"/>
          <w:b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cs="Times New Roman"/>
          <w:b/>
          <w:bCs w:val="0"/>
          <w:sz w:val="24"/>
          <w:szCs w:val="24"/>
          <w:highlight w:val="none"/>
        </w:rPr>
        <w:t xml:space="preserve"> </w:t>
      </w:r>
      <w:bookmarkStart w:id="3" w:name="_Hlk190367645"/>
      <w:r>
        <w:rPr>
          <w:rFonts w:cs="Times New Roman"/>
          <w:b/>
          <w:bCs w:val="0"/>
          <w:sz w:val="24"/>
          <w:szCs w:val="24"/>
          <w:highlight w:val="none"/>
        </w:rPr>
        <w:t>Primer sequences for inflammation-related genes</w:t>
      </w:r>
      <w:bookmarkEnd w:id="3"/>
    </w:p>
    <w:tbl>
      <w:tblPr>
        <w:tblStyle w:val="3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5386"/>
      </w:tblGrid>
      <w:tr w14:paraId="26079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1E5D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w:r>
              <w:rPr>
                <w:highlight w:val="none"/>
              </w:rPr>
              <w:t>Gene</w:t>
            </w:r>
          </w:p>
        </w:tc>
        <w:tc>
          <w:tcPr>
            <w:tcW w:w="538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AA7D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w:r>
              <w:rPr>
                <w:highlight w:val="none"/>
              </w:rPr>
              <w:t>Primer (5’→3’)</w:t>
            </w:r>
          </w:p>
        </w:tc>
      </w:tr>
      <w:tr w14:paraId="1142D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3" w:type="dxa"/>
            <w:vMerge w:val="restart"/>
            <w:vAlign w:val="center"/>
          </w:tcPr>
          <w:p w14:paraId="75034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w:r>
              <w:rPr>
                <w:highlight w:val="none"/>
              </w:rPr>
              <w:t>NLRP3</w:t>
            </w:r>
          </w:p>
        </w:tc>
        <w:tc>
          <w:tcPr>
            <w:tcW w:w="5386" w:type="dxa"/>
            <w:vAlign w:val="center"/>
          </w:tcPr>
          <w:p w14:paraId="273A0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w:r>
              <w:rPr>
                <w:highlight w:val="none"/>
              </w:rPr>
              <w:t>F: ATCAACAGGCGAGACCTCTG</w:t>
            </w:r>
          </w:p>
        </w:tc>
      </w:tr>
      <w:tr w14:paraId="2303F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3" w:type="dxa"/>
            <w:vMerge w:val="continue"/>
            <w:vAlign w:val="center"/>
          </w:tcPr>
          <w:p w14:paraId="3B565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5386" w:type="dxa"/>
            <w:vAlign w:val="center"/>
          </w:tcPr>
          <w:p w14:paraId="4ED86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w:r>
              <w:rPr>
                <w:highlight w:val="none"/>
              </w:rPr>
              <w:t>R: GTCCTCCTGGCATACCATAGA</w:t>
            </w:r>
          </w:p>
        </w:tc>
      </w:tr>
      <w:tr w14:paraId="4016C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3" w:type="dxa"/>
            <w:vMerge w:val="restart"/>
            <w:vAlign w:val="center"/>
          </w:tcPr>
          <w:p w14:paraId="3F471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w:r>
              <w:rPr>
                <w:highlight w:val="none"/>
              </w:rPr>
              <w:t>Caspase-1</w:t>
            </w:r>
          </w:p>
        </w:tc>
        <w:tc>
          <w:tcPr>
            <w:tcW w:w="5386" w:type="dxa"/>
            <w:vAlign w:val="center"/>
          </w:tcPr>
          <w:p w14:paraId="3BC1F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w:r>
              <w:rPr>
                <w:szCs w:val="21"/>
                <w:highlight w:val="none"/>
              </w:rPr>
              <w:t xml:space="preserve">F: </w:t>
            </w:r>
            <w:r>
              <w:rPr>
                <w:highlight w:val="none"/>
              </w:rPr>
              <w:t>AATACAACCACTCGTACACGTC</w:t>
            </w:r>
          </w:p>
        </w:tc>
      </w:tr>
      <w:tr w14:paraId="3BC47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3" w:type="dxa"/>
            <w:vMerge w:val="continue"/>
            <w:vAlign w:val="center"/>
          </w:tcPr>
          <w:p w14:paraId="6AD3B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5386" w:type="dxa"/>
            <w:vAlign w:val="center"/>
          </w:tcPr>
          <w:p w14:paraId="53BE3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w:r>
              <w:rPr>
                <w:szCs w:val="21"/>
                <w:highlight w:val="none"/>
              </w:rPr>
              <w:t xml:space="preserve">R: </w:t>
            </w:r>
            <w:r>
              <w:rPr>
                <w:highlight w:val="none"/>
              </w:rPr>
              <w:t>AGCTCCAACCCTCGGAGAAA</w:t>
            </w:r>
          </w:p>
        </w:tc>
      </w:tr>
      <w:tr w14:paraId="6306C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3" w:type="dxa"/>
            <w:vMerge w:val="restart"/>
            <w:vAlign w:val="center"/>
          </w:tcPr>
          <w:p w14:paraId="6B507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  <w:r>
              <w:rPr>
                <w:highlight w:val="none"/>
              </w:rPr>
              <w:t>IL-1β</w:t>
            </w:r>
          </w:p>
        </w:tc>
        <w:tc>
          <w:tcPr>
            <w:tcW w:w="5386" w:type="dxa"/>
          </w:tcPr>
          <w:p w14:paraId="2265B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 xml:space="preserve">F: </w:t>
            </w:r>
            <w:r>
              <w:rPr>
                <w:highlight w:val="none"/>
              </w:rPr>
              <w:t>GAAATGCCACCTTTTGACAGTG</w:t>
            </w:r>
          </w:p>
        </w:tc>
      </w:tr>
      <w:tr w14:paraId="76AA0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3" w:type="dxa"/>
            <w:vMerge w:val="continue"/>
            <w:vAlign w:val="center"/>
          </w:tcPr>
          <w:p w14:paraId="1D226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5386" w:type="dxa"/>
          </w:tcPr>
          <w:p w14:paraId="530D7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 xml:space="preserve">R: </w:t>
            </w:r>
            <w:r>
              <w:rPr>
                <w:highlight w:val="none"/>
              </w:rPr>
              <w:t>TGGATGCTCTCATCAGGACAG</w:t>
            </w:r>
          </w:p>
        </w:tc>
      </w:tr>
      <w:tr w14:paraId="31896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3" w:type="dxa"/>
            <w:vMerge w:val="restart"/>
            <w:shd w:val="clear" w:color="auto" w:fill="auto"/>
            <w:vAlign w:val="center"/>
          </w:tcPr>
          <w:p w14:paraId="1BE61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  <w14:ligatures w14:val="standardContextual"/>
              </w:rPr>
            </w:pPr>
            <w:r>
              <w:rPr>
                <w:highlight w:val="none"/>
              </w:rPr>
              <w:t>GAPDH</w:t>
            </w:r>
          </w:p>
        </w:tc>
        <w:tc>
          <w:tcPr>
            <w:tcW w:w="5386" w:type="dxa"/>
            <w:shd w:val="clear" w:color="auto" w:fill="auto"/>
            <w:vAlign w:val="top"/>
          </w:tcPr>
          <w:p w14:paraId="3AC7A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  <w14:ligatures w14:val="standardContextual"/>
              </w:rPr>
            </w:pPr>
            <w:r>
              <w:rPr>
                <w:highlight w:val="none"/>
              </w:rPr>
              <w:t>F: TGACCACAGTCCATGCCATC</w:t>
            </w:r>
          </w:p>
        </w:tc>
      </w:tr>
      <w:tr w14:paraId="75E4C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3" w:type="dxa"/>
            <w:vMerge w:val="continue"/>
            <w:tcBorders>
              <w:bottom w:val="single" w:color="auto" w:sz="12" w:space="0"/>
            </w:tcBorders>
            <w:vAlign w:val="center"/>
          </w:tcPr>
          <w:p w14:paraId="304E2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5386" w:type="dxa"/>
            <w:tcBorders>
              <w:bottom w:val="single" w:color="auto" w:sz="12" w:space="0"/>
            </w:tcBorders>
            <w:shd w:val="clear" w:color="auto" w:fill="auto"/>
            <w:vAlign w:val="top"/>
          </w:tcPr>
          <w:p w14:paraId="2C539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  <w14:ligatures w14:val="standardContextual"/>
              </w:rPr>
            </w:pPr>
            <w:r>
              <w:rPr>
                <w:highlight w:val="none"/>
              </w:rPr>
              <w:t>R: GACGGACACATTGGGGGTAG</w:t>
            </w:r>
          </w:p>
        </w:tc>
      </w:tr>
      <w:bookmarkEnd w:id="2"/>
    </w:tbl>
    <w:p w14:paraId="1E438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eastAsia"/>
          <w:highlight w:val="none"/>
          <w:lang w:val="en-US" w:eastAsia="zh-CN"/>
        </w:rPr>
      </w:pPr>
    </w:p>
    <w:p w14:paraId="66F85EB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>2. Result</w:t>
      </w:r>
      <w:r>
        <w:rPr>
          <w:rFonts w:hint="default" w:ascii="Times New Roman" w:hAnsi="Times New Roman" w:cs="Times New Roman"/>
          <w:highlight w:val="none"/>
        </w:rPr>
        <w:t xml:space="preserve"> Section</w:t>
      </w:r>
    </w:p>
    <w:p w14:paraId="0C82001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rPr>
          <w:rFonts w:hint="default" w:ascii="Times New Roman" w:hAnsi="Times New Roman" w:cs="Times New Roman"/>
          <w:highlight w:val="none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 xml:space="preserve">2.1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Dose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o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ptimisation of MH for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n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anocarrier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l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>oading</w:t>
      </w:r>
    </w:p>
    <w:p w14:paraId="724AE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jc w:val="both"/>
        <w:rPr>
          <w:rFonts w:hint="default" w:ascii="Times New Roman" w:hAnsi="Times New Roman" w:cs="Times New Roman"/>
          <w:highlight w:val="none"/>
          <w:lang w:bidi="ar"/>
        </w:rPr>
      </w:pPr>
      <w:r>
        <w:rPr>
          <w:rFonts w:hint="default" w:ascii="Times New Roman" w:hAnsi="Times New Roman" w:cs="Times New Roman"/>
          <w:highlight w:val="none"/>
          <w14:ligatures w14:val="none"/>
        </w:rPr>
        <w:t xml:space="preserve">The proliferation of human gingival fibroblasts (Shanghai Zishi Biotechnology Co., Ltd., Cat# JNO-H0654) in media containing different concentrations of minocycline hydrochloride was evaluated using CCK-8 assay to identify optimal concentrations for ZIF-8 nanoparticle loading. As shown in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Fig. S1</w:t>
      </w:r>
      <w:r>
        <w:rPr>
          <w:rFonts w:hint="default" w:ascii="Times New Roman" w:hAnsi="Times New Roman" w:cs="Times New Roman"/>
          <w:highlight w:val="none"/>
          <w:lang w:bidi="ar"/>
        </w:rPr>
        <w:t>, minocycline hydrochloride at concentrations of 0.25 mg/m</w:t>
      </w:r>
      <w:r>
        <w:rPr>
          <w:rFonts w:hint="eastAsia" w:cs="Times New Roman"/>
          <w:highlight w:val="none"/>
          <w:lang w:val="en-US" w:eastAsia="zh-CN" w:bidi="ar"/>
        </w:rPr>
        <w:t>L</w:t>
      </w:r>
      <w:r>
        <w:rPr>
          <w:rFonts w:hint="default" w:ascii="Times New Roman" w:hAnsi="Times New Roman" w:cs="Times New Roman"/>
          <w:highlight w:val="none"/>
          <w:lang w:bidi="ar"/>
        </w:rPr>
        <w:t>, 0.5 mg/m</w:t>
      </w:r>
      <w:r>
        <w:rPr>
          <w:rFonts w:hint="eastAsia" w:cs="Times New Roman"/>
          <w:highlight w:val="none"/>
          <w:lang w:val="en-US" w:eastAsia="zh-CN" w:bidi="ar"/>
        </w:rPr>
        <w:t>L</w:t>
      </w:r>
      <w:r>
        <w:rPr>
          <w:rFonts w:hint="default" w:ascii="Times New Roman" w:hAnsi="Times New Roman" w:cs="Times New Roman"/>
          <w:highlight w:val="none"/>
          <w:lang w:bidi="ar"/>
        </w:rPr>
        <w:t>, and 1 mg/m</w:t>
      </w:r>
      <w:r>
        <w:rPr>
          <w:rFonts w:hint="eastAsia" w:cs="Times New Roman"/>
          <w:highlight w:val="none"/>
          <w:lang w:val="en-US" w:eastAsia="zh-CN" w:bidi="ar"/>
        </w:rPr>
        <w:t>L</w:t>
      </w:r>
      <w:r>
        <w:rPr>
          <w:rFonts w:hint="default" w:ascii="Times New Roman" w:hAnsi="Times New Roman" w:cs="Times New Roman"/>
          <w:highlight w:val="none"/>
          <w:lang w:bidi="ar"/>
        </w:rPr>
        <w:t xml:space="preserve"> exerted pro-proliferative effects, with cell viability reaching 118.59 ± 5.21%, 121.80 ± 1.97%, and 125.69 ± 6.04%, respectively. These concentrations demonstrated favourable cellular bioactivity and were therefore selected for subsequent experiments.</w:t>
      </w:r>
    </w:p>
    <w:p w14:paraId="17FE2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eastAsia" w:ascii="Times New Roman" w:hAnsi="Times New Roman" w:eastAsia="宋体" w:cs="Times New Roman"/>
          <w:highlight w:val="none"/>
          <w:lang w:eastAsia="zh-CN"/>
        </w:rPr>
      </w:pPr>
      <w:bookmarkStart w:id="4" w:name="_Ref189069166"/>
      <w:r>
        <w:rPr>
          <w:rFonts w:hint="eastAsia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4319905" cy="3249295"/>
            <wp:effectExtent l="0" t="0" r="0" b="0"/>
            <wp:docPr id="1" name="图片 1" descr="MH-C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H-CCK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4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19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highlight w:val="none"/>
        </w:rPr>
        <w:t xml:space="preserve"> S</w:t>
      </w:r>
      <w:bookmarkEnd w:id="4"/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highlight w:val="none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Cell viability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 of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h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uman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g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ingival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f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ibroblasts (HGFs) in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r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esponse to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m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inocycline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h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ydrochloride at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v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aried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c</w:t>
      </w:r>
      <w:r>
        <w:rPr>
          <w:rFonts w:hint="default" w:ascii="Times New Roman" w:hAnsi="Times New Roman" w:cs="Times New Roman"/>
          <w:highlight w:val="none"/>
          <w14:ligatures w14:val="none"/>
        </w:rPr>
        <w:t>oncentrations.</w:t>
      </w:r>
    </w:p>
    <w:p w14:paraId="4B30C93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</w:pPr>
    </w:p>
    <w:p w14:paraId="22E0ABB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</w:pPr>
    </w:p>
    <w:p w14:paraId="35B89A4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</w:pPr>
    </w:p>
    <w:p w14:paraId="7C6A6E5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</w:pPr>
    </w:p>
    <w:p w14:paraId="325B88B0">
      <w:pPr>
        <w:pStyle w:val="2"/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2.2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Macroscopic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haracterisation of ZIF-8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>amples</w:t>
      </w:r>
    </w:p>
    <w:p w14:paraId="7C978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jc w:val="both"/>
        <w:rPr>
          <w:rFonts w:hint="default" w:ascii="Times New Roman" w:hAnsi="Times New Roman" w:cs="Times New Roman"/>
          <w:highlight w:val="none"/>
          <w:lang w:bidi="ar"/>
        </w:rPr>
      </w:pPr>
      <w:r>
        <w:rPr>
          <w:rFonts w:hint="default" w:ascii="Times New Roman" w:hAnsi="Times New Roman" w:cs="Times New Roman"/>
          <w:highlight w:val="none"/>
          <w14:ligatures w14:val="none"/>
        </w:rPr>
        <w:t xml:space="preserve">The ZIF-8 samples demonstrated a homogeneous powdered morphology following vacuum desiccation under ambient temperature conditions </w:t>
      </w:r>
      <w:r>
        <w:rPr>
          <w:rFonts w:hint="default" w:ascii="Times New Roman" w:hAnsi="Times New Roman" w:cs="Times New Roman"/>
          <w:highlight w:val="none"/>
          <w:lang w:bidi="ar"/>
        </w:rPr>
        <w:t>(</w:t>
      </w:r>
      <w:r>
        <w:rPr>
          <w:rFonts w:hint="eastAsia" w:ascii="Times New Roman" w:hAnsi="Times New Roman" w:cs="Times New Roman"/>
          <w:highlight w:val="none"/>
          <w:lang w:val="en-US" w:eastAsia="zh-CN" w:bidi="ar"/>
        </w:rPr>
        <w:t>Fig. S2</w:t>
      </w:r>
      <w:r>
        <w:rPr>
          <w:rFonts w:hint="default" w:ascii="Times New Roman" w:hAnsi="Times New Roman" w:cs="Times New Roman"/>
          <w:highlight w:val="none"/>
          <w:lang w:bidi="ar"/>
        </w:rPr>
        <w:t>).</w:t>
      </w:r>
    </w:p>
    <w:p w14:paraId="46844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eastAsia" w:ascii="Times New Roman" w:hAnsi="Times New Roman" w:eastAsia="宋体" w:cs="Times New Roman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3239770" cy="2580640"/>
            <wp:effectExtent l="0" t="0" r="11430" b="10160"/>
            <wp:docPr id="2" name="图片 2" descr="ZIF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ZIF-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70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  <w14:ligatures w14:val="none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highlight w:val="none"/>
        </w:rPr>
        <w:t xml:space="preserve"> S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highlight w:val="none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Macroscopic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c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haracterisation of ZIF-8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s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amples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p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ost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v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acuum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d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esiccation under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a</w:t>
      </w:r>
      <w:r>
        <w:rPr>
          <w:rFonts w:hint="default" w:ascii="Times New Roman" w:hAnsi="Times New Roman" w:cs="Times New Roman"/>
          <w:highlight w:val="none"/>
          <w14:ligatures w14:val="none"/>
        </w:rPr>
        <w:t xml:space="preserve">mbient 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c</w:t>
      </w:r>
      <w:r>
        <w:rPr>
          <w:rFonts w:hint="default" w:ascii="Times New Roman" w:hAnsi="Times New Roman" w:cs="Times New Roman"/>
          <w:highlight w:val="none"/>
          <w14:ligatures w14:val="none"/>
        </w:rPr>
        <w:t>onditions.</w:t>
      </w:r>
    </w:p>
    <w:p w14:paraId="6E287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  <w14:ligatures w14:val="none"/>
        </w:rPr>
      </w:pPr>
    </w:p>
    <w:p w14:paraId="4A26B3F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rPr>
          <w:rFonts w:hint="default" w:ascii="Times New Roman" w:hAnsi="Times New Roman" w:cs="Times New Roman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 xml:space="preserve">2.3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bidi="ar"/>
        </w:rPr>
        <w:t xml:space="preserve">SEM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>i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bidi="ar"/>
        </w:rPr>
        <w:t>mages of ZIF-8, MH-0.25@ZIF-8, and MH-0.5@ZIF-8</w:t>
      </w:r>
    </w:p>
    <w:p w14:paraId="53301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宋体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highlight w:val="none"/>
          <w:lang w:val="en-US" w:eastAsia="zh-CN"/>
        </w:rPr>
        <w:drawing>
          <wp:inline distT="0" distB="0" distL="114300" distR="114300">
            <wp:extent cx="5039995" cy="2409825"/>
            <wp:effectExtent l="0" t="0" r="1905" b="3175"/>
            <wp:docPr id="3" name="图片 3" descr="S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EM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60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/>
          <w:bCs/>
          <w:highlight w:val="none"/>
        </w:rPr>
        <w:t>S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highlight w:val="none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</w:t>
      </w:r>
      <w:r>
        <w:rPr>
          <w:rFonts w:hint="default" w:ascii="Times New Roman" w:hAnsi="Times New Roman" w:cs="Times New Roman"/>
          <w:highlight w:val="none"/>
          <w14:ligatures w14:val="none"/>
        </w:rPr>
        <w:t>SEM images of ZIF-8 and Drug-Loaded ZIF-8. (a-c) Microstructural features at ×5,000 magnification: (a) Pristine ZIF-8, (b) MH-0.25@ZIF-8 composite, (c) MH-0.5@ZIF-8 composite. (d-f) Microstructural features at ×15,000 magnification: (d) Pristine ZIF-8, (e) MH-0.25@ZIF-8 composite, (f) MH-0.5@ZIF-8 composite.</w:t>
      </w:r>
    </w:p>
    <w:p w14:paraId="622E147E">
      <w:pPr>
        <w:pStyle w:val="2"/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2.4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Elemental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omposition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>nalysis of MH@ZIF-8</w:t>
      </w:r>
    </w:p>
    <w:p w14:paraId="0F79A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jc w:val="both"/>
        <w:rPr>
          <w:rFonts w:hint="default" w:ascii="Times New Roman" w:hAnsi="Times New Roman" w:cs="Times New Roman"/>
          <w:highlight w:val="none"/>
          <w14:ligatures w14:val="none"/>
        </w:rPr>
      </w:pPr>
      <w:r>
        <w:rPr>
          <w:rFonts w:hint="default" w:ascii="Times New Roman" w:hAnsi="Times New Roman" w:cs="Times New Roman"/>
          <w:highlight w:val="none"/>
          <w14:ligatures w14:val="none"/>
        </w:rPr>
        <w:t>EDS analysis demonstrated significantly elevated chlorine (Cl) and nitrogen (N) levels in MH@ZIF-8 compared to pristine ZIF-8 (</w:t>
      </w:r>
      <w:r>
        <w:rPr>
          <w:rFonts w:hint="eastAsia" w:ascii="Times New Roman" w:hAnsi="Times New Roman" w:cs="Times New Roman"/>
          <w:highlight w:val="none"/>
          <w:lang w:val="en-US" w:eastAsia="zh-CN"/>
          <w14:ligatures w14:val="none"/>
        </w:rPr>
        <w:t>Fig. S4</w:t>
      </w:r>
      <w:r>
        <w:rPr>
          <w:rFonts w:hint="default" w:ascii="Times New Roman" w:hAnsi="Times New Roman" w:cs="Times New Roman"/>
          <w:highlight w:val="none"/>
          <w14:ligatures w14:val="none"/>
        </w:rPr>
        <w:t>), attributable to the encapsulation of minocycline hydrochloride. The observed Cl signal originated from the hydrochloric, while the enhanced N content corresponded to the tetracycline backbone structure, thereby confirming successful drug encapsulation within the</w:t>
      </w:r>
      <w:r>
        <w:rPr>
          <w:rFonts w:hint="default" w:ascii="Times New Roman" w:hAnsi="Times New Roman" w:cs="Times New Roman"/>
          <w:highlight w:val="none"/>
        </w:rPr>
        <w:t xml:space="preserve"> </w:t>
      </w:r>
      <w:r>
        <w:rPr>
          <w:rFonts w:hint="default" w:ascii="Times New Roman" w:hAnsi="Times New Roman" w:cs="Times New Roman"/>
          <w:highlight w:val="none"/>
          <w14:ligatures w14:val="none"/>
        </w:rPr>
        <w:t>zeolitic framework.</w:t>
      </w:r>
    </w:p>
    <w:p w14:paraId="7714F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eastAsia" w:ascii="Times New Roman" w:hAnsi="Times New Roman" w:eastAsia="宋体" w:cs="Times New Roman"/>
          <w:highlight w:val="none"/>
          <w:lang w:eastAsia="zh-CN"/>
        </w:rPr>
      </w:pPr>
      <w:bookmarkStart w:id="5" w:name="_Ref189069201"/>
      <w:r>
        <w:rPr>
          <w:rFonts w:hint="eastAsia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5039995" cy="4453890"/>
            <wp:effectExtent l="0" t="0" r="1905" b="3810"/>
            <wp:docPr id="4" name="图片 4" descr="EDS数据图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DS数据图_画板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445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6D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  <w14:ligatures w14:val="none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highlight w:val="none"/>
        </w:rPr>
        <w:t xml:space="preserve"> S</w:t>
      </w:r>
      <w:bookmarkEnd w:id="5"/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highlight w:val="none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EDS analysis of elemental composition. (a) ZIF-8 and (b) MH@ZIF-8.</w:t>
      </w:r>
    </w:p>
    <w:p w14:paraId="0C511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17D38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3CEAF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74578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7D3AE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27BDA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7F264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092D366E">
      <w:pPr>
        <w:pStyle w:val="2"/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2.5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Antibacterial 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g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rowth 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urve of MH@ZIF-8 in 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v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>itro</w:t>
      </w:r>
    </w:p>
    <w:p w14:paraId="6C13E4EE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240" w:firstLineChars="100"/>
        <w:jc w:val="both"/>
        <w:textAlignment w:val="baseline"/>
        <w:rPr>
          <w:rFonts w:hint="default" w:ascii="Times New Roman" w:hAnsi="Times New Roman" w:cs="Times New Roman"/>
          <w:kern w:val="2"/>
          <w:highlight w:val="none"/>
          <w:lang w:bidi="ar"/>
        </w:rPr>
      </w:pPr>
      <w:r>
        <w:rPr>
          <w:rFonts w:hint="default" w:ascii="Times New Roman" w:hAnsi="Times New Roman" w:cs="Times New Roman"/>
          <w:kern w:val="2"/>
          <w:highlight w:val="none"/>
          <w:lang w:bidi="ar"/>
        </w:rPr>
        <w:t>Culture media containing ZIF-8 and MH@ZIF-8 (at MIC concentrations of 0.08 mg/m</w:t>
      </w:r>
      <w:r>
        <w:rPr>
          <w:rFonts w:hint="eastAsia" w:ascii="Times New Roman" w:hAnsi="Times New Roman" w:cs="Times New Roman"/>
          <w:kern w:val="2"/>
          <w:highlight w:val="none"/>
          <w:lang w:val="en-US" w:eastAsia="zh-CN" w:bidi="ar"/>
        </w:rPr>
        <w:t>l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 for </w:t>
      </w:r>
      <w:r>
        <w:rPr>
          <w:rFonts w:hint="default" w:ascii="Times New Roman" w:hAnsi="Times New Roman" w:cs="Times New Roman"/>
          <w:i/>
          <w:iCs/>
          <w:kern w:val="2"/>
          <w:highlight w:val="none"/>
          <w:lang w:bidi="ar"/>
        </w:rPr>
        <w:t>S. aureus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>, 0.08 mg/m</w:t>
      </w:r>
      <w:r>
        <w:rPr>
          <w:rFonts w:hint="eastAsia" w:ascii="Times New Roman" w:hAnsi="Times New Roman" w:cs="Times New Roman"/>
          <w:kern w:val="2"/>
          <w:highlight w:val="none"/>
          <w:lang w:val="en-US" w:eastAsia="zh-CN" w:bidi="ar"/>
        </w:rPr>
        <w:t>l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 for </w:t>
      </w:r>
      <w:r>
        <w:rPr>
          <w:rFonts w:hint="default" w:ascii="Times New Roman" w:hAnsi="Times New Roman" w:cs="Times New Roman"/>
          <w:i/>
          <w:iCs/>
          <w:kern w:val="2"/>
          <w:highlight w:val="none"/>
          <w:lang w:bidi="ar"/>
        </w:rPr>
        <w:t>E. coli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>, 0.16 mg/m</w:t>
      </w:r>
      <w:r>
        <w:rPr>
          <w:rFonts w:hint="eastAsia" w:ascii="Times New Roman" w:hAnsi="Times New Roman" w:cs="Times New Roman"/>
          <w:kern w:val="2"/>
          <w:highlight w:val="none"/>
          <w:lang w:val="en-US" w:eastAsia="zh-CN" w:bidi="ar"/>
        </w:rPr>
        <w:t>l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 for </w:t>
      </w:r>
      <w:r>
        <w:rPr>
          <w:rFonts w:hint="default" w:ascii="Times New Roman" w:hAnsi="Times New Roman" w:cs="Times New Roman"/>
          <w:i/>
          <w:iCs/>
          <w:kern w:val="2"/>
          <w:highlight w:val="none"/>
          <w:lang w:bidi="ar"/>
        </w:rPr>
        <w:t>Pg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>, and 0.08 mg/m</w:t>
      </w:r>
      <w:r>
        <w:rPr>
          <w:rFonts w:hint="eastAsia" w:ascii="Times New Roman" w:hAnsi="Times New Roman" w:cs="Times New Roman"/>
          <w:kern w:val="2"/>
          <w:highlight w:val="none"/>
          <w:lang w:val="en-US" w:eastAsia="zh-CN" w:bidi="ar"/>
        </w:rPr>
        <w:t>l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 for </w:t>
      </w:r>
      <w:r>
        <w:rPr>
          <w:rFonts w:hint="default" w:ascii="Times New Roman" w:hAnsi="Times New Roman" w:cs="Times New Roman"/>
          <w:i/>
          <w:iCs/>
          <w:kern w:val="2"/>
          <w:highlight w:val="none"/>
          <w:lang w:bidi="ar"/>
        </w:rPr>
        <w:t>Aa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>) were co-cultured with four bacterial strains. OD</w:t>
      </w:r>
      <w:r>
        <w:rPr>
          <w:rFonts w:hint="default" w:ascii="Times New Roman" w:hAnsi="Times New Roman" w:cs="Times New Roman"/>
          <w:kern w:val="2"/>
          <w:highlight w:val="none"/>
          <w:vertAlign w:val="subscript"/>
          <w:lang w:bidi="ar"/>
        </w:rPr>
        <w:t>600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 values were monitored over a 12-hour period, with the corresponding growth curves shown in </w:t>
      </w:r>
      <w:r>
        <w:rPr>
          <w:rFonts w:hint="eastAsia" w:ascii="Times New Roman" w:hAnsi="Times New Roman" w:cs="Times New Roman"/>
          <w:kern w:val="2"/>
          <w:highlight w:val="none"/>
          <w:lang w:val="en-US" w:eastAsia="zh-CN" w:bidi="ar"/>
        </w:rPr>
        <w:t>Fig. S5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. MH-1@ZIF-8 demonstrated superior antibacterial activity compared to other groups. Against </w:t>
      </w:r>
      <w:r>
        <w:rPr>
          <w:rFonts w:hint="default" w:ascii="Times New Roman" w:hAnsi="Times New Roman" w:cs="Times New Roman"/>
          <w:i/>
          <w:iCs/>
          <w:kern w:val="2"/>
          <w:highlight w:val="none"/>
          <w:lang w:bidi="ar"/>
        </w:rPr>
        <w:t>S.aureus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 and </w:t>
      </w:r>
      <w:r>
        <w:rPr>
          <w:rFonts w:hint="default" w:ascii="Times New Roman" w:hAnsi="Times New Roman" w:cs="Times New Roman"/>
          <w:i/>
          <w:iCs/>
          <w:kern w:val="2"/>
          <w:highlight w:val="none"/>
          <w:lang w:bidi="ar"/>
        </w:rPr>
        <w:t>Pg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>, the optimal antimicrobial efficacy occurred at the 10-hour mark. For</w:t>
      </w:r>
      <w:r>
        <w:rPr>
          <w:rFonts w:hint="default" w:ascii="Times New Roman" w:hAnsi="Times New Roman" w:cs="Times New Roman"/>
          <w:i/>
          <w:kern w:val="2"/>
          <w:highlight w:val="none"/>
          <w:lang w:bidi="ar"/>
        </w:rPr>
        <w:t xml:space="preserve"> E.coli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 and </w:t>
      </w:r>
      <w:r>
        <w:rPr>
          <w:rFonts w:hint="default" w:ascii="Times New Roman" w:hAnsi="Times New Roman" w:cs="Times New Roman"/>
          <w:i/>
          <w:iCs/>
          <w:kern w:val="2"/>
          <w:highlight w:val="none"/>
          <w:lang w:bidi="ar"/>
        </w:rPr>
        <w:t>Aa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, peak activity was observed at 7 </w:t>
      </w:r>
      <w:r>
        <w:rPr>
          <w:rFonts w:hint="eastAsia" w:ascii="Times New Roman" w:hAnsi="Times New Roman" w:cs="Times New Roman"/>
          <w:kern w:val="2"/>
          <w:highlight w:val="none"/>
          <w:lang w:val="en-US" w:eastAsia="zh-CN" w:bidi="ar"/>
        </w:rPr>
        <w:t>h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 and 6 </w:t>
      </w:r>
      <w:r>
        <w:rPr>
          <w:rFonts w:hint="eastAsia" w:ascii="Times New Roman" w:hAnsi="Times New Roman" w:cs="Times New Roman"/>
          <w:kern w:val="2"/>
          <w:highlight w:val="none"/>
          <w:lang w:val="en-US" w:eastAsia="zh-CN" w:bidi="ar"/>
        </w:rPr>
        <w:t>h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>, respectively.</w:t>
      </w:r>
    </w:p>
    <w:p w14:paraId="3DFC7CED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baseline"/>
        <w:rPr>
          <w:rFonts w:hint="eastAsia" w:ascii="Times New Roman" w:hAnsi="Times New Roman" w:eastAsia="宋体" w:cs="Times New Roman"/>
          <w:kern w:val="2"/>
          <w:highlight w:val="none"/>
          <w:lang w:eastAsia="zh-CN" w:bidi="ar"/>
        </w:rPr>
      </w:pPr>
      <w:r>
        <w:rPr>
          <w:rFonts w:hint="eastAsia" w:ascii="Times New Roman" w:hAnsi="Times New Roman" w:eastAsia="宋体" w:cs="Times New Roman"/>
          <w:kern w:val="2"/>
          <w:highlight w:val="none"/>
          <w:lang w:eastAsia="zh-CN" w:bidi="ar"/>
        </w:rPr>
        <w:drawing>
          <wp:inline distT="0" distB="0" distL="114300" distR="114300">
            <wp:extent cx="5039995" cy="2539365"/>
            <wp:effectExtent l="0" t="0" r="0" b="0"/>
            <wp:docPr id="5" name="图片 5" descr="细菌生长曲线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细菌生长曲线_画板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43115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Times New Roman" w:hAnsi="Times New Roman" w:cs="Times New Roman"/>
          <w:highlight w:val="none"/>
          <w:lang w:val="en-US" w:eastAsia="zh-CN"/>
        </w:rPr>
      </w:pPr>
      <w:bookmarkStart w:id="6" w:name="_Ref189069257"/>
      <w:r>
        <w:rPr>
          <w:rFonts w:hint="default" w:ascii="Times New Roman" w:hAnsi="Times New Roman" w:cs="Times New Roman"/>
          <w:b/>
          <w:bCs/>
          <w:highlight w:val="none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highlight w:val="none"/>
        </w:rPr>
        <w:t xml:space="preserve"> S</w:t>
      </w:r>
      <w:bookmarkEnd w:id="6"/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highlight w:val="none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Growth curves of bacterial strains co-cultured with ZIF-8 and MH@ZIF-8. (a) </w:t>
      </w:r>
      <w:r>
        <w:rPr>
          <w:rFonts w:hint="default" w:ascii="Times New Roman" w:hAnsi="Times New Roman" w:cs="Times New Roman"/>
          <w:i/>
          <w:iCs/>
          <w:highlight w:val="none"/>
        </w:rPr>
        <w:t>Staphylococcus aureus</w:t>
      </w:r>
      <w:r>
        <w:rPr>
          <w:rFonts w:hint="default" w:ascii="Times New Roman" w:hAnsi="Times New Roman" w:cs="Times New Roman"/>
          <w:highlight w:val="none"/>
        </w:rPr>
        <w:t xml:space="preserve"> (</w:t>
      </w:r>
      <w:r>
        <w:rPr>
          <w:rFonts w:hint="default" w:ascii="Times New Roman" w:hAnsi="Times New Roman" w:cs="Times New Roman"/>
          <w:i/>
          <w:iCs/>
          <w:highlight w:val="none"/>
        </w:rPr>
        <w:t>S. aureus</w:t>
      </w:r>
      <w:r>
        <w:rPr>
          <w:rFonts w:hint="default" w:ascii="Times New Roman" w:hAnsi="Times New Roman" w:cs="Times New Roman"/>
          <w:highlight w:val="none"/>
        </w:rPr>
        <w:t xml:space="preserve">), (b) </w:t>
      </w:r>
      <w:r>
        <w:rPr>
          <w:rFonts w:hint="default" w:ascii="Times New Roman" w:hAnsi="Times New Roman" w:cs="Times New Roman"/>
          <w:i/>
          <w:iCs/>
          <w:highlight w:val="none"/>
        </w:rPr>
        <w:t>Porphyromonas gingivalis</w:t>
      </w:r>
      <w:r>
        <w:rPr>
          <w:rFonts w:hint="default" w:ascii="Times New Roman" w:hAnsi="Times New Roman" w:cs="Times New Roman"/>
          <w:highlight w:val="none"/>
        </w:rPr>
        <w:t xml:space="preserve"> (</w:t>
      </w:r>
      <w:r>
        <w:rPr>
          <w:rFonts w:hint="default" w:ascii="Times New Roman" w:hAnsi="Times New Roman" w:cs="Times New Roman"/>
          <w:i/>
          <w:iCs/>
          <w:highlight w:val="none"/>
        </w:rPr>
        <w:t>Pg</w:t>
      </w:r>
      <w:r>
        <w:rPr>
          <w:rFonts w:hint="default" w:ascii="Times New Roman" w:hAnsi="Times New Roman" w:cs="Times New Roman"/>
          <w:highlight w:val="none"/>
        </w:rPr>
        <w:t xml:space="preserve">), (c) </w:t>
      </w:r>
      <w:r>
        <w:rPr>
          <w:rFonts w:hint="default" w:ascii="Times New Roman" w:hAnsi="Times New Roman" w:cs="Times New Roman"/>
          <w:i/>
          <w:iCs/>
          <w:highlight w:val="none"/>
        </w:rPr>
        <w:t>Escherichia coli</w:t>
      </w:r>
      <w:r>
        <w:rPr>
          <w:rFonts w:hint="default" w:ascii="Times New Roman" w:hAnsi="Times New Roman" w:cs="Times New Roman"/>
          <w:highlight w:val="none"/>
        </w:rPr>
        <w:t xml:space="preserve"> (</w:t>
      </w:r>
      <w:r>
        <w:rPr>
          <w:rFonts w:hint="default" w:ascii="Times New Roman" w:hAnsi="Times New Roman" w:cs="Times New Roman"/>
          <w:i/>
          <w:iCs/>
          <w:highlight w:val="none"/>
        </w:rPr>
        <w:t>E.coli</w:t>
      </w:r>
      <w:r>
        <w:rPr>
          <w:rFonts w:hint="default" w:ascii="Times New Roman" w:hAnsi="Times New Roman" w:cs="Times New Roman"/>
          <w:highlight w:val="none"/>
        </w:rPr>
        <w:t xml:space="preserve">), (d) </w:t>
      </w:r>
      <w:r>
        <w:rPr>
          <w:rFonts w:hint="default" w:ascii="Times New Roman" w:hAnsi="Times New Roman" w:cs="Times New Roman"/>
          <w:i/>
          <w:iCs/>
          <w:highlight w:val="none"/>
        </w:rPr>
        <w:t>Aggregatibacter actinomycetemcomitans</w:t>
      </w:r>
      <w:r>
        <w:rPr>
          <w:rFonts w:hint="default" w:ascii="Times New Roman" w:hAnsi="Times New Roman" w:cs="Times New Roman"/>
          <w:highlight w:val="none"/>
        </w:rPr>
        <w:t xml:space="preserve"> (</w:t>
      </w:r>
      <w:r>
        <w:rPr>
          <w:rFonts w:hint="default" w:ascii="Times New Roman" w:hAnsi="Times New Roman" w:cs="Times New Roman"/>
          <w:i/>
          <w:iCs/>
          <w:highlight w:val="none"/>
        </w:rPr>
        <w:t>Aa</w:t>
      </w:r>
      <w:r>
        <w:rPr>
          <w:rFonts w:hint="default" w:ascii="Times New Roman" w:hAnsi="Times New Roman" w:cs="Times New Roman"/>
          <w:highlight w:val="none"/>
        </w:rPr>
        <w:t>).</w:t>
      </w:r>
    </w:p>
    <w:p w14:paraId="0F521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13A4D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22182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01EB0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37627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5D316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74AE9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03721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64660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31B5A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78A84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2D2DADA9">
      <w:pPr>
        <w:pStyle w:val="2"/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2.6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Antibacterial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p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>erformance of MH@ZIF-8</w:t>
      </w:r>
    </w:p>
    <w:p w14:paraId="1DFC3722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240" w:firstLineChars="100"/>
        <w:jc w:val="both"/>
        <w:textAlignment w:val="baseline"/>
        <w:rPr>
          <w:rFonts w:hint="default" w:ascii="Times New Roman" w:hAnsi="Times New Roman" w:cs="Times New Roman"/>
          <w:kern w:val="2"/>
          <w:highlight w:val="none"/>
          <w:lang w:bidi="ar"/>
        </w:rPr>
      </w:pP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Bacterial viability was assessed using the LIVE/DEAD® BacLight™ staining kit. ImageJ software (version 8.0, NIH, USA) quantified colour ratios in live/dead staining regions, with results shown in </w:t>
      </w:r>
      <w:r>
        <w:rPr>
          <w:rFonts w:hint="eastAsia" w:ascii="Times New Roman" w:hAnsi="Times New Roman" w:cs="Times New Roman"/>
          <w:kern w:val="2"/>
          <w:highlight w:val="none"/>
          <w:lang w:val="en-US" w:eastAsia="zh-CN" w:bidi="ar"/>
        </w:rPr>
        <w:t>Fig, S6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>a</w:t>
      </w:r>
      <w:r>
        <w:rPr>
          <w:rFonts w:hint="default" w:ascii="Times New Roman" w:hAnsi="Times New Roman" w:cs="Times New Roman"/>
          <w:highlight w:val="none"/>
          <w:lang w:bidi="ar"/>
        </w:rPr>
        <w:t>,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 MH-1@ZIF-8 induced &gt;70% bacterial death in </w:t>
      </w:r>
      <w:r>
        <w:rPr>
          <w:rFonts w:hint="default" w:ascii="Times New Roman" w:hAnsi="Times New Roman" w:cs="Times New Roman"/>
          <w:i/>
          <w:iCs/>
          <w:kern w:val="2"/>
          <w:highlight w:val="none"/>
          <w:lang w:bidi="ar"/>
        </w:rPr>
        <w:t>S.aureus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>,</w:t>
      </w:r>
      <w:r>
        <w:rPr>
          <w:rFonts w:hint="default" w:ascii="Times New Roman" w:hAnsi="Times New Roman" w:cs="Times New Roman"/>
          <w:i/>
          <w:kern w:val="2"/>
          <w:highlight w:val="none"/>
          <w:lang w:bidi="ar"/>
        </w:rPr>
        <w:t xml:space="preserve"> E.coli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, </w:t>
      </w:r>
      <w:r>
        <w:rPr>
          <w:rFonts w:hint="default" w:ascii="Times New Roman" w:hAnsi="Times New Roman" w:cs="Times New Roman"/>
          <w:i/>
          <w:iCs/>
          <w:kern w:val="2"/>
          <w:highlight w:val="none"/>
          <w:lang w:bidi="ar"/>
        </w:rPr>
        <w:t>Pg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, and </w:t>
      </w:r>
      <w:r>
        <w:rPr>
          <w:rFonts w:hint="default" w:ascii="Times New Roman" w:hAnsi="Times New Roman" w:cs="Times New Roman"/>
          <w:i/>
          <w:iCs/>
          <w:kern w:val="2"/>
          <w:highlight w:val="none"/>
          <w:lang w:bidi="ar"/>
        </w:rPr>
        <w:t>Aa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>, consistent with plate counting results, confirming its potent antibacterial activity. Biofilm quantification involved dissolving 0.1% crystal violet with 33% glacial acetic acid, followed by OD</w:t>
      </w:r>
      <w:r>
        <w:rPr>
          <w:rFonts w:hint="default" w:ascii="Times New Roman" w:hAnsi="Times New Roman" w:cs="Times New Roman"/>
          <w:kern w:val="2"/>
          <w:highlight w:val="none"/>
          <w:vertAlign w:val="subscript"/>
          <w:lang w:bidi="ar"/>
        </w:rPr>
        <w:t>590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 xml:space="preserve"> measurement (</w:t>
      </w:r>
      <w:r>
        <w:rPr>
          <w:rFonts w:hint="eastAsia" w:ascii="Times New Roman" w:hAnsi="Times New Roman" w:cs="Times New Roman"/>
          <w:kern w:val="2"/>
          <w:highlight w:val="none"/>
          <w:lang w:val="en-US" w:eastAsia="zh-CN" w:bidi="ar"/>
        </w:rPr>
        <w:tab/>
      </w:r>
      <w:r>
        <w:rPr>
          <w:rFonts w:hint="eastAsia" w:ascii="Times New Roman" w:hAnsi="Times New Roman" w:cs="Times New Roman"/>
          <w:kern w:val="2"/>
          <w:highlight w:val="none"/>
          <w:lang w:val="en-US" w:eastAsia="zh-CN" w:bidi="ar"/>
        </w:rPr>
        <w:t>Fig. S6</w:t>
      </w:r>
      <w:r>
        <w:rPr>
          <w:rFonts w:hint="default" w:ascii="Times New Roman" w:hAnsi="Times New Roman" w:cs="Times New Roman"/>
          <w:kern w:val="2"/>
          <w:highlight w:val="none"/>
          <w:lang w:bidi="ar"/>
        </w:rPr>
        <w:t>b). MH-1@ZIF-8 exhibited significantly enhanced biofilm disruption compared to controls (P &lt; 0.0001), demonstrating superior antibiofilm efficacy.</w:t>
      </w:r>
    </w:p>
    <w:p w14:paraId="0CBC78A0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baseline"/>
        <w:rPr>
          <w:rFonts w:hint="eastAsia" w:ascii="Times New Roman" w:hAnsi="Times New Roman" w:eastAsia="宋体" w:cs="Times New Roman"/>
          <w:kern w:val="2"/>
          <w:highlight w:val="none"/>
          <w:lang w:eastAsia="zh-CN" w:bidi="ar"/>
        </w:rPr>
      </w:pPr>
      <w:r>
        <w:rPr>
          <w:rFonts w:hint="eastAsia" w:ascii="Times New Roman" w:hAnsi="Times New Roman" w:eastAsia="宋体" w:cs="Times New Roman"/>
          <w:kern w:val="2"/>
          <w:highlight w:val="none"/>
          <w:lang w:eastAsia="zh-CN" w:bidi="ar"/>
        </w:rPr>
        <w:drawing>
          <wp:inline distT="0" distB="0" distL="114300" distR="114300">
            <wp:extent cx="5039995" cy="3851275"/>
            <wp:effectExtent l="0" t="0" r="0" b="0"/>
            <wp:docPr id="6" name="图片 6" descr="细菌活力定量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细菌活力定量_画板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61C31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Times New Roman" w:hAnsi="Times New Roman" w:cs="Times New Roman"/>
          <w:kern w:val="2"/>
          <w:highlight w:val="none"/>
          <w:lang w:bidi="ar"/>
        </w:rPr>
      </w:pPr>
      <w:bookmarkStart w:id="7" w:name="_Ref189069268"/>
      <w:r>
        <w:rPr>
          <w:rFonts w:hint="default" w:ascii="Times New Roman" w:hAnsi="Times New Roman" w:cs="Times New Roman"/>
          <w:b/>
          <w:bCs/>
          <w:highlight w:val="none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highlight w:val="none"/>
        </w:rPr>
        <w:t xml:space="preserve"> S</w:t>
      </w:r>
      <w:bookmarkEnd w:id="7"/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highlight w:val="none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Antibacterial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p</w:t>
      </w:r>
      <w:r>
        <w:rPr>
          <w:rFonts w:hint="default" w:ascii="Times New Roman" w:hAnsi="Times New Roman" w:cs="Times New Roman"/>
          <w:highlight w:val="none"/>
        </w:rPr>
        <w:t>erformance of MH@ZIF-8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highlight w:val="none"/>
        </w:rPr>
        <w:t xml:space="preserve">(a) Quantitative live/dead bacterial staining analysis of </w:t>
      </w:r>
      <w:r>
        <w:rPr>
          <w:rFonts w:hint="default" w:ascii="Times New Roman" w:hAnsi="Times New Roman" w:cs="Times New Roman"/>
          <w:i/>
          <w:highlight w:val="none"/>
        </w:rPr>
        <w:t>S.aureus</w:t>
      </w:r>
      <w:r>
        <w:rPr>
          <w:rFonts w:hint="default" w:ascii="Times New Roman" w:hAnsi="Times New Roman" w:cs="Times New Roman"/>
          <w:highlight w:val="none"/>
        </w:rPr>
        <w:t xml:space="preserve">, </w:t>
      </w:r>
      <w:r>
        <w:rPr>
          <w:rFonts w:hint="default" w:ascii="Times New Roman" w:hAnsi="Times New Roman" w:cs="Times New Roman"/>
          <w:i/>
          <w:iCs/>
          <w:highlight w:val="none"/>
        </w:rPr>
        <w:t>E. coli</w:t>
      </w:r>
      <w:r>
        <w:rPr>
          <w:rFonts w:hint="default" w:ascii="Times New Roman" w:hAnsi="Times New Roman" w:cs="Times New Roman"/>
          <w:highlight w:val="none"/>
        </w:rPr>
        <w:t xml:space="preserve">, </w:t>
      </w:r>
      <w:r>
        <w:rPr>
          <w:rFonts w:hint="default" w:ascii="Times New Roman" w:hAnsi="Times New Roman" w:cs="Times New Roman"/>
          <w:i/>
          <w:iCs/>
          <w:highlight w:val="none"/>
        </w:rPr>
        <w:t>Pg</w:t>
      </w:r>
      <w:r>
        <w:rPr>
          <w:rFonts w:hint="default" w:ascii="Times New Roman" w:hAnsi="Times New Roman" w:cs="Times New Roman"/>
          <w:highlight w:val="none"/>
        </w:rPr>
        <w:t xml:space="preserve">, and </w:t>
      </w:r>
      <w:r>
        <w:rPr>
          <w:rFonts w:hint="default" w:ascii="Times New Roman" w:hAnsi="Times New Roman" w:cs="Times New Roman"/>
          <w:i/>
          <w:highlight w:val="none"/>
        </w:rPr>
        <w:t>Aa</w:t>
      </w:r>
      <w:r>
        <w:rPr>
          <w:rFonts w:hint="default" w:ascii="Times New Roman" w:hAnsi="Times New Roman" w:cs="Times New Roman"/>
          <w:highlight w:val="none"/>
        </w:rPr>
        <w:t xml:space="preserve"> after co-culture with MH-1@ZIF-8. (b) Biofilm quantification analysis of ZIF-8 and MH-1@ZIF-8.</w:t>
      </w:r>
    </w:p>
    <w:p w14:paraId="25D62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60BBE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drawing>
          <wp:inline distT="0" distB="0" distL="114300" distR="114300">
            <wp:extent cx="5039995" cy="2797175"/>
            <wp:effectExtent l="0" t="0" r="1905" b="9525"/>
            <wp:docPr id="13" name="图片 13" descr="抑菌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抑菌圈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31EF0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highlight w:val="none"/>
        </w:rPr>
        <w:t xml:space="preserve"> S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highlight w:val="none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Zone of inhibition experiments</w:t>
      </w:r>
      <w:r>
        <w:rPr>
          <w:rFonts w:hint="default" w:ascii="Times New Roman" w:hAnsi="Times New Roman" w:cs="Times New Roman"/>
          <w:highlight w:val="none"/>
        </w:rPr>
        <w:t xml:space="preserve"> of MH@ZIF-8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highlight w:val="none"/>
        </w:rPr>
        <w:t xml:space="preserve">(a)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Zone of inhibition</w:t>
      </w:r>
      <w:r>
        <w:rPr>
          <w:rFonts w:hint="default" w:ascii="Times New Roman" w:hAnsi="Times New Roman" w:cs="Times New Roman"/>
          <w:highlight w:val="none"/>
        </w:rPr>
        <w:t xml:space="preserve"> of </w:t>
      </w:r>
      <w:r>
        <w:rPr>
          <w:rFonts w:hint="default" w:ascii="Times New Roman" w:hAnsi="Times New Roman" w:cs="Times New Roman"/>
          <w:i/>
          <w:highlight w:val="none"/>
        </w:rPr>
        <w:t>S.aureus</w:t>
      </w:r>
      <w:r>
        <w:rPr>
          <w:rFonts w:hint="default" w:ascii="Times New Roman" w:hAnsi="Times New Roman" w:cs="Times New Roman"/>
          <w:highlight w:val="none"/>
        </w:rPr>
        <w:t xml:space="preserve">, </w:t>
      </w:r>
      <w:r>
        <w:rPr>
          <w:rFonts w:hint="default" w:ascii="Times New Roman" w:hAnsi="Times New Roman" w:cs="Times New Roman"/>
          <w:i/>
          <w:iCs/>
          <w:highlight w:val="none"/>
        </w:rPr>
        <w:t>E. coli</w:t>
      </w:r>
      <w:r>
        <w:rPr>
          <w:rFonts w:hint="default" w:ascii="Times New Roman" w:hAnsi="Times New Roman" w:cs="Times New Roman"/>
          <w:highlight w:val="none"/>
        </w:rPr>
        <w:t xml:space="preserve">, </w:t>
      </w:r>
      <w:r>
        <w:rPr>
          <w:rFonts w:hint="default" w:ascii="Times New Roman" w:hAnsi="Times New Roman" w:cs="Times New Roman"/>
          <w:i/>
          <w:iCs/>
          <w:highlight w:val="none"/>
        </w:rPr>
        <w:t>Pg</w:t>
      </w:r>
      <w:r>
        <w:rPr>
          <w:rFonts w:hint="default" w:ascii="Times New Roman" w:hAnsi="Times New Roman" w:cs="Times New Roman"/>
          <w:highlight w:val="none"/>
        </w:rPr>
        <w:t xml:space="preserve">, and </w:t>
      </w:r>
      <w:r>
        <w:rPr>
          <w:rFonts w:hint="default" w:ascii="Times New Roman" w:hAnsi="Times New Roman" w:cs="Times New Roman"/>
          <w:i/>
          <w:highlight w:val="none"/>
        </w:rPr>
        <w:t>Aa</w:t>
      </w:r>
      <w:r>
        <w:rPr>
          <w:rFonts w:hint="default" w:ascii="Times New Roman" w:hAnsi="Times New Roman" w:cs="Times New Roman"/>
          <w:highlight w:val="none"/>
        </w:rPr>
        <w:t>. (b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-e</w:t>
      </w:r>
      <w:r>
        <w:rPr>
          <w:rFonts w:hint="default" w:ascii="Times New Roman" w:hAnsi="Times New Roman" w:cs="Times New Roman"/>
          <w:highlight w:val="none"/>
        </w:rPr>
        <w:t xml:space="preserve">)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Q</w:t>
      </w:r>
      <w:r>
        <w:rPr>
          <w:rFonts w:hint="default" w:ascii="Times New Roman" w:hAnsi="Times New Roman" w:cs="Times New Roman"/>
          <w:highlight w:val="none"/>
        </w:rPr>
        <w:t xml:space="preserve">uantification analysis of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Zone of inhibition</w:t>
      </w:r>
      <w:r>
        <w:rPr>
          <w:rFonts w:hint="default" w:ascii="Times New Roman" w:hAnsi="Times New Roman" w:cs="Times New Roman"/>
          <w:highlight w:val="none"/>
        </w:rPr>
        <w:t>.</w:t>
      </w:r>
    </w:p>
    <w:p w14:paraId="7599C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6DEE8DF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>2.7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bidi="ar"/>
        </w:rPr>
        <w:t>Porosity of CS/β-GP and MH@ZIF-8/CS/β-GP</w:t>
      </w:r>
    </w:p>
    <w:p w14:paraId="6CF20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jc w:val="both"/>
        <w:rPr>
          <w:rFonts w:hint="default" w:ascii="Times New Roman" w:hAnsi="Times New Roman" w:cs="Times New Roman"/>
          <w:highlight w:val="none"/>
          <w:lang w:bidi="ar"/>
        </w:rPr>
      </w:pPr>
      <w:r>
        <w:rPr>
          <w:rFonts w:hint="default" w:ascii="Times New Roman" w:hAnsi="Times New Roman" w:cs="Times New Roman"/>
          <w:highlight w:val="none"/>
          <w:lang w:bidi="ar"/>
        </w:rPr>
        <w:t>Both CS/β-GP and MH@ZIF-8/CS/β-GP hydrogels retained the characteristic porous architecture of hydrogels after lyophilization, as evidenced by scanning electron microscopy (</w:t>
      </w:r>
      <w:r>
        <w:rPr>
          <w:rFonts w:hint="eastAsia" w:ascii="Times New Roman" w:hAnsi="Times New Roman" w:cs="Times New Roman"/>
          <w:highlight w:val="none"/>
          <w:lang w:val="en-US" w:eastAsia="zh-CN" w:bidi="ar"/>
        </w:rPr>
        <w:t>Fig. S</w:t>
      </w:r>
      <w:r>
        <w:rPr>
          <w:rFonts w:hint="eastAsia" w:cs="Times New Roman"/>
          <w:highlight w:val="none"/>
          <w:lang w:val="en-US" w:eastAsia="zh-CN" w:bidi="ar"/>
        </w:rPr>
        <w:t>8</w:t>
      </w:r>
      <w:r>
        <w:rPr>
          <w:rFonts w:hint="default" w:ascii="Times New Roman" w:hAnsi="Times New Roman" w:cs="Times New Roman"/>
          <w:highlight w:val="none"/>
          <w:lang w:bidi="ar"/>
        </w:rPr>
        <w:t>).</w:t>
      </w:r>
    </w:p>
    <w:p w14:paraId="798C9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eastAsia" w:ascii="Times New Roman" w:hAnsi="Times New Roman" w:eastAsia="宋体" w:cs="Times New Roman"/>
          <w:highlight w:val="none"/>
          <w:lang w:eastAsia="zh-CN" w:bidi="ar"/>
        </w:rPr>
      </w:pPr>
      <w:r>
        <w:rPr>
          <w:rFonts w:hint="eastAsia" w:ascii="Times New Roman" w:hAnsi="Times New Roman" w:eastAsia="宋体" w:cs="Times New Roman"/>
          <w:highlight w:val="none"/>
          <w:lang w:eastAsia="zh-CN" w:bidi="ar"/>
        </w:rPr>
        <w:drawing>
          <wp:inline distT="0" distB="0" distL="114300" distR="114300">
            <wp:extent cx="2483485" cy="3221990"/>
            <wp:effectExtent l="0" t="0" r="0" b="0"/>
            <wp:docPr id="7" name="图片 7" descr="孔隙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孔隙率"/>
                    <pic:cNvPicPr>
                      <a:picLocks noChangeAspect="1"/>
                    </pic:cNvPicPr>
                  </pic:nvPicPr>
                  <pic:blipFill>
                    <a:blip r:embed="rId19"/>
                    <a:srcRect t="6527" r="8707" b="3969"/>
                    <a:stretch>
                      <a:fillRect/>
                    </a:stretch>
                  </pic:blipFill>
                  <pic:spPr>
                    <a:xfrm>
                      <a:off x="0" y="0"/>
                      <a:ext cx="2483485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EE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  <w:lang w:val="en-US" w:eastAsia="zh-CN"/>
        </w:rPr>
      </w:pPr>
      <w:bookmarkStart w:id="8" w:name="_Ref189069219"/>
      <w:r>
        <w:rPr>
          <w:rFonts w:hint="default" w:ascii="Times New Roman" w:hAnsi="Times New Roman" w:cs="Times New Roman"/>
          <w:b/>
          <w:bCs/>
          <w:highlight w:val="none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highlight w:val="none"/>
        </w:rPr>
        <w:t xml:space="preserve"> S</w:t>
      </w:r>
      <w:bookmarkEnd w:id="8"/>
      <w:r>
        <w:rPr>
          <w:rFonts w:hint="eastAsia" w:cs="Times New Roman"/>
          <w:b/>
          <w:bCs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highlight w:val="none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Porosity </w:t>
      </w:r>
      <w:r>
        <w:rPr>
          <w:rFonts w:hint="eastAsia" w:cs="Times New Roman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highlight w:val="none"/>
        </w:rPr>
        <w:t xml:space="preserve">omparison </w:t>
      </w:r>
      <w:r>
        <w:rPr>
          <w:rFonts w:hint="eastAsia" w:cs="Times New Roman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highlight w:val="none"/>
        </w:rPr>
        <w:t xml:space="preserve">etween CS/β-GP and MH@ZIF-8/CS/β-GP </w:t>
      </w:r>
      <w:r>
        <w:rPr>
          <w:rFonts w:hint="eastAsia" w:cs="Times New Roman"/>
          <w:highlight w:val="none"/>
          <w:lang w:val="en-US" w:eastAsia="zh-CN"/>
        </w:rPr>
        <w:t>h</w:t>
      </w:r>
      <w:r>
        <w:rPr>
          <w:rFonts w:hint="default" w:ascii="Times New Roman" w:hAnsi="Times New Roman" w:cs="Times New Roman"/>
          <w:highlight w:val="none"/>
        </w:rPr>
        <w:t>ydrogels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.</w:t>
      </w:r>
    </w:p>
    <w:p w14:paraId="25593B6E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>2.8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>K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>inetic model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>s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 xml:space="preserve"> of drug release</w:t>
      </w:r>
    </w:p>
    <w:p w14:paraId="6AD6AB8D">
      <w:pPr>
        <w:spacing w:line="240" w:lineRule="auto"/>
        <w:ind w:left="0" w:leftChars="0" w:firstLine="0" w:firstLineChars="0"/>
        <w:jc w:val="center"/>
        <w:rPr>
          <w:rFonts w:hint="default" w:ascii="Times New Roman" w:hAnsi="Times New Roman" w:cs="Times New Roman"/>
          <w:color w:val="0000FF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400040" cy="1397000"/>
            <wp:effectExtent l="0" t="0" r="0" b="0"/>
            <wp:docPr id="20" name="图片 20" descr="药物释放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药物释放_画板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B6294">
      <w:pPr>
        <w:spacing w:line="360" w:lineRule="auto"/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Fig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lang w:val="en-US" w:eastAsia="zh-CN"/>
        </w:rPr>
        <w:t>S9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K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inetic model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of drug release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 xml:space="preserve">. (a)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baseline"/>
          <w:lang w:val="en-US" w:eastAsia="zh-CN"/>
        </w:rPr>
        <w:t>Zero-order</w:t>
      </w:r>
      <w:r>
        <w:rPr>
          <w:rFonts w:hint="eastAsia" w:cs="Times New Roman"/>
          <w:color w:val="auto"/>
          <w:sz w:val="24"/>
          <w:szCs w:val="24"/>
          <w:highlight w:val="none"/>
          <w:vertAlign w:val="baseline"/>
          <w:lang w:val="en-US" w:eastAsia="zh-CN"/>
        </w:rPr>
        <w:t xml:space="preserve"> model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 xml:space="preserve">. (b)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baseline"/>
          <w:lang w:val="en-US" w:eastAsia="zh-CN"/>
        </w:rPr>
        <w:t>First-order</w:t>
      </w:r>
      <w:r>
        <w:rPr>
          <w:rFonts w:hint="eastAsia" w:cs="Times New Roman"/>
          <w:color w:val="auto"/>
          <w:sz w:val="24"/>
          <w:szCs w:val="24"/>
          <w:highlight w:val="none"/>
          <w:vertAlign w:val="baseline"/>
          <w:lang w:val="en-US" w:eastAsia="zh-CN"/>
        </w:rPr>
        <w:t xml:space="preserve"> model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 xml:space="preserve">. (c)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vertAlign w:val="baseline"/>
          <w:lang w:val="en-US" w:eastAsia="zh-CN"/>
        </w:rPr>
        <w:t>Higuchi</w:t>
      </w:r>
      <w:r>
        <w:rPr>
          <w:rFonts w:hint="eastAsia" w:cs="Times New Roman"/>
          <w:color w:val="auto"/>
          <w:sz w:val="24"/>
          <w:szCs w:val="24"/>
          <w:highlight w:val="none"/>
          <w:vertAlign w:val="baseline"/>
          <w:lang w:val="en-US" w:eastAsia="zh-CN"/>
        </w:rPr>
        <w:t xml:space="preserve"> model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.</w:t>
      </w:r>
    </w:p>
    <w:p w14:paraId="22ADA8EF">
      <w:pPr>
        <w:spacing w:line="360" w:lineRule="auto"/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Table 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lang w:val="en-US" w:eastAsia="zh-CN"/>
        </w:rPr>
        <w:t>S2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 xml:space="preserve">Parameters of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kinetic model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of drug release</w:t>
      </w:r>
    </w:p>
    <w:tbl>
      <w:tblPr>
        <w:tblStyle w:val="3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3"/>
        <w:gridCol w:w="1236"/>
        <w:gridCol w:w="1236"/>
        <w:gridCol w:w="1236"/>
        <w:gridCol w:w="1236"/>
      </w:tblGrid>
      <w:tr w14:paraId="25FA8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auto" w:sz="12" w:space="0"/>
            </w:tcBorders>
            <w:vAlign w:val="center"/>
          </w:tcPr>
          <w:p w14:paraId="4F17270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Kinetic model</w:t>
            </w:r>
          </w:p>
        </w:tc>
        <w:tc>
          <w:tcPr>
            <w:tcW w:w="0" w:type="auto"/>
            <w:gridSpan w:val="2"/>
            <w:tcBorders>
              <w:top w:val="single" w:color="auto" w:sz="12" w:space="0"/>
            </w:tcBorders>
            <w:vAlign w:val="center"/>
          </w:tcPr>
          <w:p w14:paraId="1877722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pH = 6.0</w:t>
            </w:r>
          </w:p>
        </w:tc>
        <w:tc>
          <w:tcPr>
            <w:tcW w:w="0" w:type="auto"/>
            <w:gridSpan w:val="2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62915DC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pH = 7.4</w:t>
            </w:r>
          </w:p>
        </w:tc>
      </w:tr>
      <w:tr w14:paraId="7D0FA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bottom w:val="single" w:color="auto" w:sz="8" w:space="0"/>
            </w:tcBorders>
          </w:tcPr>
          <w:p w14:paraId="7770C69F">
            <w:pPr>
              <w:spacing w:line="360" w:lineRule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 w14:paraId="4A7E7F0E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K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 w14:paraId="5B70D9A2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 w14:paraId="4BADF59E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K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 w14:paraId="0FF872C1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superscript"/>
                <w:lang w:val="en-US" w:eastAsia="zh-CN"/>
              </w:rPr>
              <w:t>2</w:t>
            </w:r>
          </w:p>
        </w:tc>
      </w:tr>
      <w:tr w14:paraId="124D4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8" w:space="0"/>
            </w:tcBorders>
          </w:tcPr>
          <w:p w14:paraId="22464080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Zero-order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 w14:paraId="6A65D5E1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0.004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 w14:paraId="039CBB53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0.591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 w14:paraId="71C2DA93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0.001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 w14:paraId="0F29844E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0.716</w:t>
            </w:r>
          </w:p>
        </w:tc>
      </w:tr>
      <w:tr w14:paraId="28E2A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EF27B0C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First-order</w:t>
            </w:r>
          </w:p>
        </w:tc>
        <w:tc>
          <w:tcPr>
            <w:tcW w:w="0" w:type="auto"/>
          </w:tcPr>
          <w:p w14:paraId="53FE7C4C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0.009</w:t>
            </w:r>
          </w:p>
        </w:tc>
        <w:tc>
          <w:tcPr>
            <w:tcW w:w="0" w:type="auto"/>
          </w:tcPr>
          <w:p w14:paraId="745F3706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0.718</w:t>
            </w:r>
          </w:p>
        </w:tc>
        <w:tc>
          <w:tcPr>
            <w:tcW w:w="0" w:type="auto"/>
          </w:tcPr>
          <w:p w14:paraId="300D3079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0.001</w:t>
            </w:r>
          </w:p>
        </w:tc>
        <w:tc>
          <w:tcPr>
            <w:tcW w:w="0" w:type="auto"/>
          </w:tcPr>
          <w:p w14:paraId="6211A326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0.730</w:t>
            </w:r>
          </w:p>
        </w:tc>
      </w:tr>
      <w:tr w14:paraId="0DA1F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bottom w:val="single" w:color="auto" w:sz="12" w:space="0"/>
            </w:tcBorders>
          </w:tcPr>
          <w:p w14:paraId="6C060999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Higuchi</w:t>
            </w:r>
          </w:p>
        </w:tc>
        <w:tc>
          <w:tcPr>
            <w:tcW w:w="0" w:type="auto"/>
            <w:tcBorders>
              <w:bottom w:val="single" w:color="auto" w:sz="12" w:space="0"/>
            </w:tcBorders>
          </w:tcPr>
          <w:p w14:paraId="070D62E0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0.042</w:t>
            </w:r>
          </w:p>
        </w:tc>
        <w:tc>
          <w:tcPr>
            <w:tcW w:w="0" w:type="auto"/>
            <w:tcBorders>
              <w:bottom w:val="single" w:color="auto" w:sz="12" w:space="0"/>
            </w:tcBorders>
          </w:tcPr>
          <w:p w14:paraId="355C5C14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0.761</w:t>
            </w:r>
          </w:p>
        </w:tc>
        <w:tc>
          <w:tcPr>
            <w:tcW w:w="0" w:type="auto"/>
            <w:tcBorders>
              <w:bottom w:val="single" w:color="auto" w:sz="12" w:space="0"/>
            </w:tcBorders>
          </w:tcPr>
          <w:p w14:paraId="54F7B149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0.010</w:t>
            </w:r>
          </w:p>
        </w:tc>
        <w:tc>
          <w:tcPr>
            <w:tcW w:w="0" w:type="auto"/>
            <w:tcBorders>
              <w:bottom w:val="single" w:color="auto" w:sz="12" w:space="0"/>
            </w:tcBorders>
          </w:tcPr>
          <w:p w14:paraId="79B45D76"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0.856</w:t>
            </w:r>
          </w:p>
        </w:tc>
      </w:tr>
    </w:tbl>
    <w:p w14:paraId="03FBF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</w:pPr>
    </w:p>
    <w:p w14:paraId="7AB6D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>2.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>9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 xml:space="preserve">In vivo degradation of </w:t>
      </w:r>
      <w:r>
        <w:rPr>
          <w:rFonts w:hint="default" w:cs="Times New Roman"/>
          <w:b w:val="0"/>
          <w:bCs w:val="0"/>
          <w:i/>
          <w:iCs/>
          <w:sz w:val="28"/>
          <w:szCs w:val="28"/>
          <w:highlight w:val="none"/>
          <w:lang w:val="en-US" w:eastAsia="zh-CN" w:bidi="ar"/>
        </w:rPr>
        <w:t>CS/β-GP/ZIF-8@MH</w:t>
      </w:r>
    </w:p>
    <w:p w14:paraId="48A9A9D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center"/>
        <w:textAlignment w:val="auto"/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drawing>
          <wp:inline distT="0" distB="0" distL="114300" distR="114300">
            <wp:extent cx="5039995" cy="2510790"/>
            <wp:effectExtent l="0" t="0" r="1905" b="3810"/>
            <wp:docPr id="16" name="图片 16" descr="补充材料动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补充材料动物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988D7">
      <w:pPr>
        <w:spacing w:line="360" w:lineRule="auto"/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Fi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g. S1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Lateral views of the cranial region in SD rats at 3D, 5D, 7D, and 9D post-injection with CS/β-GP and CS/β-GP/ZIF-8@MH</w:t>
      </w:r>
    </w:p>
    <w:p w14:paraId="6B943011">
      <w:pPr>
        <w:ind w:left="0" w:leftChars="0" w:firstLine="0" w:firstLineChars="0"/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</w:pPr>
    </w:p>
    <w:p w14:paraId="3CE348F1">
      <w:pPr>
        <w:pStyle w:val="2"/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2.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10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 xml:space="preserve"> Rheological analysis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 of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GB"/>
        </w:rPr>
        <w:t>MH@ZIF-8/CS/β-GP</w:t>
      </w:r>
    </w:p>
    <w:p w14:paraId="2416F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jc w:val="both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The sol-gel transition behaviour of CS/β-GP and MH@ZIF-8/CS/β-GP hydrogels in a 37°C water bath environment was observed and recorded every 30 s (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Fig. S</w:t>
      </w:r>
      <w:r>
        <w:rPr>
          <w:rFonts w:hint="eastAsia" w:cs="Times New Roman"/>
          <w:highlight w:val="none"/>
          <w:lang w:val="en-US" w:eastAsia="zh-CN"/>
        </w:rPr>
        <w:t>11</w:t>
      </w:r>
      <w:r>
        <w:rPr>
          <w:rFonts w:hint="default" w:ascii="Times New Roman" w:hAnsi="Times New Roman" w:cs="Times New Roman"/>
          <w:highlight w:val="none"/>
        </w:rPr>
        <w:t>).</w:t>
      </w:r>
    </w:p>
    <w:p w14:paraId="7743A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eastAsia" w:ascii="Times New Roman" w:hAnsi="Times New Roman" w:eastAsia="宋体" w:cs="Times New Roman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5039995" cy="3663315"/>
            <wp:effectExtent l="0" t="0" r="1905" b="6985"/>
            <wp:docPr id="9" name="图片 9" descr="温敏实验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温敏实验_画板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86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  <w:lang w:val="en-US" w:eastAsia="zh-CN"/>
        </w:rPr>
      </w:pPr>
      <w:bookmarkStart w:id="9" w:name="_Ref197164232"/>
      <w:r>
        <w:rPr>
          <w:rFonts w:hint="default" w:ascii="Times New Roman" w:hAnsi="Times New Roman" w:cs="Times New Roman"/>
          <w:b/>
          <w:bCs/>
          <w:highlight w:val="none"/>
          <w:shd w:val="clear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shd w:val="clear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highlight w:val="none"/>
          <w:shd w:val="clear"/>
        </w:rPr>
        <w:t xml:space="preserve"> S</w:t>
      </w:r>
      <w:bookmarkEnd w:id="9"/>
      <w:r>
        <w:rPr>
          <w:rFonts w:hint="eastAsia" w:cs="Times New Roman"/>
          <w:b/>
          <w:bCs/>
          <w:highlight w:val="none"/>
          <w:shd w:val="clear"/>
          <w:lang w:val="en-US" w:eastAsia="zh-CN"/>
        </w:rPr>
        <w:t>11</w:t>
      </w:r>
      <w:r>
        <w:rPr>
          <w:rFonts w:hint="default" w:ascii="Times New Roman" w:hAnsi="Times New Roman" w:cs="Times New Roman"/>
          <w:b/>
          <w:bCs/>
          <w:highlight w:val="none"/>
          <w:shd w:val="clear"/>
          <w:lang w:val="en-US" w:eastAsia="zh-CN"/>
        </w:rPr>
        <w:t>.</w:t>
      </w:r>
      <w:bookmarkStart w:id="10" w:name="_Hlk195197427"/>
      <w:r>
        <w:rPr>
          <w:rFonts w:hint="eastAsia" w:cs="Times New Roman"/>
          <w:b w:val="0"/>
          <w:bCs w:val="0"/>
          <w:highlight w:val="none"/>
          <w:shd w:val="clear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highlight w:val="none"/>
        </w:rPr>
        <w:t>Thermoresponsive gelation behaviour of CS/β-GP and MH@ZIF-8/CS/β-GP hydrogels.</w:t>
      </w:r>
      <w:bookmarkEnd w:id="10"/>
      <w:r>
        <w:rPr>
          <w:rFonts w:hint="default" w:ascii="Times New Roman" w:hAnsi="Times New Roman" w:cs="Times New Roman"/>
          <w:highlight w:val="none"/>
        </w:rPr>
        <w:t xml:space="preserve"> (a) Sol-gel transition kinetics of CS/β-GP. (b) Sol-gel transition kinetics of MH@ZIF-8/CS/β-GP.</w:t>
      </w:r>
    </w:p>
    <w:p w14:paraId="3B4D9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drawing>
          <wp:inline distT="0" distB="0" distL="114300" distR="114300">
            <wp:extent cx="2879725" cy="2023110"/>
            <wp:effectExtent l="0" t="0" r="0" b="0"/>
            <wp:docPr id="14" name="图片 14" descr="振荡应变测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振荡应变测试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02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0F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Fig</w:t>
      </w:r>
      <w:r>
        <w:rPr>
          <w:rFonts w:hint="eastAsia" w:cs="Times New Roman"/>
          <w:b/>
          <w:bCs/>
          <w:highlight w:val="none"/>
          <w:lang w:val="en-US" w:eastAsia="zh-CN"/>
        </w:rPr>
        <w:t>. S12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Oscillatory strain test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of MH@ZIF-8/CS/β-GP hydrogel</w:t>
      </w:r>
    </w:p>
    <w:p w14:paraId="0EE73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0186E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677FCEF6">
      <w:pPr>
        <w:pStyle w:val="2"/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default" w:ascii="Times New Roman" w:hAnsi="Times New Roman" w:cs="Times New Roman"/>
          <w:kern w:val="2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2.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11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Adhesion of MH@ZIF-8/CS/β-GP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h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>ydrogel</w:t>
      </w:r>
    </w:p>
    <w:p w14:paraId="0B957070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240" w:firstLineChars="100"/>
        <w:jc w:val="center"/>
        <w:textAlignment w:val="baseline"/>
        <w:rPr>
          <w:rFonts w:hint="eastAsia" w:ascii="Times New Roman" w:hAnsi="Times New Roman" w:eastAsia="宋体" w:cs="Times New Roman"/>
          <w:kern w:val="2"/>
          <w:highlight w:val="none"/>
          <w:lang w:eastAsia="zh-CN" w:bidi="ar"/>
        </w:rPr>
      </w:pPr>
      <w:r>
        <w:rPr>
          <w:rFonts w:hint="eastAsia" w:ascii="Times New Roman" w:hAnsi="Times New Roman" w:eastAsia="宋体" w:cs="Times New Roman"/>
          <w:kern w:val="2"/>
          <w:highlight w:val="none"/>
          <w:lang w:eastAsia="zh-CN" w:bidi="ar"/>
        </w:rPr>
        <w:drawing>
          <wp:inline distT="0" distB="0" distL="114300" distR="114300">
            <wp:extent cx="2879725" cy="1985645"/>
            <wp:effectExtent l="0" t="0" r="0" b="0"/>
            <wp:docPr id="15" name="图片 15" descr="温度-粘度测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温度-粘度测试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D2395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baseline"/>
        <w:rPr>
          <w:rFonts w:hint="eastAsia" w:ascii="Times New Roman" w:hAnsi="Times New Roman" w:cs="Times New Roman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. S13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Temperature-viscosity test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of </w:t>
      </w:r>
      <w:r>
        <w:rPr>
          <w:rFonts w:hint="default" w:ascii="Times New Roman" w:hAnsi="Times New Roman" w:cs="Times New Roman"/>
          <w:highlight w:val="none"/>
        </w:rPr>
        <w:t>MH@ZIF-8/CS/β-GP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highlight w:val="none"/>
        </w:rPr>
        <w:t>hydrogel</w:t>
      </w:r>
    </w:p>
    <w:p w14:paraId="1C466165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baseline"/>
        <w:rPr>
          <w:rFonts w:hint="eastAsia" w:ascii="Times New Roman" w:hAnsi="Times New Roman" w:eastAsia="宋体" w:cs="Times New Roman"/>
          <w:kern w:val="2"/>
          <w:highlight w:val="none"/>
          <w:lang w:eastAsia="zh-CN" w:bidi="ar"/>
        </w:rPr>
      </w:pPr>
    </w:p>
    <w:p w14:paraId="3B8FCE26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baseline"/>
        <w:rPr>
          <w:rFonts w:hint="eastAsia" w:ascii="Times New Roman" w:hAnsi="Times New Roman" w:eastAsia="宋体" w:cs="Times New Roman"/>
          <w:kern w:val="2"/>
          <w:highlight w:val="none"/>
          <w:lang w:eastAsia="zh-CN" w:bidi="ar"/>
        </w:rPr>
      </w:pPr>
      <w:r>
        <w:rPr>
          <w:rFonts w:hint="eastAsia" w:ascii="Times New Roman" w:hAnsi="Times New Roman" w:eastAsia="宋体" w:cs="Times New Roman"/>
          <w:kern w:val="2"/>
          <w:highlight w:val="none"/>
          <w:lang w:eastAsia="zh-CN" w:bidi="ar"/>
        </w:rPr>
        <w:drawing>
          <wp:inline distT="0" distB="0" distL="114300" distR="114300">
            <wp:extent cx="5039995" cy="3302000"/>
            <wp:effectExtent l="0" t="0" r="1905" b="0"/>
            <wp:docPr id="8" name="图片 8" descr="粘附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粘附_画板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11BCB">
      <w:pPr>
        <w:pStyle w:val="31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Times New Roman" w:hAnsi="Times New Roman" w:cs="Times New Roman"/>
          <w:kern w:val="2"/>
          <w:highlight w:val="none"/>
          <w:lang w:bidi="ar"/>
        </w:rPr>
      </w:pPr>
      <w:bookmarkStart w:id="11" w:name="_Ref189069241"/>
      <w:r>
        <w:rPr>
          <w:rFonts w:hint="default" w:ascii="Times New Roman" w:hAnsi="Times New Roman" w:cs="Times New Roman"/>
          <w:b/>
          <w:bCs/>
          <w:highlight w:val="none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highlight w:val="none"/>
        </w:rPr>
        <w:t xml:space="preserve"> S</w:t>
      </w:r>
      <w:bookmarkEnd w:id="11"/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14</w:t>
      </w:r>
      <w:r>
        <w:rPr>
          <w:rFonts w:hint="default" w:ascii="Times New Roman" w:hAnsi="Times New Roman" w:cs="Times New Roman"/>
          <w:b/>
          <w:bCs/>
          <w:highlight w:val="none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Surface adhesion test of MH@ZIF-8/CS/β-GP hydrogel. (a) Two porcine skin samples and the hydrogel material were prepared; (b)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F</w:t>
      </w:r>
      <w:r>
        <w:rPr>
          <w:rFonts w:hint="default" w:ascii="Times New Roman" w:hAnsi="Times New Roman" w:cs="Times New Roman"/>
          <w:highlight w:val="none"/>
        </w:rPr>
        <w:t xml:space="preserve">inger pressure was applied to press the skin layers into contact with the hydrogel; (c)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/>
          <w:highlight w:val="none"/>
        </w:rPr>
        <w:t>he upper skin layer could be lifted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</w:t>
      </w:r>
    </w:p>
    <w:p w14:paraId="126CFDA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</w:pPr>
    </w:p>
    <w:p w14:paraId="122A8B6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</w:pPr>
    </w:p>
    <w:p w14:paraId="3B8A92F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</w:pPr>
    </w:p>
    <w:p w14:paraId="322E2E5E">
      <w:pPr>
        <w:pStyle w:val="2"/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2.1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Establishment of 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hronic 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p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eriodontitis 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odel in SD 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r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>ats</w:t>
      </w:r>
    </w:p>
    <w:p w14:paraId="30B58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jc w:val="both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 xml:space="preserve">Anaesthetized SD rats were secured in supine position on a dissection table. A dental explorer was used to separate the interproximal spaces around the maxillary second molars. A 3-0 cotton ligature was tied around the cervical region of the molars, followed by securing with 0.25mm-diameter ligature wire over the cotton to prevent coronal displacement. The wire was tightened palatally using needle holders and trimmed to 2mm. Starting 1 week post-ligation, Porphyromonas gingivalis (0.5 McFarland standard) was inoculated into the periodontal sulcus every 48 </w:t>
      </w:r>
      <w:r>
        <w:rPr>
          <w:rFonts w:hint="eastAsia" w:cs="Times New Roman"/>
          <w:highlight w:val="none"/>
          <w:lang w:val="en-US" w:eastAsia="zh-CN"/>
        </w:rPr>
        <w:t>h</w:t>
      </w:r>
      <w:r>
        <w:rPr>
          <w:rFonts w:hint="default" w:ascii="Times New Roman" w:hAnsi="Times New Roman" w:cs="Times New Roman"/>
          <w:highlight w:val="none"/>
        </w:rPr>
        <w:t xml:space="preserve"> for 2 weeks. Successful model establishment was confirmed by ligature removal, bleeding on probing (BOP+), and probing depth (PD) &gt;1mm (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Fig. S1</w:t>
      </w:r>
      <w:r>
        <w:rPr>
          <w:rFonts w:hint="eastAsia" w:cs="Times New Roman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highlight w:val="none"/>
        </w:rPr>
        <w:t>).</w:t>
      </w:r>
    </w:p>
    <w:p w14:paraId="1AD46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eastAsia" w:ascii="Times New Roman" w:hAnsi="Times New Roman" w:eastAsia="宋体" w:cs="Times New Roman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5039995" cy="1506220"/>
            <wp:effectExtent l="0" t="0" r="1905" b="5080"/>
            <wp:docPr id="10" name="图片 10" descr="牙周炎建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牙周炎建模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41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</w:rPr>
      </w:pPr>
      <w:bookmarkStart w:id="12" w:name="_Ref189069322"/>
      <w:r>
        <w:rPr>
          <w:rFonts w:hint="default" w:ascii="Times New Roman" w:hAnsi="Times New Roman" w:cs="Times New Roman"/>
          <w:b/>
          <w:bCs/>
          <w:highlight w:val="none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highlight w:val="none"/>
        </w:rPr>
        <w:t xml:space="preserve"> S</w:t>
      </w:r>
      <w:bookmarkEnd w:id="12"/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1</w:t>
      </w:r>
      <w:r>
        <w:rPr>
          <w:rFonts w:hint="eastAsia" w:cs="Times New Roman"/>
          <w:b/>
          <w:bCs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highlight w:val="none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Intraoperative photographs of chronic periodontitis model establishment in SD rats. (a) Preoperative view of the left maxilla. (b) Separation of mesiodistal spaces in the maxillary second molar. (c) 3-0 cotton ligature placement around the molar cervix. (d) 0.25mm-diameter ligature wire securing the cotton ligature at the cervical region.</w:t>
      </w:r>
    </w:p>
    <w:p w14:paraId="4A32D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</w:rPr>
      </w:pPr>
    </w:p>
    <w:p w14:paraId="199629DD">
      <w:pPr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Table 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lang w:val="en-US" w:eastAsia="zh-CN"/>
        </w:rPr>
        <w:t>S3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Clinical presentation of periodontitis model rats before and after treatment</w:t>
      </w:r>
    </w:p>
    <w:tbl>
      <w:tblPr>
        <w:tblStyle w:val="3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522"/>
        <w:gridCol w:w="1067"/>
        <w:gridCol w:w="1290"/>
        <w:gridCol w:w="1067"/>
        <w:gridCol w:w="1059"/>
        <w:gridCol w:w="2057"/>
      </w:tblGrid>
      <w:tr w14:paraId="648EC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tcBorders>
              <w:top w:val="single" w:color="auto" w:sz="12" w:space="0"/>
            </w:tcBorders>
          </w:tcPr>
          <w:p w14:paraId="5AB356A5"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Clinical</w:t>
            </w: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presentation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8" w:space="0"/>
            </w:tcBorders>
          </w:tcPr>
          <w:p w14:paraId="23599A9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Control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8" w:space="0"/>
            </w:tcBorders>
          </w:tcPr>
          <w:p w14:paraId="0890DCD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Periodontitis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8" w:space="0"/>
            </w:tcBorders>
          </w:tcPr>
          <w:p w14:paraId="79DEB84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PBS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8" w:space="0"/>
            </w:tcBorders>
          </w:tcPr>
          <w:p w14:paraId="2964609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CS/β-GP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8" w:space="0"/>
            </w:tcBorders>
          </w:tcPr>
          <w:p w14:paraId="759C3D4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MH@ZIF-8/CS/β-GP</w:t>
            </w:r>
          </w:p>
        </w:tc>
      </w:tr>
      <w:tr w14:paraId="0E823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auto" w:sz="8" w:space="0"/>
            </w:tcBorders>
            <w:vAlign w:val="center"/>
          </w:tcPr>
          <w:p w14:paraId="12B8AE3D"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Food impaction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 w14:paraId="00FD0AB6"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vAlign w:val="top"/>
          </w:tcPr>
          <w:p w14:paraId="5B45D011"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iCs/>
                <w:color w:val="auto"/>
                <w:kern w:val="2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 w14:paraId="32E46DE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100%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 w14:paraId="0271802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75.0%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 w14:paraId="6B73EFC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50.0%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 w14:paraId="0716BD3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37.5%</w:t>
            </w:r>
          </w:p>
        </w:tc>
      </w:tr>
      <w:tr w14:paraId="19258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</w:tcPr>
          <w:p w14:paraId="3BC50E0C">
            <w:pPr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 w14:paraId="38B49796"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No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7ABE9CE"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iCs/>
                <w:color w:val="auto"/>
                <w:kern w:val="2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100%</w:t>
            </w:r>
          </w:p>
        </w:tc>
        <w:tc>
          <w:tcPr>
            <w:tcW w:w="0" w:type="auto"/>
          </w:tcPr>
          <w:p w14:paraId="37D7D54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</w:tcPr>
          <w:p w14:paraId="71FF356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25.0%</w:t>
            </w:r>
          </w:p>
        </w:tc>
        <w:tc>
          <w:tcPr>
            <w:tcW w:w="0" w:type="auto"/>
          </w:tcPr>
          <w:p w14:paraId="5607D4A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50.0%</w:t>
            </w:r>
          </w:p>
        </w:tc>
        <w:tc>
          <w:tcPr>
            <w:tcW w:w="0" w:type="auto"/>
          </w:tcPr>
          <w:p w14:paraId="3639D04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62.5%</w:t>
            </w:r>
          </w:p>
        </w:tc>
      </w:tr>
      <w:tr w14:paraId="55E56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vAlign w:val="center"/>
          </w:tcPr>
          <w:p w14:paraId="5683A91A"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Gingival bleeding</w:t>
            </w:r>
          </w:p>
        </w:tc>
        <w:tc>
          <w:tcPr>
            <w:tcW w:w="0" w:type="auto"/>
          </w:tcPr>
          <w:p w14:paraId="3FDD1008"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Yes</w:t>
            </w:r>
          </w:p>
        </w:tc>
        <w:tc>
          <w:tcPr>
            <w:tcW w:w="0" w:type="auto"/>
          </w:tcPr>
          <w:p w14:paraId="0A5CB7F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</w:tcPr>
          <w:p w14:paraId="7F861D9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96.</w:t>
            </w: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%</w:t>
            </w:r>
          </w:p>
        </w:tc>
        <w:tc>
          <w:tcPr>
            <w:tcW w:w="0" w:type="auto"/>
          </w:tcPr>
          <w:p w14:paraId="2231604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87.5%</w:t>
            </w:r>
          </w:p>
        </w:tc>
        <w:tc>
          <w:tcPr>
            <w:tcW w:w="0" w:type="auto"/>
          </w:tcPr>
          <w:p w14:paraId="4E6BF76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62.5%</w:t>
            </w:r>
          </w:p>
        </w:tc>
        <w:tc>
          <w:tcPr>
            <w:tcW w:w="0" w:type="auto"/>
          </w:tcPr>
          <w:p w14:paraId="15825FB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25.0%</w:t>
            </w:r>
          </w:p>
        </w:tc>
      </w:tr>
      <w:tr w14:paraId="18CF5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</w:tcPr>
          <w:p w14:paraId="336CC4C3">
            <w:pPr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 w14:paraId="2297A163"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No</w:t>
            </w:r>
          </w:p>
        </w:tc>
        <w:tc>
          <w:tcPr>
            <w:tcW w:w="0" w:type="auto"/>
          </w:tcPr>
          <w:p w14:paraId="5C6B861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100%</w:t>
            </w:r>
          </w:p>
        </w:tc>
        <w:tc>
          <w:tcPr>
            <w:tcW w:w="0" w:type="auto"/>
          </w:tcPr>
          <w:p w14:paraId="013251B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3.1%</w:t>
            </w:r>
          </w:p>
        </w:tc>
        <w:tc>
          <w:tcPr>
            <w:tcW w:w="0" w:type="auto"/>
          </w:tcPr>
          <w:p w14:paraId="3593FBD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12.5%</w:t>
            </w:r>
          </w:p>
        </w:tc>
        <w:tc>
          <w:tcPr>
            <w:tcW w:w="0" w:type="auto"/>
          </w:tcPr>
          <w:p w14:paraId="5BFF911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37.5%</w:t>
            </w:r>
          </w:p>
        </w:tc>
        <w:tc>
          <w:tcPr>
            <w:tcW w:w="0" w:type="auto"/>
          </w:tcPr>
          <w:p w14:paraId="167137D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75.0%</w:t>
            </w:r>
          </w:p>
        </w:tc>
      </w:tr>
      <w:tr w14:paraId="6B3CC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tcBorders>
              <w:bottom w:val="single" w:color="auto" w:sz="12" w:space="0"/>
            </w:tcBorders>
            <w:vAlign w:val="top"/>
          </w:tcPr>
          <w:p w14:paraId="137C8EAD"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Probing depth (mm)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top"/>
          </w:tcPr>
          <w:p w14:paraId="4F7AFB8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0.21±0.03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top"/>
          </w:tcPr>
          <w:p w14:paraId="7AF33D1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1.14±0.16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top"/>
          </w:tcPr>
          <w:p w14:paraId="07453B0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0.89±0.18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top"/>
          </w:tcPr>
          <w:p w14:paraId="07B9E52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0.65±0.11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top"/>
          </w:tcPr>
          <w:p w14:paraId="2936E1F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0.32±0.05</w:t>
            </w:r>
          </w:p>
        </w:tc>
      </w:tr>
    </w:tbl>
    <w:p w14:paraId="3B5B3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</w:rPr>
      </w:pPr>
    </w:p>
    <w:p w14:paraId="79F43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</w:rPr>
      </w:pPr>
    </w:p>
    <w:p w14:paraId="423D2CCF">
      <w:pPr>
        <w:pStyle w:val="2"/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</w:pPr>
      <w:bookmarkStart w:id="14" w:name="_GoBack"/>
      <w:bookmarkEnd w:id="14"/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2.1</w:t>
      </w:r>
      <w:r>
        <w:rPr>
          <w:rFonts w:hint="eastAsia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In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v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ivo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iocompatibility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8"/>
          <w:szCs w:val="28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>nalysis of MH@ZIF-8/CS/β-GP</w:t>
      </w:r>
    </w:p>
    <w:p w14:paraId="36FBB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40" w:firstLineChars="100"/>
        <w:jc w:val="both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 xml:space="preserve">Tissue sections of heart, liver, spleen, lung, and kidney were harvested from all experimental SD rat groups for HE staining. Compared with the Control group </w:t>
      </w:r>
      <w:r>
        <w:rPr>
          <w:rFonts w:hint="default" w:ascii="Times New Roman" w:hAnsi="Times New Roman" w:cs="Times New Roman"/>
          <w:highlight w:val="none"/>
          <w:lang w:bidi="ar"/>
        </w:rPr>
        <w:t>(</w:t>
      </w:r>
      <w:r>
        <w:rPr>
          <w:rFonts w:hint="eastAsia" w:ascii="Times New Roman" w:hAnsi="Times New Roman" w:cs="Times New Roman"/>
          <w:highlight w:val="none"/>
          <w:lang w:val="en-US" w:eastAsia="zh-CN" w:bidi="ar"/>
        </w:rPr>
        <w:t>Fig. S1</w:t>
      </w:r>
      <w:r>
        <w:rPr>
          <w:rFonts w:hint="eastAsia" w:cs="Times New Roman"/>
          <w:highlight w:val="none"/>
          <w:lang w:val="en-US" w:eastAsia="zh-CN" w:bidi="ar"/>
        </w:rPr>
        <w:t>6</w:t>
      </w:r>
      <w:r>
        <w:rPr>
          <w:rFonts w:hint="default" w:ascii="Times New Roman" w:hAnsi="Times New Roman" w:cs="Times New Roman"/>
          <w:highlight w:val="none"/>
        </w:rPr>
        <w:t xml:space="preserve">), no significant pathological alterations were observed in vital organs of PBS, CS/β-GP, and MH@ZIF-8/CS/β-GP groups, confirming the non-toxic nature of MH@ZIF-8/CS/β-GP </w:t>
      </w:r>
      <w:r>
        <w:rPr>
          <w:rFonts w:hint="default" w:ascii="Times New Roman" w:hAnsi="Times New Roman" w:cs="Times New Roman"/>
          <w:i/>
          <w:iCs/>
          <w:highlight w:val="none"/>
        </w:rPr>
        <w:t>in vivo</w:t>
      </w:r>
      <w:r>
        <w:rPr>
          <w:rFonts w:hint="default" w:ascii="Times New Roman" w:hAnsi="Times New Roman" w:cs="Times New Roman"/>
          <w:highlight w:val="none"/>
        </w:rPr>
        <w:t>.</w:t>
      </w:r>
    </w:p>
    <w:p w14:paraId="65C27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eastAsia" w:ascii="Times New Roman" w:hAnsi="Times New Roman" w:eastAsia="宋体" w:cs="Times New Roman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5039995" cy="2630170"/>
            <wp:effectExtent l="0" t="0" r="1905" b="11430"/>
            <wp:docPr id="12" name="图片 12" descr="五脏HE-大论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五脏HE-大论文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6F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highlight w:val="none"/>
        </w:rPr>
      </w:pPr>
      <w:bookmarkStart w:id="13" w:name="_Ref189069339"/>
      <w:r>
        <w:rPr>
          <w:rFonts w:hint="default" w:ascii="Times New Roman" w:hAnsi="Times New Roman" w:cs="Times New Roman"/>
          <w:b/>
          <w:bCs/>
          <w:highlight w:val="none"/>
        </w:rPr>
        <w:t>Fig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highlight w:val="none"/>
        </w:rPr>
        <w:t xml:space="preserve"> S</w:t>
      </w:r>
      <w:bookmarkEnd w:id="13"/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1</w:t>
      </w:r>
      <w:r>
        <w:rPr>
          <w:rFonts w:hint="eastAsia" w:cs="Times New Roman"/>
          <w:b/>
          <w:bCs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highlight w:val="none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HE staining of vital organs in SD rats from Control, PBS, CS/β-GP, and MH@ZIF-8/CS/β-GP groups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highlight w:val="none"/>
        </w:rPr>
        <w:t xml:space="preserve">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highlight w:val="none"/>
        </w:rPr>
        <w:t>a, f, k, p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)</w:t>
      </w:r>
      <w:r>
        <w:rPr>
          <w:rFonts w:hint="default" w:ascii="Times New Roman" w:hAnsi="Times New Roman" w:cs="Times New Roman"/>
          <w:highlight w:val="none"/>
        </w:rPr>
        <w:t xml:space="preserve"> Heart;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highlight w:val="none"/>
        </w:rPr>
        <w:t xml:space="preserve">b, </w:t>
      </w:r>
      <w:r>
        <w:rPr>
          <w:rFonts w:hint="eastAsia" w:cs="Times New Roman"/>
          <w:highlight w:val="none"/>
          <w:lang w:val="en-US" w:eastAsia="zh-CN"/>
        </w:rPr>
        <w:t>g</w:t>
      </w:r>
      <w:r>
        <w:rPr>
          <w:rFonts w:hint="default" w:ascii="Times New Roman" w:hAnsi="Times New Roman" w:cs="Times New Roman"/>
          <w:highlight w:val="none"/>
        </w:rPr>
        <w:t>, l, q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)</w:t>
      </w:r>
      <w:r>
        <w:rPr>
          <w:rFonts w:hint="default" w:ascii="Times New Roman" w:hAnsi="Times New Roman" w:cs="Times New Roman"/>
          <w:highlight w:val="none"/>
        </w:rPr>
        <w:t xml:space="preserve"> Liver;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highlight w:val="none"/>
        </w:rPr>
        <w:t>c, h, m, r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)</w:t>
      </w:r>
      <w:r>
        <w:rPr>
          <w:rFonts w:hint="default" w:ascii="Times New Roman" w:hAnsi="Times New Roman" w:cs="Times New Roman"/>
          <w:highlight w:val="none"/>
        </w:rPr>
        <w:t xml:space="preserve"> Spleen;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highlight w:val="none"/>
        </w:rPr>
        <w:t>d, i, n, s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)</w:t>
      </w:r>
      <w:r>
        <w:rPr>
          <w:rFonts w:hint="default" w:ascii="Times New Roman" w:hAnsi="Times New Roman" w:cs="Times New Roman"/>
          <w:highlight w:val="none"/>
        </w:rPr>
        <w:t xml:space="preserve"> Lung;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highlight w:val="none"/>
        </w:rPr>
        <w:t>e, j, o, t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)</w:t>
      </w:r>
      <w:r>
        <w:rPr>
          <w:rFonts w:hint="default" w:ascii="Times New Roman" w:hAnsi="Times New Roman" w:cs="Times New Roman"/>
          <w:highlight w:val="none"/>
        </w:rPr>
        <w:t xml:space="preserve"> Kidney.</w:t>
      </w:r>
    </w:p>
    <w:p w14:paraId="7DE38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ingFang S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6AEB0">
    <w:pPr>
      <w:pStyle w:val="2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54999">
    <w:pPr>
      <w:pStyle w:val="2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D6CDE">
    <w:pPr>
      <w:pStyle w:val="2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C3960">
    <w:pPr>
      <w:pStyle w:val="2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7D0A2">
    <w:pPr>
      <w:pStyle w:val="2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EAC32">
    <w:pPr>
      <w:pStyle w:val="2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AB5CC4"/>
    <w:multiLevelType w:val="multilevel"/>
    <w:tmpl w:val="12AB5CC4"/>
    <w:lvl w:ilvl="0" w:tentative="0">
      <w:start w:val="1"/>
      <w:numFmt w:val="decimal"/>
      <w:pStyle w:val="58"/>
      <w:suff w:val="space"/>
      <w:lvlText w:val="%1."/>
      <w:lvlJc w:val="left"/>
      <w:pPr>
        <w:ind w:left="440" w:hanging="440"/>
      </w:pPr>
      <w:rPr>
        <w:rFonts w:hint="eastAsia"/>
      </w:rPr>
    </w:lvl>
    <w:lvl w:ilvl="1" w:tentative="0">
      <w:start w:val="1"/>
      <w:numFmt w:val="decimal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EBC4190"/>
    <w:multiLevelType w:val="multilevel"/>
    <w:tmpl w:val="1EBC4190"/>
    <w:lvl w:ilvl="0" w:tentative="0">
      <w:start w:val="1"/>
      <w:numFmt w:val="decimal"/>
      <w:pStyle w:val="2"/>
      <w:suff w:val="space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2" w:tentative="0">
      <w:start w:val="1"/>
      <w:numFmt w:val="decimal"/>
      <w:pStyle w:val="6"/>
      <w:isLgl/>
      <w:suff w:val="space"/>
      <w:lvlText w:val="%1.%2.%3"/>
      <w:lvlJc w:val="left"/>
      <w:pPr>
        <w:ind w:left="0" w:firstLine="0"/>
      </w:pPr>
      <w:rPr>
        <w:rFonts w:hint="default" w:ascii="Times New Roman" w:hAnsi="Times New Roman" w:eastAsia="宋体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2">
    <w:nsid w:val="29C35825"/>
    <w:multiLevelType w:val="multilevel"/>
    <w:tmpl w:val="29C35825"/>
    <w:lvl w:ilvl="0" w:tentative="0">
      <w:start w:val="1"/>
      <w:numFmt w:val="japaneseCounting"/>
      <w:suff w:val="space"/>
      <w:lvlText w:val="第%1章"/>
      <w:lvlJc w:val="center"/>
      <w:pPr>
        <w:ind w:left="1134" w:firstLine="846"/>
      </w:pPr>
      <w:rPr>
        <w:rFonts w:ascii="Times New Roman" w:hAnsi="Times New Roman" w:eastAsia="Times New Roman" w:cs="Times New Roman"/>
      </w:rPr>
    </w:lvl>
    <w:lvl w:ilvl="1" w:tentative="0">
      <w:start w:val="1"/>
      <w:numFmt w:val="decimal"/>
      <w:isLgl/>
      <w:suff w:val="space"/>
      <w:lvlText w:val="%1"/>
      <w:lvlJc w:val="left"/>
      <w:pPr>
        <w:ind w:left="1314" w:hanging="1134"/>
      </w:pPr>
      <w:rPr>
        <w:rFonts w:hint="eastAsia"/>
      </w:rPr>
    </w:lvl>
    <w:lvl w:ilvl="2" w:tentative="0">
      <w:start w:val="1"/>
      <w:numFmt w:val="decimal"/>
      <w:isLgl/>
      <w:suff w:val="space"/>
      <w:lvlText w:val="%1"/>
      <w:lvlJc w:val="left"/>
      <w:pPr>
        <w:ind w:left="1134" w:hanging="1134"/>
      </w:pPr>
      <w:rPr>
        <w:rFonts w:hint="eastAsia"/>
      </w:rPr>
    </w:lvl>
    <w:lvl w:ilvl="3" w:tentative="0">
      <w:start w:val="1"/>
      <w:numFmt w:val="decimal"/>
      <w:pStyle w:val="7"/>
      <w:isLgl/>
      <w:suff w:val="space"/>
      <w:lvlText w:val="%1.%2.%3.%4"/>
      <w:lvlJc w:val="left"/>
      <w:pPr>
        <w:ind w:left="1980" w:firstLine="0"/>
      </w:pPr>
      <w:rPr>
        <w:rFonts w:hint="eastAsia"/>
        <w:b w:val="0"/>
        <w:i w:val="0"/>
        <w:sz w:val="21"/>
        <w:szCs w:val="21"/>
      </w:rPr>
    </w:lvl>
    <w:lvl w:ilvl="4" w:tentative="0">
      <w:start w:val="1"/>
      <w:numFmt w:val="decimal"/>
      <w:lvlRestart w:val="1"/>
      <w:isLgl/>
      <w:suff w:val="nothing"/>
      <w:lvlText w:val="图%1-%5"/>
      <w:lvlJc w:val="center"/>
      <w:pPr>
        <w:ind w:left="1980" w:firstLine="0"/>
      </w:pPr>
      <w:rPr>
        <w:rFonts w:hint="default" w:ascii="Times New Roman" w:hAnsi="Times New Roman" w:eastAsia="宋体"/>
        <w:b w:val="0"/>
        <w:i w:val="0"/>
        <w:sz w:val="21"/>
        <w:szCs w:val="21"/>
      </w:rPr>
    </w:lvl>
    <w:lvl w:ilvl="5" w:tentative="0">
      <w:start w:val="1"/>
      <w:numFmt w:val="decimal"/>
      <w:lvlRestart w:val="1"/>
      <w:pStyle w:val="9"/>
      <w:isLgl/>
      <w:suff w:val="space"/>
      <w:lvlText w:val="Fig.%1-%6"/>
      <w:lvlJc w:val="center"/>
      <w:pPr>
        <w:ind w:left="1980" w:firstLine="0"/>
      </w:pPr>
      <w:rPr>
        <w:rFonts w:hint="default" w:ascii="Times New Roman" w:hAnsi="Times New Roman" w:eastAsia="宋体"/>
        <w:b w:val="0"/>
        <w:i w:val="0"/>
        <w:sz w:val="21"/>
        <w:szCs w:val="21"/>
      </w:rPr>
    </w:lvl>
    <w:lvl w:ilvl="6" w:tentative="0">
      <w:start w:val="1"/>
      <w:numFmt w:val="decimal"/>
      <w:lvlRestart w:val="1"/>
      <w:isLgl/>
      <w:suff w:val="space"/>
      <w:lvlText w:val="表%1-%7"/>
      <w:lvlJc w:val="center"/>
      <w:pPr>
        <w:ind w:left="1980" w:firstLine="0"/>
      </w:pPr>
      <w:rPr>
        <w:rFonts w:hint="default" w:ascii="Times New Roman" w:hAnsi="Times New Roman" w:eastAsia="宋体"/>
        <w:b w:val="0"/>
        <w:i w:val="0"/>
        <w:sz w:val="21"/>
        <w:szCs w:val="21"/>
      </w:rPr>
    </w:lvl>
    <w:lvl w:ilvl="7" w:tentative="0">
      <w:start w:val="1"/>
      <w:numFmt w:val="decimal"/>
      <w:lvlRestart w:val="1"/>
      <w:pStyle w:val="11"/>
      <w:isLgl/>
      <w:suff w:val="space"/>
      <w:lvlText w:val="Table%1-%8"/>
      <w:lvlJc w:val="center"/>
      <w:pPr>
        <w:ind w:left="1980" w:firstLine="0"/>
      </w:pPr>
      <w:rPr>
        <w:rFonts w:hint="default" w:ascii="Times New Roman" w:hAnsi="Times New Roman" w:eastAsia="宋体"/>
        <w:b w:val="0"/>
        <w:i w:val="0"/>
        <w:caps w:val="0"/>
        <w:strike w:val="0"/>
        <w:dstrike w:val="0"/>
        <w:vanish w:val="0"/>
        <w:color w:val="000000"/>
        <w:sz w:val="21"/>
        <w:szCs w:val="21"/>
        <w:vertAlign w:val="baseline"/>
        <w14:shadow w14:blurRad="0" w14:dist="0" w14:dir="0" w14:sx="0" w14:sy="0" w14:kx="0" w14:ky="0" w14:algn="none">
          <w14:srgbClr w14:val="000000"/>
        </w14:shadow>
      </w:rPr>
    </w:lvl>
    <w:lvl w:ilvl="8" w:tentative="0">
      <w:start w:val="1"/>
      <w:numFmt w:val="none"/>
      <w:pStyle w:val="12"/>
      <w:suff w:val="nothing"/>
      <w:lvlText w:val=""/>
      <w:lvlJc w:val="center"/>
      <w:pPr>
        <w:ind w:left="1980" w:firstLine="0"/>
      </w:pPr>
      <w:rPr>
        <w:rFonts w:hint="default" w:ascii="Times New Roman" w:hAnsi="Times New Roman" w:eastAsia="宋体"/>
        <w:b/>
        <w:i w:val="0"/>
        <w:sz w:val="32"/>
        <w:szCs w:val="32"/>
      </w:rPr>
    </w:lvl>
  </w:abstractNum>
  <w:abstractNum w:abstractNumId="3">
    <w:nsid w:val="5BF04C0F"/>
    <w:multiLevelType w:val="multilevel"/>
    <w:tmpl w:val="5BF04C0F"/>
    <w:lvl w:ilvl="0" w:tentative="0">
      <w:start w:val="1"/>
      <w:numFmt w:val="decimal"/>
      <w:pStyle w:val="60"/>
      <w:suff w:val="space"/>
      <w:lvlText w:val="%1)"/>
      <w:lvlJc w:val="left"/>
      <w:pPr>
        <w:ind w:left="86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4">
    <w:nsid w:val="6CEA2025"/>
    <w:multiLevelType w:val="multilevel"/>
    <w:tmpl w:val="6CEA2025"/>
    <w:lvl w:ilvl="0" w:tentative="0">
      <w:start w:val="1"/>
      <w:numFmt w:val="none"/>
      <w:pStyle w:val="68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5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pStyle w:val="4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73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76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79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74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B30E7B"/>
    <w:rsid w:val="00002959"/>
    <w:rsid w:val="00011663"/>
    <w:rsid w:val="00012B94"/>
    <w:rsid w:val="000155EC"/>
    <w:rsid w:val="0001560B"/>
    <w:rsid w:val="00041AC5"/>
    <w:rsid w:val="0004236C"/>
    <w:rsid w:val="0005066A"/>
    <w:rsid w:val="0005313D"/>
    <w:rsid w:val="000546EC"/>
    <w:rsid w:val="00066E19"/>
    <w:rsid w:val="000731D2"/>
    <w:rsid w:val="00094E91"/>
    <w:rsid w:val="000A64A6"/>
    <w:rsid w:val="000B1278"/>
    <w:rsid w:val="000E0D24"/>
    <w:rsid w:val="00110A4C"/>
    <w:rsid w:val="00123362"/>
    <w:rsid w:val="00142248"/>
    <w:rsid w:val="0014263A"/>
    <w:rsid w:val="001742F7"/>
    <w:rsid w:val="00182149"/>
    <w:rsid w:val="001A19FB"/>
    <w:rsid w:val="001D6FB4"/>
    <w:rsid w:val="001D7438"/>
    <w:rsid w:val="001E1760"/>
    <w:rsid w:val="001E69D4"/>
    <w:rsid w:val="00217C0F"/>
    <w:rsid w:val="00233CCE"/>
    <w:rsid w:val="00234C66"/>
    <w:rsid w:val="002542EB"/>
    <w:rsid w:val="00264638"/>
    <w:rsid w:val="002869F9"/>
    <w:rsid w:val="002A71B1"/>
    <w:rsid w:val="002E29FF"/>
    <w:rsid w:val="002E66DD"/>
    <w:rsid w:val="00316AB1"/>
    <w:rsid w:val="003210C9"/>
    <w:rsid w:val="00321624"/>
    <w:rsid w:val="00330C59"/>
    <w:rsid w:val="00340AEF"/>
    <w:rsid w:val="003441A7"/>
    <w:rsid w:val="00353777"/>
    <w:rsid w:val="00374718"/>
    <w:rsid w:val="00386DFB"/>
    <w:rsid w:val="003B33C0"/>
    <w:rsid w:val="00420F0B"/>
    <w:rsid w:val="004320EB"/>
    <w:rsid w:val="004324B5"/>
    <w:rsid w:val="00434696"/>
    <w:rsid w:val="00461735"/>
    <w:rsid w:val="0046253B"/>
    <w:rsid w:val="00484EB5"/>
    <w:rsid w:val="00490959"/>
    <w:rsid w:val="004C1584"/>
    <w:rsid w:val="004E5A5F"/>
    <w:rsid w:val="00510F01"/>
    <w:rsid w:val="00516328"/>
    <w:rsid w:val="00535E11"/>
    <w:rsid w:val="00550437"/>
    <w:rsid w:val="005513FE"/>
    <w:rsid w:val="005564DD"/>
    <w:rsid w:val="00586120"/>
    <w:rsid w:val="005B5CE0"/>
    <w:rsid w:val="005D2414"/>
    <w:rsid w:val="005D7354"/>
    <w:rsid w:val="005E7ED8"/>
    <w:rsid w:val="005F03FC"/>
    <w:rsid w:val="006077FB"/>
    <w:rsid w:val="00611534"/>
    <w:rsid w:val="006309BB"/>
    <w:rsid w:val="00664C0A"/>
    <w:rsid w:val="0067188C"/>
    <w:rsid w:val="00676CE5"/>
    <w:rsid w:val="00692F7A"/>
    <w:rsid w:val="006D0F03"/>
    <w:rsid w:val="006E5493"/>
    <w:rsid w:val="0071180F"/>
    <w:rsid w:val="00713F61"/>
    <w:rsid w:val="00757326"/>
    <w:rsid w:val="00786849"/>
    <w:rsid w:val="007A357D"/>
    <w:rsid w:val="007B17AB"/>
    <w:rsid w:val="007C2A4C"/>
    <w:rsid w:val="007D1C7D"/>
    <w:rsid w:val="007D344D"/>
    <w:rsid w:val="007E055F"/>
    <w:rsid w:val="008212D7"/>
    <w:rsid w:val="0083375F"/>
    <w:rsid w:val="0085328E"/>
    <w:rsid w:val="008862F9"/>
    <w:rsid w:val="00897A0E"/>
    <w:rsid w:val="008B425E"/>
    <w:rsid w:val="008D1C46"/>
    <w:rsid w:val="00934D1E"/>
    <w:rsid w:val="0095088D"/>
    <w:rsid w:val="0095217F"/>
    <w:rsid w:val="009637CE"/>
    <w:rsid w:val="00967A7D"/>
    <w:rsid w:val="00984BF0"/>
    <w:rsid w:val="009A5BA9"/>
    <w:rsid w:val="009D7A9E"/>
    <w:rsid w:val="00A4069C"/>
    <w:rsid w:val="00A424D7"/>
    <w:rsid w:val="00A77767"/>
    <w:rsid w:val="00A91395"/>
    <w:rsid w:val="00AD4293"/>
    <w:rsid w:val="00B24D58"/>
    <w:rsid w:val="00B32E64"/>
    <w:rsid w:val="00B56FFE"/>
    <w:rsid w:val="00B83947"/>
    <w:rsid w:val="00BA07B8"/>
    <w:rsid w:val="00BA3568"/>
    <w:rsid w:val="00BA518C"/>
    <w:rsid w:val="00BB2E49"/>
    <w:rsid w:val="00BF6ECE"/>
    <w:rsid w:val="00C10E04"/>
    <w:rsid w:val="00C17B57"/>
    <w:rsid w:val="00CA1BCF"/>
    <w:rsid w:val="00CC0BB9"/>
    <w:rsid w:val="00CC549D"/>
    <w:rsid w:val="00CD5878"/>
    <w:rsid w:val="00CF4C5A"/>
    <w:rsid w:val="00D03E3F"/>
    <w:rsid w:val="00D057B7"/>
    <w:rsid w:val="00D10F61"/>
    <w:rsid w:val="00D44425"/>
    <w:rsid w:val="00D46A49"/>
    <w:rsid w:val="00D5307A"/>
    <w:rsid w:val="00D70BAF"/>
    <w:rsid w:val="00D72AD2"/>
    <w:rsid w:val="00D945C7"/>
    <w:rsid w:val="00DD5900"/>
    <w:rsid w:val="00DE3D5D"/>
    <w:rsid w:val="00DE502F"/>
    <w:rsid w:val="00DF25B0"/>
    <w:rsid w:val="00E019A2"/>
    <w:rsid w:val="00E078BD"/>
    <w:rsid w:val="00E23840"/>
    <w:rsid w:val="00E45469"/>
    <w:rsid w:val="00E60E20"/>
    <w:rsid w:val="00E955CA"/>
    <w:rsid w:val="00EA3083"/>
    <w:rsid w:val="00EB0A1E"/>
    <w:rsid w:val="00F00001"/>
    <w:rsid w:val="00F01CF8"/>
    <w:rsid w:val="00F3687F"/>
    <w:rsid w:val="00F47574"/>
    <w:rsid w:val="00F83904"/>
    <w:rsid w:val="00F954A6"/>
    <w:rsid w:val="00FB447C"/>
    <w:rsid w:val="00FB6EB6"/>
    <w:rsid w:val="00FE3100"/>
    <w:rsid w:val="00FF4F44"/>
    <w:rsid w:val="04E56085"/>
    <w:rsid w:val="0A895142"/>
    <w:rsid w:val="116569FB"/>
    <w:rsid w:val="12632648"/>
    <w:rsid w:val="184B42B5"/>
    <w:rsid w:val="1A9A6BDF"/>
    <w:rsid w:val="1C1222ED"/>
    <w:rsid w:val="20E8049E"/>
    <w:rsid w:val="2188775C"/>
    <w:rsid w:val="22343D5C"/>
    <w:rsid w:val="257E2405"/>
    <w:rsid w:val="264C3DEC"/>
    <w:rsid w:val="30E63FB0"/>
    <w:rsid w:val="32AF47C2"/>
    <w:rsid w:val="343E72EC"/>
    <w:rsid w:val="3A280371"/>
    <w:rsid w:val="3B2878B9"/>
    <w:rsid w:val="3B350C7F"/>
    <w:rsid w:val="3BB30E7B"/>
    <w:rsid w:val="3E8F4FE3"/>
    <w:rsid w:val="40812FE1"/>
    <w:rsid w:val="46AC4675"/>
    <w:rsid w:val="498A1FF1"/>
    <w:rsid w:val="4A8E1C25"/>
    <w:rsid w:val="4EFF7F22"/>
    <w:rsid w:val="4F756840"/>
    <w:rsid w:val="5653347F"/>
    <w:rsid w:val="5D3A69D3"/>
    <w:rsid w:val="5D5F468B"/>
    <w:rsid w:val="5DF83584"/>
    <w:rsid w:val="5FB07944"/>
    <w:rsid w:val="63433366"/>
    <w:rsid w:val="67DC01B4"/>
    <w:rsid w:val="6C7F6B27"/>
    <w:rsid w:val="6F8416CA"/>
    <w:rsid w:val="727234FC"/>
    <w:rsid w:val="751466C5"/>
    <w:rsid w:val="76B809B3"/>
    <w:rsid w:val="7C3C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47"/>
    <w:qFormat/>
    <w:uiPriority w:val="0"/>
    <w:pPr>
      <w:keepNext/>
      <w:keepLines/>
      <w:numPr>
        <w:ilvl w:val="0"/>
        <w:numId w:val="1"/>
      </w:numPr>
      <w:spacing w:before="240" w:after="120"/>
      <w:ind w:firstLineChars="0"/>
      <w:jc w:val="left"/>
      <w:outlineLvl w:val="0"/>
    </w:pPr>
    <w:rPr>
      <w:rFonts w:eastAsia="黑体"/>
      <w:b/>
      <w:bCs/>
      <w:kern w:val="44"/>
      <w:sz w:val="32"/>
      <w:szCs w:val="32"/>
    </w:rPr>
  </w:style>
  <w:style w:type="paragraph" w:styleId="3">
    <w:name w:val="heading 2"/>
    <w:basedOn w:val="4"/>
    <w:next w:val="1"/>
    <w:link w:val="48"/>
    <w:qFormat/>
    <w:uiPriority w:val="0"/>
    <w:pPr>
      <w:keepNext/>
      <w:keepLines/>
      <w:numPr>
        <w:ilvl w:val="1"/>
        <w:numId w:val="1"/>
      </w:numPr>
      <w:snapToGrid w:val="0"/>
      <w:spacing w:before="240" w:after="120"/>
      <w:outlineLvl w:val="1"/>
    </w:pPr>
    <w:rPr>
      <w:bCs/>
      <w:sz w:val="28"/>
      <w:szCs w:val="32"/>
      <w:lang w:val="en-GB"/>
    </w:rPr>
  </w:style>
  <w:style w:type="paragraph" w:styleId="6">
    <w:name w:val="heading 3"/>
    <w:basedOn w:val="1"/>
    <w:next w:val="1"/>
    <w:link w:val="40"/>
    <w:qFormat/>
    <w:uiPriority w:val="0"/>
    <w:pPr>
      <w:keepNext/>
      <w:keepLines/>
      <w:numPr>
        <w:ilvl w:val="2"/>
        <w:numId w:val="1"/>
      </w:numPr>
      <w:spacing w:before="240" w:after="120"/>
      <w:ind w:firstLineChars="0"/>
      <w:jc w:val="left"/>
      <w:outlineLvl w:val="2"/>
    </w:pPr>
    <w:rPr>
      <w:rFonts w:eastAsia="黑体"/>
      <w:bCs/>
      <w:szCs w:val="21"/>
    </w:rPr>
  </w:style>
  <w:style w:type="paragraph" w:styleId="7">
    <w:name w:val="heading 4"/>
    <w:basedOn w:val="1"/>
    <w:next w:val="1"/>
    <w:link w:val="49"/>
    <w:qFormat/>
    <w:uiPriority w:val="0"/>
    <w:pPr>
      <w:keepNext/>
      <w:keepLines/>
      <w:numPr>
        <w:ilvl w:val="3"/>
        <w:numId w:val="2"/>
      </w:numPr>
      <w:spacing w:before="120" w:after="120"/>
      <w:ind w:firstLineChars="0"/>
      <w:jc w:val="left"/>
      <w:outlineLvl w:val="3"/>
    </w:pPr>
    <w:rPr>
      <w:rFonts w:eastAsia="黑体"/>
      <w:bCs/>
      <w:szCs w:val="28"/>
    </w:rPr>
  </w:style>
  <w:style w:type="paragraph" w:styleId="8">
    <w:name w:val="heading 5"/>
    <w:basedOn w:val="1"/>
    <w:next w:val="1"/>
    <w:link w:val="50"/>
    <w:qFormat/>
    <w:uiPriority w:val="0"/>
    <w:pPr>
      <w:keepNext/>
      <w:keepLines/>
      <w:spacing w:before="50" w:beforeLines="50"/>
      <w:ind w:firstLine="0" w:firstLineChars="0"/>
      <w:jc w:val="center"/>
      <w:outlineLvl w:val="4"/>
    </w:pPr>
    <w:rPr>
      <w:bCs/>
      <w:szCs w:val="21"/>
    </w:rPr>
  </w:style>
  <w:style w:type="paragraph" w:styleId="9">
    <w:name w:val="heading 6"/>
    <w:basedOn w:val="1"/>
    <w:next w:val="1"/>
    <w:link w:val="51"/>
    <w:qFormat/>
    <w:uiPriority w:val="0"/>
    <w:pPr>
      <w:keepNext/>
      <w:keepLines/>
      <w:numPr>
        <w:ilvl w:val="5"/>
        <w:numId w:val="2"/>
      </w:numPr>
      <w:spacing w:after="100" w:afterLines="100"/>
      <w:ind w:firstLineChars="0"/>
      <w:jc w:val="center"/>
      <w:outlineLvl w:val="5"/>
    </w:pPr>
    <w:rPr>
      <w:rFonts w:eastAsia="楷体_GB2312"/>
      <w:bCs/>
    </w:rPr>
  </w:style>
  <w:style w:type="paragraph" w:styleId="10">
    <w:name w:val="heading 7"/>
    <w:basedOn w:val="1"/>
    <w:next w:val="1"/>
    <w:link w:val="52"/>
    <w:qFormat/>
    <w:uiPriority w:val="0"/>
    <w:pPr>
      <w:keepNext/>
      <w:keepLines/>
      <w:spacing w:before="240" w:after="120" w:line="240" w:lineRule="auto"/>
      <w:ind w:firstLine="0" w:firstLineChars="0"/>
      <w:jc w:val="center"/>
      <w:outlineLvl w:val="6"/>
    </w:pPr>
    <w:rPr>
      <w:bCs/>
      <w:sz w:val="21"/>
      <w:szCs w:val="32"/>
    </w:rPr>
  </w:style>
  <w:style w:type="paragraph" w:styleId="11">
    <w:name w:val="heading 8"/>
    <w:basedOn w:val="1"/>
    <w:next w:val="1"/>
    <w:link w:val="53"/>
    <w:autoRedefine/>
    <w:qFormat/>
    <w:uiPriority w:val="0"/>
    <w:pPr>
      <w:keepNext/>
      <w:keepLines/>
      <w:numPr>
        <w:ilvl w:val="7"/>
        <w:numId w:val="2"/>
      </w:numPr>
      <w:spacing w:after="156" w:afterLines="50"/>
      <w:ind w:firstLineChars="0"/>
      <w:jc w:val="center"/>
      <w:outlineLvl w:val="7"/>
    </w:pPr>
    <w:rPr>
      <w:color w:val="000000"/>
      <w:szCs w:val="21"/>
    </w:rPr>
  </w:style>
  <w:style w:type="paragraph" w:styleId="12">
    <w:name w:val="heading 9"/>
    <w:basedOn w:val="1"/>
    <w:next w:val="1"/>
    <w:link w:val="54"/>
    <w:qFormat/>
    <w:uiPriority w:val="0"/>
    <w:pPr>
      <w:keepNext/>
      <w:keepLines/>
      <w:numPr>
        <w:ilvl w:val="8"/>
        <w:numId w:val="2"/>
      </w:numPr>
      <w:spacing w:before="360" w:after="240" w:line="600" w:lineRule="auto"/>
      <w:jc w:val="center"/>
      <w:outlineLvl w:val="8"/>
    </w:pPr>
    <w:rPr>
      <w:rFonts w:eastAsia="黑体"/>
      <w:b/>
      <w:sz w:val="32"/>
      <w:szCs w:val="21"/>
    </w:rPr>
  </w:style>
  <w:style w:type="character" w:default="1" w:styleId="35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二级条标题"/>
    <w:basedOn w:val="5"/>
    <w:next w:val="1"/>
    <w:qFormat/>
    <w:uiPriority w:val="0"/>
    <w:pPr>
      <w:numPr>
        <w:ilvl w:val="2"/>
      </w:numPr>
      <w:outlineLvl w:val="3"/>
    </w:pPr>
  </w:style>
  <w:style w:type="paragraph" w:customStyle="1" w:styleId="5">
    <w:name w:val="一级条标题"/>
    <w:next w:val="1"/>
    <w:qFormat/>
    <w:uiPriority w:val="0"/>
    <w:pPr>
      <w:numPr>
        <w:ilvl w:val="1"/>
        <w:numId w:val="3"/>
      </w:numPr>
      <w:outlineLvl w:val="2"/>
    </w:pPr>
    <w:rPr>
      <w:rFonts w:ascii="Times New Roman" w:hAnsi="Times New Roman" w:eastAsia="黑体" w:cs="Times New Roman"/>
      <w:sz w:val="21"/>
      <w:lang w:val="en-US" w:eastAsia="zh-CN" w:bidi="ar-SA"/>
      <w14:ligatures w14:val="standardContextual"/>
    </w:rPr>
  </w:style>
  <w:style w:type="paragraph" w:styleId="13">
    <w:name w:val="toc 7"/>
    <w:basedOn w:val="1"/>
    <w:next w:val="1"/>
    <w:autoRedefine/>
    <w:unhideWhenUsed/>
    <w:qFormat/>
    <w:uiPriority w:val="39"/>
    <w:pPr>
      <w:spacing w:line="240" w:lineRule="auto"/>
      <w:ind w:left="2520" w:leftChars="1200" w:firstLine="0" w:firstLineChars="0"/>
    </w:pPr>
    <w:rPr>
      <w:rFonts w:asciiTheme="minorHAnsi" w:hAnsiTheme="minorHAnsi" w:eastAsiaTheme="minorEastAsia" w:cstheme="minorBidi"/>
      <w:sz w:val="21"/>
      <w:szCs w:val="22"/>
    </w:rPr>
  </w:style>
  <w:style w:type="paragraph" w:styleId="14">
    <w:name w:val="caption"/>
    <w:basedOn w:val="15"/>
    <w:next w:val="1"/>
    <w:autoRedefine/>
    <w:unhideWhenUsed/>
    <w:qFormat/>
    <w:uiPriority w:val="0"/>
    <w:pPr>
      <w:tabs>
        <w:tab w:val="left" w:pos="5040"/>
      </w:tabs>
      <w:adjustRightInd w:val="0"/>
      <w:spacing w:after="120"/>
    </w:pPr>
    <w:rPr>
      <w:rFonts w:cstheme="majorBidi"/>
      <w:sz w:val="21"/>
      <w:szCs w:val="20"/>
    </w:rPr>
  </w:style>
  <w:style w:type="paragraph" w:customStyle="1" w:styleId="15">
    <w:name w:val="图"/>
    <w:basedOn w:val="8"/>
    <w:link w:val="77"/>
    <w:qFormat/>
    <w:uiPriority w:val="0"/>
    <w:pPr>
      <w:spacing w:before="120" w:beforeLines="0" w:after="240" w:line="240" w:lineRule="auto"/>
    </w:pPr>
  </w:style>
  <w:style w:type="paragraph" w:styleId="16">
    <w:name w:val="annotation text"/>
    <w:basedOn w:val="1"/>
    <w:link w:val="72"/>
    <w:qFormat/>
    <w:uiPriority w:val="0"/>
    <w:pPr>
      <w:jc w:val="left"/>
    </w:pPr>
    <w:rPr>
      <w:szCs w:val="20"/>
    </w:rPr>
  </w:style>
  <w:style w:type="paragraph" w:styleId="17">
    <w:name w:val="Body Text Indent"/>
    <w:basedOn w:val="1"/>
    <w:link w:val="87"/>
    <w:qFormat/>
    <w:uiPriority w:val="0"/>
    <w:pPr>
      <w:ind w:firstLine="600"/>
    </w:pPr>
    <w:rPr>
      <w:sz w:val="30"/>
    </w:rPr>
  </w:style>
  <w:style w:type="paragraph" w:styleId="18">
    <w:name w:val="toc 5"/>
    <w:basedOn w:val="1"/>
    <w:next w:val="1"/>
    <w:autoRedefine/>
    <w:unhideWhenUsed/>
    <w:qFormat/>
    <w:uiPriority w:val="39"/>
    <w:pPr>
      <w:spacing w:line="240" w:lineRule="auto"/>
      <w:ind w:left="1680" w:leftChars="800" w:firstLine="0" w:firstLineChars="0"/>
    </w:pPr>
    <w:rPr>
      <w:rFonts w:asciiTheme="minorHAnsi" w:hAnsiTheme="minorHAnsi" w:eastAsiaTheme="minorEastAsia" w:cstheme="minorBidi"/>
      <w:sz w:val="21"/>
      <w:szCs w:val="22"/>
    </w:rPr>
  </w:style>
  <w:style w:type="paragraph" w:styleId="19">
    <w:name w:val="toc 3"/>
    <w:basedOn w:val="1"/>
    <w:next w:val="1"/>
    <w:qFormat/>
    <w:uiPriority w:val="39"/>
    <w:pPr>
      <w:ind w:left="300" w:leftChars="300" w:firstLine="0" w:firstLineChars="0"/>
    </w:pPr>
  </w:style>
  <w:style w:type="paragraph" w:styleId="20">
    <w:name w:val="toc 8"/>
    <w:basedOn w:val="1"/>
    <w:next w:val="1"/>
    <w:autoRedefine/>
    <w:unhideWhenUsed/>
    <w:qFormat/>
    <w:uiPriority w:val="39"/>
    <w:pPr>
      <w:spacing w:line="240" w:lineRule="auto"/>
      <w:ind w:left="2940" w:leftChars="1400" w:firstLine="0" w:firstLineChars="0"/>
    </w:pPr>
    <w:rPr>
      <w:rFonts w:asciiTheme="minorHAnsi" w:hAnsiTheme="minorHAnsi" w:eastAsiaTheme="minorEastAsia" w:cstheme="minorBidi"/>
      <w:sz w:val="21"/>
      <w:szCs w:val="22"/>
    </w:rPr>
  </w:style>
  <w:style w:type="paragraph" w:styleId="21">
    <w:name w:val="Body Text Indent 2"/>
    <w:basedOn w:val="1"/>
    <w:link w:val="88"/>
    <w:qFormat/>
    <w:uiPriority w:val="0"/>
    <w:pPr>
      <w:spacing w:before="120"/>
      <w:ind w:firstLine="538" w:firstLineChars="196"/>
    </w:pPr>
    <w:rPr>
      <w:sz w:val="28"/>
    </w:rPr>
  </w:style>
  <w:style w:type="paragraph" w:styleId="22">
    <w:name w:val="Balloon Text"/>
    <w:basedOn w:val="1"/>
    <w:link w:val="71"/>
    <w:qFormat/>
    <w:uiPriority w:val="0"/>
    <w:rPr>
      <w:sz w:val="18"/>
      <w:szCs w:val="18"/>
    </w:rPr>
  </w:style>
  <w:style w:type="paragraph" w:styleId="23">
    <w:name w:val="footer"/>
    <w:basedOn w:val="1"/>
    <w:link w:val="4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4">
    <w:name w:val="header"/>
    <w:basedOn w:val="1"/>
    <w:link w:val="4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5">
    <w:name w:val="toc 1"/>
    <w:basedOn w:val="1"/>
    <w:next w:val="1"/>
    <w:autoRedefine/>
    <w:qFormat/>
    <w:uiPriority w:val="39"/>
    <w:pPr>
      <w:spacing w:before="120"/>
      <w:ind w:firstLine="0" w:firstLineChars="0"/>
      <w:jc w:val="left"/>
      <w:outlineLvl w:val="0"/>
    </w:pPr>
    <w:rPr>
      <w:rFonts w:ascii="宋体" w:hAnsi="宋体"/>
      <w:sz w:val="28"/>
      <w:szCs w:val="28"/>
    </w:rPr>
  </w:style>
  <w:style w:type="paragraph" w:styleId="26">
    <w:name w:val="toc 4"/>
    <w:basedOn w:val="1"/>
    <w:next w:val="1"/>
    <w:autoRedefine/>
    <w:unhideWhenUsed/>
    <w:qFormat/>
    <w:uiPriority w:val="39"/>
    <w:pPr>
      <w:spacing w:line="240" w:lineRule="auto"/>
      <w:ind w:left="1260" w:leftChars="600" w:firstLine="0" w:firstLineChars="0"/>
    </w:pPr>
    <w:rPr>
      <w:rFonts w:asciiTheme="minorHAnsi" w:hAnsiTheme="minorHAnsi" w:eastAsiaTheme="minorEastAsia" w:cstheme="minorBidi"/>
      <w:sz w:val="21"/>
      <w:szCs w:val="22"/>
    </w:rPr>
  </w:style>
  <w:style w:type="paragraph" w:styleId="27">
    <w:name w:val="footnote text"/>
    <w:basedOn w:val="1"/>
    <w:link w:val="69"/>
    <w:qFormat/>
    <w:uiPriority w:val="0"/>
    <w:pPr>
      <w:snapToGrid w:val="0"/>
      <w:jc w:val="left"/>
    </w:pPr>
    <w:rPr>
      <w:sz w:val="18"/>
      <w:szCs w:val="18"/>
    </w:rPr>
  </w:style>
  <w:style w:type="paragraph" w:styleId="28">
    <w:name w:val="toc 6"/>
    <w:basedOn w:val="1"/>
    <w:next w:val="1"/>
    <w:autoRedefine/>
    <w:unhideWhenUsed/>
    <w:qFormat/>
    <w:uiPriority w:val="39"/>
    <w:pPr>
      <w:spacing w:line="240" w:lineRule="auto"/>
      <w:ind w:left="2100" w:leftChars="1000" w:firstLine="0" w:firstLineChars="0"/>
    </w:pPr>
    <w:rPr>
      <w:rFonts w:asciiTheme="minorHAnsi" w:hAnsiTheme="minorHAnsi" w:eastAsiaTheme="minorEastAsia" w:cstheme="minorBidi"/>
      <w:sz w:val="21"/>
      <w:szCs w:val="22"/>
    </w:rPr>
  </w:style>
  <w:style w:type="paragraph" w:styleId="29">
    <w:name w:val="toc 2"/>
    <w:basedOn w:val="1"/>
    <w:next w:val="1"/>
    <w:qFormat/>
    <w:uiPriority w:val="39"/>
    <w:pPr>
      <w:tabs>
        <w:tab w:val="right" w:leader="dot" w:pos="8302"/>
      </w:tabs>
      <w:spacing w:before="120"/>
      <w:ind w:left="200" w:leftChars="200" w:firstLine="0" w:firstLineChars="0"/>
    </w:pPr>
    <w:rPr>
      <w:rFonts w:ascii="宋体" w:hAnsi="宋体"/>
      <w:szCs w:val="28"/>
    </w:rPr>
  </w:style>
  <w:style w:type="paragraph" w:styleId="30">
    <w:name w:val="toc 9"/>
    <w:basedOn w:val="1"/>
    <w:next w:val="1"/>
    <w:autoRedefine/>
    <w:unhideWhenUsed/>
    <w:qFormat/>
    <w:uiPriority w:val="39"/>
    <w:pPr>
      <w:spacing w:line="240" w:lineRule="auto"/>
      <w:ind w:left="3360" w:leftChars="1600" w:firstLine="0" w:firstLineChars="0"/>
    </w:pPr>
    <w:rPr>
      <w:rFonts w:asciiTheme="minorHAnsi" w:hAnsiTheme="minorHAnsi" w:eastAsiaTheme="minorEastAsia" w:cstheme="minorBidi"/>
      <w:sz w:val="21"/>
      <w:szCs w:val="22"/>
    </w:rPr>
  </w:style>
  <w:style w:type="paragraph" w:styleId="31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</w:rPr>
  </w:style>
  <w:style w:type="paragraph" w:styleId="32">
    <w:name w:val="Title"/>
    <w:basedOn w:val="1"/>
    <w:next w:val="1"/>
    <w:link w:val="46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34">
    <w:name w:val="Table Grid"/>
    <w:basedOn w:val="33"/>
    <w:qFormat/>
    <w:uiPriority w:val="0"/>
    <w:rPr>
      <w:rFonts w:ascii="Times New Roman" w:hAnsi="Times New Roman" w:cs="Times New Roman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6">
    <w:name w:val="page number"/>
    <w:qFormat/>
    <w:uiPriority w:val="0"/>
  </w:style>
  <w:style w:type="character" w:styleId="37">
    <w:name w:val="Hyperlink"/>
    <w:qFormat/>
    <w:uiPriority w:val="99"/>
    <w:rPr>
      <w:color w:val="0000FF"/>
      <w:u w:val="single"/>
    </w:rPr>
  </w:style>
  <w:style w:type="character" w:styleId="38">
    <w:name w:val="annotation reference"/>
    <w:qFormat/>
    <w:uiPriority w:val="0"/>
    <w:rPr>
      <w:sz w:val="21"/>
      <w:szCs w:val="21"/>
    </w:rPr>
  </w:style>
  <w:style w:type="character" w:styleId="39">
    <w:name w:val="footnote reference"/>
    <w:qFormat/>
    <w:uiPriority w:val="0"/>
    <w:rPr>
      <w:vertAlign w:val="superscript"/>
    </w:rPr>
  </w:style>
  <w:style w:type="character" w:customStyle="1" w:styleId="40">
    <w:name w:val="标题 3 字符"/>
    <w:basedOn w:val="35"/>
    <w:link w:val="6"/>
    <w:qFormat/>
    <w:uiPriority w:val="0"/>
    <w:rPr>
      <w:rFonts w:ascii="Times New Roman" w:hAnsi="Times New Roman" w:eastAsia="黑体" w:cs="Times New Roman"/>
      <w:bCs/>
      <w:kern w:val="2"/>
      <w:sz w:val="24"/>
      <w:szCs w:val="21"/>
      <w14:ligatures w14:val="standardContextual"/>
    </w:rPr>
  </w:style>
  <w:style w:type="paragraph" w:customStyle="1" w:styleId="41">
    <w:name w:val="图注"/>
    <w:basedOn w:val="14"/>
    <w:qFormat/>
    <w:uiPriority w:val="0"/>
    <w:pPr>
      <w:spacing w:after="240"/>
    </w:pPr>
  </w:style>
  <w:style w:type="character" w:customStyle="1" w:styleId="42">
    <w:name w:val="页眉 字符"/>
    <w:basedOn w:val="35"/>
    <w:link w:val="24"/>
    <w:qFormat/>
    <w:uiPriority w:val="99"/>
    <w:rPr>
      <w:rFonts w:ascii="Times New Roman" w:hAnsi="Times New Roman" w:cs="Times New Roman"/>
      <w:kern w:val="2"/>
      <w:sz w:val="18"/>
      <w:szCs w:val="18"/>
      <w14:ligatures w14:val="standardContextual"/>
    </w:rPr>
  </w:style>
  <w:style w:type="character" w:customStyle="1" w:styleId="43">
    <w:name w:val="页脚 字符"/>
    <w:link w:val="23"/>
    <w:qFormat/>
    <w:uiPriority w:val="99"/>
    <w:rPr>
      <w:rFonts w:ascii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44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45">
    <w:name w:val="fontstyle01"/>
    <w:basedOn w:val="35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46">
    <w:name w:val="标题 字符"/>
    <w:basedOn w:val="35"/>
    <w:link w:val="32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  <w14:ligatures w14:val="standardContextual"/>
    </w:rPr>
  </w:style>
  <w:style w:type="character" w:customStyle="1" w:styleId="47">
    <w:name w:val="标题 1 字符"/>
    <w:basedOn w:val="35"/>
    <w:link w:val="2"/>
    <w:qFormat/>
    <w:uiPriority w:val="0"/>
    <w:rPr>
      <w:rFonts w:ascii="Times New Roman" w:hAnsi="Times New Roman" w:eastAsia="黑体" w:cs="Times New Roman"/>
      <w:b/>
      <w:bCs/>
      <w:kern w:val="44"/>
      <w:sz w:val="32"/>
      <w:szCs w:val="32"/>
      <w14:ligatures w14:val="standardContextual"/>
    </w:rPr>
  </w:style>
  <w:style w:type="character" w:customStyle="1" w:styleId="48">
    <w:name w:val="标题 2 字符"/>
    <w:basedOn w:val="35"/>
    <w:link w:val="3"/>
    <w:qFormat/>
    <w:uiPriority w:val="0"/>
    <w:rPr>
      <w:rFonts w:ascii="Times New Roman" w:hAnsi="Times New Roman" w:eastAsia="黑体" w:cs="Times New Roman"/>
      <w:bCs/>
      <w:sz w:val="28"/>
      <w:szCs w:val="32"/>
      <w:lang w:val="en-GB"/>
      <w14:ligatures w14:val="standardContextual"/>
    </w:rPr>
  </w:style>
  <w:style w:type="character" w:customStyle="1" w:styleId="49">
    <w:name w:val="标题 4 字符"/>
    <w:basedOn w:val="35"/>
    <w:link w:val="7"/>
    <w:qFormat/>
    <w:uiPriority w:val="0"/>
    <w:rPr>
      <w:rFonts w:ascii="Times New Roman" w:hAnsi="Times New Roman" w:eastAsia="黑体" w:cs="Times New Roman"/>
      <w:bCs/>
      <w:kern w:val="2"/>
      <w:sz w:val="24"/>
      <w:szCs w:val="28"/>
      <w14:ligatures w14:val="standardContextual"/>
    </w:rPr>
  </w:style>
  <w:style w:type="character" w:customStyle="1" w:styleId="50">
    <w:name w:val="标题 5 字符"/>
    <w:basedOn w:val="35"/>
    <w:link w:val="8"/>
    <w:qFormat/>
    <w:uiPriority w:val="0"/>
    <w:rPr>
      <w:rFonts w:ascii="Times New Roman" w:hAnsi="Times New Roman" w:cs="Times New Roman"/>
      <w:bCs/>
      <w:kern w:val="2"/>
      <w:sz w:val="24"/>
      <w:szCs w:val="21"/>
      <w14:ligatures w14:val="standardContextual"/>
    </w:rPr>
  </w:style>
  <w:style w:type="character" w:customStyle="1" w:styleId="51">
    <w:name w:val="标题 6 字符"/>
    <w:basedOn w:val="35"/>
    <w:link w:val="9"/>
    <w:qFormat/>
    <w:uiPriority w:val="0"/>
    <w:rPr>
      <w:rFonts w:ascii="Times New Roman" w:hAnsi="Times New Roman" w:eastAsia="楷体_GB2312" w:cs="Times New Roman"/>
      <w:bCs/>
      <w:kern w:val="2"/>
      <w:sz w:val="24"/>
      <w:szCs w:val="24"/>
      <w14:ligatures w14:val="standardContextual"/>
    </w:rPr>
  </w:style>
  <w:style w:type="character" w:customStyle="1" w:styleId="52">
    <w:name w:val="标题 7 字符"/>
    <w:basedOn w:val="35"/>
    <w:link w:val="10"/>
    <w:qFormat/>
    <w:uiPriority w:val="0"/>
    <w:rPr>
      <w:rFonts w:ascii="Times New Roman" w:hAnsi="Times New Roman" w:cs="Times New Roman"/>
      <w:bCs/>
      <w:kern w:val="2"/>
      <w:sz w:val="21"/>
      <w:szCs w:val="32"/>
      <w14:ligatures w14:val="standardContextual"/>
    </w:rPr>
  </w:style>
  <w:style w:type="character" w:customStyle="1" w:styleId="53">
    <w:name w:val="标题 8 字符"/>
    <w:basedOn w:val="35"/>
    <w:link w:val="11"/>
    <w:qFormat/>
    <w:uiPriority w:val="0"/>
    <w:rPr>
      <w:rFonts w:ascii="Times New Roman" w:hAnsi="Times New Roman" w:cs="Times New Roman"/>
      <w:color w:val="000000"/>
      <w:kern w:val="2"/>
      <w:sz w:val="24"/>
      <w:szCs w:val="21"/>
      <w14:ligatures w14:val="standardContextual"/>
    </w:rPr>
  </w:style>
  <w:style w:type="character" w:customStyle="1" w:styleId="54">
    <w:name w:val="标题 9 字符"/>
    <w:basedOn w:val="35"/>
    <w:link w:val="12"/>
    <w:qFormat/>
    <w:uiPriority w:val="0"/>
    <w:rPr>
      <w:rFonts w:ascii="Times New Roman" w:hAnsi="Times New Roman" w:eastAsia="黑体" w:cs="Times New Roman"/>
      <w:b/>
      <w:kern w:val="2"/>
      <w:sz w:val="32"/>
      <w:szCs w:val="21"/>
      <w14:ligatures w14:val="standardContextual"/>
    </w:rPr>
  </w:style>
  <w:style w:type="paragraph" w:customStyle="1" w:styleId="55">
    <w:name w:val="标题1 无序号"/>
    <w:basedOn w:val="2"/>
    <w:link w:val="56"/>
    <w:qFormat/>
    <w:uiPriority w:val="0"/>
    <w:pPr>
      <w:numPr>
        <w:numId w:val="0"/>
      </w:numPr>
    </w:pPr>
  </w:style>
  <w:style w:type="character" w:customStyle="1" w:styleId="56">
    <w:name w:val="标题1 无序号 字符"/>
    <w:basedOn w:val="35"/>
    <w:link w:val="55"/>
    <w:qFormat/>
    <w:uiPriority w:val="0"/>
    <w:rPr>
      <w:rFonts w:ascii="Times New Roman" w:hAnsi="Times New Roman" w:eastAsia="黑体" w:cs="Times New Roman"/>
      <w:b/>
      <w:bCs/>
      <w:kern w:val="44"/>
      <w:sz w:val="32"/>
      <w:szCs w:val="44"/>
      <w14:ligatures w14:val="standardContextual"/>
    </w:rPr>
  </w:style>
  <w:style w:type="paragraph" w:customStyle="1" w:styleId="57">
    <w:name w:val="标准标题2"/>
    <w:basedOn w:val="1"/>
    <w:qFormat/>
    <w:uiPriority w:val="0"/>
    <w:pPr>
      <w:spacing w:beforeLines="50" w:afterLines="50" w:line="480" w:lineRule="exact"/>
      <w:jc w:val="center"/>
    </w:pPr>
    <w:rPr>
      <w:b/>
      <w:bCs/>
      <w:kern w:val="0"/>
      <w:sz w:val="30"/>
      <w:szCs w:val="28"/>
    </w:rPr>
  </w:style>
  <w:style w:type="paragraph" w:customStyle="1" w:styleId="58">
    <w:name w:val="病例标题2"/>
    <w:basedOn w:val="3"/>
    <w:link w:val="59"/>
    <w:qFormat/>
    <w:uiPriority w:val="0"/>
    <w:pPr>
      <w:numPr>
        <w:ilvl w:val="0"/>
        <w:numId w:val="4"/>
      </w:numPr>
    </w:pPr>
  </w:style>
  <w:style w:type="character" w:customStyle="1" w:styleId="59">
    <w:name w:val="病例标题2 字符"/>
    <w:basedOn w:val="48"/>
    <w:link w:val="58"/>
    <w:qFormat/>
    <w:uiPriority w:val="0"/>
    <w:rPr>
      <w:rFonts w:ascii="Times New Roman" w:hAnsi="Times New Roman" w:eastAsia="黑体" w:cs="Times New Roman"/>
      <w:sz w:val="28"/>
      <w:szCs w:val="32"/>
      <w:lang w:val="en-GB"/>
      <w14:ligatures w14:val="standardContextual"/>
    </w:rPr>
  </w:style>
  <w:style w:type="paragraph" w:customStyle="1" w:styleId="60">
    <w:name w:val="病例标题3"/>
    <w:basedOn w:val="6"/>
    <w:next w:val="1"/>
    <w:link w:val="61"/>
    <w:qFormat/>
    <w:uiPriority w:val="0"/>
    <w:pPr>
      <w:numPr>
        <w:ilvl w:val="0"/>
        <w:numId w:val="5"/>
      </w:numPr>
      <w:spacing w:before="120" w:after="0" w:line="240" w:lineRule="auto"/>
    </w:pPr>
  </w:style>
  <w:style w:type="character" w:customStyle="1" w:styleId="61">
    <w:name w:val="病例标题3 字符"/>
    <w:basedOn w:val="40"/>
    <w:link w:val="60"/>
    <w:qFormat/>
    <w:uiPriority w:val="0"/>
    <w:rPr>
      <w:rFonts w:ascii="Times New Roman" w:hAnsi="Times New Roman" w:eastAsia="黑体" w:cs="Times New Roman"/>
      <w:kern w:val="2"/>
      <w:sz w:val="24"/>
      <w:szCs w:val="21"/>
      <w14:ligatures w14:val="standardContextual"/>
    </w:rPr>
  </w:style>
  <w:style w:type="paragraph" w:customStyle="1" w:styleId="62">
    <w:name w:val="不在目录标题"/>
    <w:basedOn w:val="2"/>
    <w:link w:val="63"/>
    <w:qFormat/>
    <w:uiPriority w:val="0"/>
    <w:pPr>
      <w:numPr>
        <w:numId w:val="0"/>
      </w:numPr>
      <w:outlineLvl w:val="9"/>
    </w:pPr>
  </w:style>
  <w:style w:type="character" w:customStyle="1" w:styleId="63">
    <w:name w:val="不在目录标题 字符"/>
    <w:basedOn w:val="47"/>
    <w:link w:val="62"/>
    <w:qFormat/>
    <w:uiPriority w:val="0"/>
    <w:rPr>
      <w:rFonts w:ascii="Times New Roman" w:hAnsi="Times New Roman" w:eastAsia="黑体" w:cs="Times New Roman"/>
      <w:kern w:val="44"/>
      <w:sz w:val="32"/>
      <w:szCs w:val="32"/>
      <w14:ligatures w14:val="standardContextual"/>
    </w:rPr>
  </w:style>
  <w:style w:type="paragraph" w:customStyle="1" w:styleId="64">
    <w:name w:val="参考文献"/>
    <w:link w:val="65"/>
    <w:qFormat/>
    <w:uiPriority w:val="0"/>
    <w:pPr>
      <w:spacing w:line="320" w:lineRule="exact"/>
      <w:ind w:left="420" w:hanging="420" w:hanging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standardContextual"/>
    </w:rPr>
  </w:style>
  <w:style w:type="character" w:customStyle="1" w:styleId="65">
    <w:name w:val="参考文献 字符"/>
    <w:basedOn w:val="35"/>
    <w:link w:val="64"/>
    <w:qFormat/>
    <w:uiPriority w:val="0"/>
    <w:rPr>
      <w:rFonts w:ascii="Times New Roman" w:hAnsi="Times New Roman" w:cs="Times New Roman"/>
      <w:kern w:val="2"/>
      <w:sz w:val="21"/>
      <w:szCs w:val="24"/>
      <w14:ligatures w14:val="standardContextual"/>
    </w:rPr>
  </w:style>
  <w:style w:type="paragraph" w:customStyle="1" w:styleId="66">
    <w:name w:val="参考文献标题"/>
    <w:basedOn w:val="6"/>
    <w:next w:val="64"/>
    <w:link w:val="67"/>
    <w:qFormat/>
    <w:uiPriority w:val="0"/>
    <w:pPr>
      <w:numPr>
        <w:ilvl w:val="0"/>
        <w:numId w:val="0"/>
      </w:numPr>
      <w:outlineLvl w:val="0"/>
    </w:pPr>
  </w:style>
  <w:style w:type="character" w:customStyle="1" w:styleId="67">
    <w:name w:val="参考文献标题 字符"/>
    <w:basedOn w:val="40"/>
    <w:link w:val="66"/>
    <w:qFormat/>
    <w:uiPriority w:val="0"/>
    <w:rPr>
      <w:rFonts w:ascii="Times New Roman" w:hAnsi="Times New Roman" w:eastAsia="黑体" w:cs="Times New Roman"/>
      <w:kern w:val="2"/>
      <w:sz w:val="24"/>
      <w:szCs w:val="21"/>
      <w14:ligatures w14:val="standardContextual"/>
    </w:rPr>
  </w:style>
  <w:style w:type="paragraph" w:customStyle="1" w:styleId="68">
    <w:name w:val="段"/>
    <w:qFormat/>
    <w:uiPriority w:val="0"/>
    <w:pPr>
      <w:numPr>
        <w:ilvl w:val="0"/>
        <w:numId w:val="3"/>
      </w:numPr>
      <w:autoSpaceDE w:val="0"/>
      <w:autoSpaceDN w:val="0"/>
      <w:jc w:val="both"/>
    </w:pPr>
    <w:rPr>
      <w:rFonts w:ascii="宋体" w:hAnsi="Times New Roman" w:eastAsia="宋体" w:cs="Times New Roman"/>
      <w:sz w:val="21"/>
      <w:lang w:val="en-US" w:eastAsia="zh-CN" w:bidi="ar-SA"/>
      <w14:ligatures w14:val="standardContextual"/>
    </w:rPr>
  </w:style>
  <w:style w:type="character" w:customStyle="1" w:styleId="69">
    <w:name w:val="脚注文本 字符"/>
    <w:basedOn w:val="35"/>
    <w:link w:val="27"/>
    <w:qFormat/>
    <w:uiPriority w:val="0"/>
    <w:rPr>
      <w:rFonts w:ascii="Times New Roman" w:hAnsi="Times New Roman" w:cs="Times New Roman"/>
      <w:kern w:val="2"/>
      <w:sz w:val="18"/>
      <w:szCs w:val="18"/>
      <w14:ligatures w14:val="standardContextual"/>
    </w:rPr>
  </w:style>
  <w:style w:type="paragraph" w:styleId="70">
    <w:name w:val="List Paragraph"/>
    <w:basedOn w:val="1"/>
    <w:qFormat/>
    <w:uiPriority w:val="99"/>
    <w:pPr>
      <w:ind w:firstLine="420"/>
    </w:pPr>
  </w:style>
  <w:style w:type="character" w:customStyle="1" w:styleId="71">
    <w:name w:val="批注框文本 字符"/>
    <w:link w:val="22"/>
    <w:qFormat/>
    <w:uiPriority w:val="0"/>
    <w:rPr>
      <w:rFonts w:ascii="Times New Roman" w:hAnsi="Times New Roman" w:cs="Times New Roman"/>
      <w:kern w:val="2"/>
      <w:sz w:val="18"/>
      <w:szCs w:val="18"/>
      <w14:ligatures w14:val="standardContextual"/>
    </w:rPr>
  </w:style>
  <w:style w:type="character" w:customStyle="1" w:styleId="72">
    <w:name w:val="批注文字 字符"/>
    <w:basedOn w:val="35"/>
    <w:link w:val="16"/>
    <w:qFormat/>
    <w:uiPriority w:val="0"/>
    <w:rPr>
      <w:rFonts w:ascii="Times New Roman" w:hAnsi="Times New Roman" w:cs="Times New Roman"/>
      <w:kern w:val="2"/>
      <w:sz w:val="24"/>
      <w14:ligatures w14:val="standardContextual"/>
    </w:rPr>
  </w:style>
  <w:style w:type="paragraph" w:customStyle="1" w:styleId="73">
    <w:name w:val="三级条标题"/>
    <w:basedOn w:val="4"/>
    <w:next w:val="68"/>
    <w:qFormat/>
    <w:uiPriority w:val="0"/>
    <w:pPr>
      <w:numPr>
        <w:ilvl w:val="3"/>
      </w:numPr>
      <w:outlineLvl w:val="4"/>
    </w:pPr>
  </w:style>
  <w:style w:type="paragraph" w:customStyle="1" w:styleId="74">
    <w:name w:val="示例"/>
    <w:next w:val="68"/>
    <w:qFormat/>
    <w:uiPriority w:val="0"/>
    <w:pPr>
      <w:numPr>
        <w:ilvl w:val="6"/>
        <w:numId w:val="3"/>
      </w:numPr>
      <w:tabs>
        <w:tab w:val="left" w:pos="816"/>
      </w:tabs>
      <w:jc w:val="both"/>
    </w:pPr>
    <w:rPr>
      <w:rFonts w:ascii="宋体" w:hAnsi="Times New Roman" w:eastAsia="宋体" w:cs="Times New Roman"/>
      <w:sz w:val="18"/>
      <w:lang w:val="en-US" w:eastAsia="zh-CN" w:bidi="ar-SA"/>
      <w14:ligatures w14:val="standardContextual"/>
    </w:rPr>
  </w:style>
  <w:style w:type="paragraph" w:customStyle="1" w:styleId="75">
    <w:name w:val="Bibliography"/>
    <w:basedOn w:val="1"/>
    <w:next w:val="1"/>
    <w:unhideWhenUsed/>
    <w:qFormat/>
    <w:uiPriority w:val="37"/>
    <w:pPr>
      <w:tabs>
        <w:tab w:val="left" w:pos="384"/>
      </w:tabs>
      <w:spacing w:line="240" w:lineRule="exact"/>
      <w:ind w:left="384" w:hanging="384"/>
    </w:pPr>
  </w:style>
  <w:style w:type="paragraph" w:customStyle="1" w:styleId="76">
    <w:name w:val="四级条标题"/>
    <w:basedOn w:val="73"/>
    <w:next w:val="68"/>
    <w:qFormat/>
    <w:uiPriority w:val="0"/>
    <w:pPr>
      <w:numPr>
        <w:ilvl w:val="4"/>
      </w:numPr>
      <w:outlineLvl w:val="5"/>
    </w:pPr>
  </w:style>
  <w:style w:type="character" w:customStyle="1" w:styleId="77">
    <w:name w:val="图 字符"/>
    <w:basedOn w:val="50"/>
    <w:link w:val="15"/>
    <w:qFormat/>
    <w:uiPriority w:val="0"/>
    <w:rPr>
      <w:rFonts w:ascii="Times New Roman" w:hAnsi="Times New Roman" w:cs="Times New Roman"/>
      <w:kern w:val="2"/>
      <w:sz w:val="24"/>
      <w:szCs w:val="21"/>
      <w14:ligatures w14:val="standardContextual"/>
    </w:rPr>
  </w:style>
  <w:style w:type="character" w:customStyle="1" w:styleId="78">
    <w:name w:val="Unresolved Mention"/>
    <w:basedOn w:val="3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9">
    <w:name w:val="五级条标题"/>
    <w:basedOn w:val="76"/>
    <w:next w:val="68"/>
    <w:qFormat/>
    <w:uiPriority w:val="0"/>
    <w:pPr>
      <w:numPr>
        <w:ilvl w:val="5"/>
      </w:numPr>
      <w:outlineLvl w:val="6"/>
    </w:pPr>
  </w:style>
  <w:style w:type="character" w:customStyle="1" w:styleId="80">
    <w:name w:val="样式 宋体 四号"/>
    <w:qFormat/>
    <w:uiPriority w:val="0"/>
    <w:rPr>
      <w:rFonts w:ascii="Times New Roman" w:hAnsi="Times New Roman" w:eastAsia="宋体"/>
      <w:sz w:val="24"/>
    </w:rPr>
  </w:style>
  <w:style w:type="paragraph" w:customStyle="1" w:styleId="81">
    <w:name w:val="样式 小四 行距: 多倍行距 1.25 字行1"/>
    <w:basedOn w:val="1"/>
    <w:qFormat/>
    <w:uiPriority w:val="0"/>
    <w:rPr>
      <w:rFonts w:cs="宋体"/>
      <w:szCs w:val="20"/>
    </w:rPr>
  </w:style>
  <w:style w:type="character" w:customStyle="1" w:styleId="82">
    <w:name w:val="样式 样式 四号 + (中文) 宋体"/>
    <w:qFormat/>
    <w:uiPriority w:val="0"/>
    <w:rPr>
      <w:rFonts w:ascii="Times New Roman" w:hAnsi="Times New Roman" w:eastAsia="Times New Roman"/>
      <w:sz w:val="24"/>
    </w:rPr>
  </w:style>
  <w:style w:type="paragraph" w:customStyle="1" w:styleId="83">
    <w:name w:val="样式 样式 样式 宋体 小四 行距: 多倍行距 1.25 字行 + 首行缩进:  2 字符1 + 首行缩进:  0 字符1"/>
    <w:basedOn w:val="1"/>
    <w:qFormat/>
    <w:uiPriority w:val="0"/>
    <w:pPr>
      <w:spacing w:line="360" w:lineRule="auto"/>
      <w:ind w:firstLine="425"/>
    </w:pPr>
    <w:rPr>
      <w:rFonts w:cs="宋体"/>
      <w:szCs w:val="20"/>
    </w:rPr>
  </w:style>
  <w:style w:type="paragraph" w:customStyle="1" w:styleId="84">
    <w:name w:val="鹰备用标题"/>
    <w:basedOn w:val="2"/>
    <w:link w:val="85"/>
    <w:qFormat/>
    <w:uiPriority w:val="0"/>
  </w:style>
  <w:style w:type="character" w:customStyle="1" w:styleId="85">
    <w:name w:val="鹰备用标题 字符"/>
    <w:basedOn w:val="47"/>
    <w:link w:val="84"/>
    <w:qFormat/>
    <w:uiPriority w:val="0"/>
    <w:rPr>
      <w:rFonts w:ascii="Times New Roman" w:hAnsi="Times New Roman" w:eastAsia="黑体" w:cs="Times New Roman"/>
      <w:kern w:val="44"/>
      <w:sz w:val="32"/>
      <w:szCs w:val="32"/>
      <w14:ligatures w14:val="standardContextual"/>
    </w:rPr>
  </w:style>
  <w:style w:type="character" w:styleId="86">
    <w:name w:val="Placeholder Text"/>
    <w:basedOn w:val="35"/>
    <w:unhideWhenUsed/>
    <w:qFormat/>
    <w:uiPriority w:val="99"/>
    <w:rPr>
      <w:color w:val="666666"/>
    </w:rPr>
  </w:style>
  <w:style w:type="character" w:customStyle="1" w:styleId="87">
    <w:name w:val="正文文本缩进 字符"/>
    <w:basedOn w:val="35"/>
    <w:link w:val="17"/>
    <w:qFormat/>
    <w:uiPriority w:val="0"/>
    <w:rPr>
      <w:rFonts w:ascii="Times New Roman" w:hAnsi="Times New Roman" w:cs="Times New Roman"/>
      <w:kern w:val="2"/>
      <w:sz w:val="30"/>
      <w:szCs w:val="24"/>
      <w14:ligatures w14:val="standardContextual"/>
    </w:rPr>
  </w:style>
  <w:style w:type="character" w:customStyle="1" w:styleId="88">
    <w:name w:val="正文文本缩进 2 字符"/>
    <w:basedOn w:val="35"/>
    <w:link w:val="21"/>
    <w:qFormat/>
    <w:uiPriority w:val="0"/>
    <w:rPr>
      <w:rFonts w:ascii="Times New Roman" w:hAnsi="Times New Roman" w:cs="Times New Roman"/>
      <w:kern w:val="2"/>
      <w:sz w:val="28"/>
      <w:szCs w:val="24"/>
      <w14:ligatures w14:val="standardContextual"/>
    </w:rPr>
  </w:style>
  <w:style w:type="paragraph" w:customStyle="1" w:styleId="89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customXml" Target="../customXml/item1.xml"/><Relationship Id="rId28" Type="http://schemas.openxmlformats.org/officeDocument/2006/relationships/numbering" Target="numbering.xml"/><Relationship Id="rId27" Type="http://schemas.openxmlformats.org/officeDocument/2006/relationships/image" Target="media/image16.jpeg"/><Relationship Id="rId26" Type="http://schemas.openxmlformats.org/officeDocument/2006/relationships/image" Target="media/image15.jpe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jpe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jpe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D0398-C015-42F8-A5F5-A661EA473F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2450</Words>
  <Characters>14648</Characters>
  <Lines>290</Lines>
  <Paragraphs>104</Paragraphs>
  <TotalTime>83</TotalTime>
  <ScaleCrop>false</ScaleCrop>
  <LinksUpToDate>false</LinksUpToDate>
  <CharactersWithSpaces>16979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2025-02-23T03:10:00Z</dcterms:created>
  <dc:creator>筱瑜珥</dc:creator>
  <cp:lastModifiedBy>86178</cp:lastModifiedBy>
  <dcterms:modified xsi:type="dcterms:W3CDTF">2025-08-17T15:05:45Z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3B7A7C8234774E6794BA269BF5869EAF_11</vt:lpwstr>
  </property>
  <property fmtid="{D5CDD505-2E9C-101B-9397-08002B2CF9AE}" pid="4" name="KSOTemplateDocerSaveRecord">
    <vt:lpwstr>eyJoZGlkIjoiOTk2Nzk0NmRhN2E2NmM1MjdhY2U3ZGY3NWM1Mzg4ZWEifQ==</vt:lpwstr>
  </property>
</Properties>
</file>