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3AB08">
      <w:pPr>
        <w:pStyle w:val="7"/>
        <w:spacing w:line="480" w:lineRule="auto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Supporting Information </w:t>
      </w:r>
    </w:p>
    <w:p w14:paraId="484AD049">
      <w:pPr>
        <w:spacing w:line="480" w:lineRule="auto"/>
        <w:rPr>
          <w:rFonts w:ascii="Times New Roman" w:hAnsi="Times New Roman" w:cs="Times New Roman"/>
          <w:sz w:val="24"/>
        </w:rPr>
      </w:pPr>
    </w:p>
    <w:p w14:paraId="69156964"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Single-atom Ca Nanozyme Induces Glioma Death Through Ca2+-Overload-Enhanced Catalytic Tumor Nanotherapy, Ferroptosis and Synergistic Remodeling of the Immune Microenvironment</w:t>
      </w:r>
    </w:p>
    <w:p w14:paraId="3F643CED">
      <w:pPr>
        <w:spacing w:line="480" w:lineRule="auto"/>
        <w:rPr>
          <w:rFonts w:ascii="Times New Roman" w:hAnsi="Times New Roman"/>
          <w:b/>
          <w:sz w:val="24"/>
        </w:rPr>
      </w:pPr>
    </w:p>
    <w:p w14:paraId="4B5E0467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Zhizhong Jin</w:t>
      </w:r>
      <w:r>
        <w:rPr>
          <w:rFonts w:hint="eastAsia" w:ascii="Times New Roman" w:hAnsi="Times New Roman"/>
          <w:sz w:val="24"/>
          <w:vertAlign w:val="superscript"/>
        </w:rPr>
        <w:t>a,1</w:t>
      </w:r>
      <w:r>
        <w:rPr>
          <w:rFonts w:ascii="Times New Roman" w:hAnsi="Times New Roman"/>
          <w:sz w:val="24"/>
        </w:rPr>
        <w:t>, Xinqiao Li</w:t>
      </w:r>
      <w:r>
        <w:rPr>
          <w:rFonts w:hint="eastAsia" w:ascii="Times New Roman" w:hAnsi="Times New Roman"/>
          <w:sz w:val="24"/>
          <w:vertAlign w:val="superscript"/>
        </w:rPr>
        <w:t>b,1</w:t>
      </w:r>
      <w:r>
        <w:rPr>
          <w:rFonts w:ascii="Times New Roman" w:hAnsi="Times New Roman"/>
          <w:sz w:val="24"/>
        </w:rPr>
        <w:t>, Xiaoyu Hou</w:t>
      </w:r>
      <w:r>
        <w:rPr>
          <w:rFonts w:hint="eastAsia" w:ascii="Times New Roman" w:hAnsi="Times New Roman"/>
          <w:sz w:val="24"/>
          <w:vertAlign w:val="superscript"/>
        </w:rPr>
        <w:t>c</w:t>
      </w:r>
      <w:r>
        <w:rPr>
          <w:rFonts w:ascii="Times New Roman" w:hAnsi="Times New Roman"/>
          <w:sz w:val="24"/>
          <w:vertAlign w:val="superscript"/>
        </w:rPr>
        <w:t>,1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>Jinpeng Hu</w:t>
      </w:r>
      <w:r>
        <w:rPr>
          <w:rFonts w:hint="eastAsia" w:ascii="Times New Roman" w:hAnsi="Times New Roman"/>
          <w:sz w:val="24"/>
          <w:vertAlign w:val="superscript"/>
        </w:rPr>
        <w:t>a</w:t>
      </w:r>
      <w:r>
        <w:rPr>
          <w:rFonts w:hint="eastAsia" w:ascii="Times New Roman" w:hAnsi="Times New Roman"/>
          <w:sz w:val="24"/>
        </w:rPr>
        <w:t>, Yue Zhuo</w:t>
      </w:r>
      <w:r>
        <w:rPr>
          <w:rFonts w:hint="eastAsia" w:ascii="Times New Roman" w:hAnsi="Times New Roman"/>
          <w:sz w:val="24"/>
          <w:vertAlign w:val="superscript"/>
        </w:rPr>
        <w:t>a</w:t>
      </w:r>
      <w:r>
        <w:rPr>
          <w:rFonts w:hint="eastAsia" w:ascii="Times New Roman" w:hAnsi="Times New Roman"/>
          <w:sz w:val="24"/>
        </w:rPr>
        <w:t>, Jianghua Shi</w:t>
      </w:r>
      <w:r>
        <w:rPr>
          <w:rFonts w:hint="eastAsia" w:ascii="Times New Roman" w:hAnsi="Times New Roman"/>
          <w:sz w:val="24"/>
          <w:vertAlign w:val="superscript"/>
        </w:rPr>
        <w:t>a</w:t>
      </w:r>
      <w:r>
        <w:rPr>
          <w:rFonts w:hint="eastAsia" w:ascii="Times New Roman" w:hAnsi="Times New Roman"/>
          <w:sz w:val="24"/>
        </w:rPr>
        <w:t>, Tao Xu</w:t>
      </w:r>
      <w:r>
        <w:rPr>
          <w:rFonts w:hint="eastAsia" w:ascii="Times New Roman" w:hAnsi="Times New Roman"/>
          <w:sz w:val="24"/>
          <w:vertAlign w:val="superscript"/>
        </w:rPr>
        <w:t>d***</w:t>
      </w:r>
      <w:r>
        <w:rPr>
          <w:rFonts w:hint="eastAsia"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Qi Zhao</w:t>
      </w:r>
      <w:r>
        <w:rPr>
          <w:rFonts w:hint="eastAsia" w:ascii="Times New Roman" w:hAnsi="Times New Roman"/>
          <w:sz w:val="24"/>
          <w:vertAlign w:val="superscript"/>
        </w:rPr>
        <w:t>e,f</w:t>
      </w:r>
      <w:r>
        <w:rPr>
          <w:rFonts w:ascii="Times New Roman" w:hAnsi="Times New Roman"/>
          <w:sz w:val="24"/>
          <w:vertAlign w:val="superscript"/>
        </w:rPr>
        <w:t>,1</w:t>
      </w:r>
      <w:r>
        <w:rPr>
          <w:rFonts w:hint="eastAsia" w:ascii="Times New Roman" w:hAnsi="Times New Roman"/>
          <w:sz w:val="24"/>
          <w:vertAlign w:val="superscript"/>
        </w:rPr>
        <w:t>**</w:t>
      </w:r>
      <w:r>
        <w:rPr>
          <w:rFonts w:hint="eastAsia"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Zhitao Jing</w:t>
      </w:r>
      <w:r>
        <w:rPr>
          <w:rFonts w:hint="eastAsia" w:ascii="Times New Roman" w:hAnsi="Times New Roman"/>
          <w:sz w:val="24"/>
          <w:vertAlign w:val="superscript"/>
        </w:rPr>
        <w:t>a,*</w:t>
      </w:r>
    </w:p>
    <w:p w14:paraId="10377768">
      <w:pPr>
        <w:spacing w:line="480" w:lineRule="auto"/>
        <w:rPr>
          <w:rFonts w:ascii="Times New Roman" w:hAnsi="Times New Roman"/>
          <w:i/>
          <w:sz w:val="24"/>
        </w:rPr>
      </w:pPr>
      <w:bookmarkStart w:id="0" w:name="_GoBack"/>
      <w:bookmarkEnd w:id="0"/>
    </w:p>
    <w:p w14:paraId="757BF758">
      <w:pPr>
        <w:spacing w:line="48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vertAlign w:val="superscript"/>
        </w:rPr>
        <w:t>a</w:t>
      </w:r>
      <w:r>
        <w:rPr>
          <w:rFonts w:ascii="Times New Roman" w:hAnsi="Times New Roman"/>
          <w:sz w:val="24"/>
        </w:rPr>
        <w:t>Department of Neurosurgery, The First Hospital of China Medical University, Nanjing Street 155, Heping District, Shenyang 110001, P. R. China</w:t>
      </w:r>
    </w:p>
    <w:p w14:paraId="32E85863">
      <w:pPr>
        <w:spacing w:line="48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 w:cs="Times New Roman"/>
          <w:sz w:val="24"/>
          <w:vertAlign w:val="superscript"/>
        </w:rPr>
        <w:t>b</w:t>
      </w:r>
      <w:r>
        <w:rPr>
          <w:rFonts w:hint="eastAsia" w:ascii="Times New Roman" w:hAnsi="Times New Roman" w:cs="Times New Roman"/>
          <w:sz w:val="24"/>
        </w:rPr>
        <w:t xml:space="preserve">Department of Neurosurgery, Liaoning Cancer Hospital and Institute, Cancer Hospital of China Medical University, Shenyang 110042, </w:t>
      </w:r>
      <w:r>
        <w:rPr>
          <w:rFonts w:ascii="Times New Roman" w:hAnsi="Times New Roman" w:cs="Times New Roman"/>
          <w:sz w:val="24"/>
        </w:rPr>
        <w:t>P. R. China</w:t>
      </w:r>
    </w:p>
    <w:p w14:paraId="718682C0">
      <w:pPr>
        <w:spacing w:line="48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vertAlign w:val="superscript"/>
        </w:rPr>
        <w:t>c</w:t>
      </w:r>
      <w:r>
        <w:rPr>
          <w:rFonts w:ascii="Times New Roman" w:hAnsi="Times New Roman"/>
          <w:sz w:val="24"/>
        </w:rPr>
        <w:t>Department of Rheumatology and Immunology, The First Hospital of China Medical University, Shenyang 110001, P. R. China</w:t>
      </w:r>
    </w:p>
    <w:p w14:paraId="3830A833">
      <w:pPr>
        <w:spacing w:line="48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vertAlign w:val="superscript"/>
        </w:rPr>
        <w:t>d</w:t>
      </w:r>
      <w:r>
        <w:rPr>
          <w:rFonts w:hint="eastAsia" w:ascii="Times New Roman" w:hAnsi="Times New Roman"/>
          <w:sz w:val="24"/>
        </w:rPr>
        <w:t>Center for Bio-intelligent Manufacturing and Living Matter Bioprinting, Research Institute of Tsinghua University in Shenzhen, Tsinghua University, Shenzhen, 518057, People's</w:t>
      </w:r>
    </w:p>
    <w:p w14:paraId="3DFB5026">
      <w:pPr>
        <w:spacing w:line="48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Republic of China</w:t>
      </w:r>
    </w:p>
    <w:p w14:paraId="6E289FD5">
      <w:pPr>
        <w:spacing w:line="48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vertAlign w:val="superscript"/>
        </w:rPr>
        <w:t>e</w:t>
      </w:r>
      <w:r>
        <w:rPr>
          <w:rFonts w:ascii="Times New Roman" w:hAnsi="Times New Roman"/>
          <w:sz w:val="24"/>
        </w:rPr>
        <w:t>Center of Super-Diamond and Advanced Films (COSDAF), Department of Chemistry, City University of Hong Kong, 83 Tat Chee Avenue, Kowloon, Hong Kong SAR, P. R. China</w:t>
      </w:r>
    </w:p>
    <w:p w14:paraId="51F86F2E">
      <w:pPr>
        <w:spacing w:line="48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vertAlign w:val="superscript"/>
        </w:rPr>
        <w:t>f</w:t>
      </w:r>
      <w:r>
        <w:rPr>
          <w:rFonts w:ascii="Times New Roman" w:hAnsi="Times New Roman"/>
          <w:sz w:val="24"/>
        </w:rPr>
        <w:t>Department of Chemistry and the Institute for Sustainability and Energy, Northwestern University, 2145 Sheridan Road, Evanston, IL 60208-3113, USA</w:t>
      </w:r>
    </w:p>
    <w:p w14:paraId="621CD993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50C9F5C0">
      <w:pPr>
        <w:widowControl/>
        <w:spacing w:line="480" w:lineRule="auto"/>
        <w:jc w:val="left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  <w:sz w:val="24"/>
        </w:rPr>
        <w:t>Supplementary Figure 1.</w:t>
      </w:r>
    </w:p>
    <w:p w14:paraId="3951A0B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drawing>
          <wp:inline distT="0" distB="0" distL="0" distR="0">
            <wp:extent cx="5274310" cy="3441065"/>
            <wp:effectExtent l="0" t="0" r="13970" b="3175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F54E4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  <w:sz w:val="24"/>
        </w:rPr>
        <w:t>Supplementary Figure 1.</w:t>
      </w:r>
    </w:p>
    <w:p w14:paraId="7260447D">
      <w:pPr>
        <w:pStyle w:val="12"/>
        <w:numPr>
          <w:ilvl w:val="0"/>
          <w:numId w:val="1"/>
        </w:numPr>
        <w:spacing w:line="480" w:lineRule="auto"/>
        <w:ind w:left="-120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The TEM image of ZIF-8 and the images of elemental mapping of C, N, and O.</w:t>
      </w:r>
    </w:p>
    <w:p w14:paraId="1EBD2335">
      <w:pPr>
        <w:pStyle w:val="12"/>
        <w:numPr>
          <w:ilvl w:val="0"/>
          <w:numId w:val="1"/>
        </w:numPr>
        <w:spacing w:line="480" w:lineRule="auto"/>
        <w:ind w:left="-120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The TEM image of Ca/ZIF-8 and the images of elemental mapping of C, N, and Ca.</w:t>
      </w:r>
    </w:p>
    <w:p w14:paraId="4465DA9A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610E28FE">
      <w:pPr>
        <w:widowControl/>
        <w:spacing w:line="480" w:lineRule="auto"/>
        <w:jc w:val="left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  <w:sz w:val="24"/>
        </w:rPr>
        <w:t>Supplementary Figure 2.</w:t>
      </w:r>
    </w:p>
    <w:p w14:paraId="048A98DF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  <w:szCs w:val="21"/>
        </w:rPr>
      </w:pPr>
      <w:r>
        <w:rPr>
          <w:rFonts w:hint="eastAsia" w:ascii="Times New Roman" w:hAnsi="Times New Roman" w:cs="Times New Roman"/>
          <w:color w:val="000000"/>
          <w:szCs w:val="21"/>
        </w:rPr>
        <w:drawing>
          <wp:inline distT="0" distB="0" distL="114300" distR="114300">
            <wp:extent cx="5752465" cy="4424680"/>
            <wp:effectExtent l="0" t="0" r="635" b="13970"/>
            <wp:docPr id="4" name="图片 4" descr="SF1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F1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442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E5FDA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  <w:szCs w:val="21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Supplementary Figure 2. </w:t>
      </w:r>
      <w:r>
        <w:rPr>
          <w:rFonts w:ascii="Times New Roman" w:hAnsi="Times New Roman" w:cs="Times New Roman"/>
          <w:color w:val="000000"/>
          <w:szCs w:val="21"/>
        </w:rPr>
        <w:t xml:space="preserve"> </w:t>
      </w:r>
    </w:p>
    <w:p w14:paraId="00F5584F">
      <w:pPr>
        <w:widowControl/>
        <w:numPr>
          <w:ilvl w:val="0"/>
          <w:numId w:val="2"/>
        </w:numPr>
        <w:spacing w:line="480" w:lineRule="auto"/>
        <w:jc w:val="left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sz w:val="24"/>
        </w:rPr>
        <w:t>SEM image of (a) ZIF-8 and (b) Ca/ZIF-8.</w:t>
      </w:r>
      <w:r>
        <w:rPr>
          <w:rFonts w:hint="eastAsia" w:ascii="Times New Roman" w:hAnsi="Times New Roman" w:cs="Times New Roman"/>
          <w:sz w:val="24"/>
        </w:rPr>
        <w:t xml:space="preserve"> </w:t>
      </w:r>
    </w:p>
    <w:p w14:paraId="4D372D17">
      <w:pPr>
        <w:widowControl/>
        <w:numPr>
          <w:ilvl w:val="0"/>
          <w:numId w:val="2"/>
        </w:numPr>
        <w:spacing w:line="480" w:lineRule="auto"/>
        <w:jc w:val="left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sz w:val="24"/>
        </w:rPr>
        <w:t>Simulated XRD patterns of ZIF-8 and experimental XRD patterns of ZIF-8 and Ca</w:t>
      </w:r>
      <w:r>
        <w:rPr>
          <w:rFonts w:hint="eastAsia" w:ascii="Times New Roman" w:hAnsi="Times New Roman" w:cs="Times New Roman"/>
          <w:sz w:val="24"/>
        </w:rPr>
        <w:t>-ZIF 8</w:t>
      </w:r>
      <w:r>
        <w:rPr>
          <w:rFonts w:ascii="Times New Roman" w:hAnsi="Times New Roman" w:cs="Times New Roman"/>
          <w:sz w:val="24"/>
        </w:rPr>
        <w:t>.</w:t>
      </w:r>
    </w:p>
    <w:p w14:paraId="556BD4F6">
      <w:pPr>
        <w:widowControl/>
        <w:numPr>
          <w:ilvl w:val="0"/>
          <w:numId w:val="2"/>
        </w:numPr>
        <w:spacing w:line="480" w:lineRule="auto"/>
        <w:jc w:val="left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sz w:val="24"/>
        </w:rPr>
        <w:t>Ca-CN electron energy loss spectroscopy (EELs）</w:t>
      </w:r>
    </w:p>
    <w:p w14:paraId="5A4045F6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color w:val="000000"/>
          <w:szCs w:val="21"/>
        </w:rPr>
        <w:br w:type="page"/>
      </w:r>
    </w:p>
    <w:p w14:paraId="3F9257B8">
      <w:pPr>
        <w:widowControl/>
        <w:spacing w:line="480" w:lineRule="auto"/>
        <w:jc w:val="left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  <w:sz w:val="24"/>
        </w:rPr>
        <w:t>Supplementary Figure 3.</w:t>
      </w:r>
    </w:p>
    <w:p w14:paraId="760B9B84">
      <w:pPr>
        <w:widowControl/>
        <w:spacing w:line="480" w:lineRule="auto"/>
        <w:jc w:val="left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drawing>
          <wp:inline distT="0" distB="0" distL="114300" distR="114300">
            <wp:extent cx="4824730" cy="6386830"/>
            <wp:effectExtent l="0" t="0" r="6350" b="13970"/>
            <wp:docPr id="2" name="图片 2" descr="SF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F2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4730" cy="638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97F0F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  <w:szCs w:val="21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Supplementary Figure 3. </w:t>
      </w:r>
    </w:p>
    <w:p w14:paraId="75959C8B">
      <w:pPr>
        <w:widowControl/>
        <w:numPr>
          <w:ilvl w:val="0"/>
          <w:numId w:val="3"/>
        </w:numPr>
        <w:spacing w:line="480" w:lineRule="auto"/>
        <w:jc w:val="left"/>
        <w:rPr>
          <w:rFonts w:ascii="Times New Roman" w:hAnsi="Times New Roman" w:eastAsia="Times New Roman" w:cs="Times New Roman"/>
        </w:rPr>
      </w:pPr>
      <w:r>
        <w:rPr>
          <w:rFonts w:hint="eastAsia" w:ascii="Times New Roman" w:hAnsi="Times New Roman" w:cs="Times New Roman"/>
          <w:sz w:val="24"/>
        </w:rPr>
        <w:t>Comparison of the peroxidase-like activity between CaCN and HRP.</w:t>
      </w:r>
    </w:p>
    <w:p w14:paraId="103A6DFD">
      <w:pPr>
        <w:widowControl/>
        <w:numPr>
          <w:ilvl w:val="0"/>
          <w:numId w:val="3"/>
        </w:numPr>
        <w:spacing w:line="480" w:lineRule="auto"/>
        <w:jc w:val="left"/>
        <w:rPr>
          <w:rFonts w:ascii="Times New Roman" w:hAnsi="Times New Roman" w:eastAsia="Times New Roman" w:cs="Times New Roman"/>
        </w:rPr>
      </w:pPr>
      <w:r>
        <w:rPr>
          <w:rFonts w:hint="eastAsia" w:ascii="Times New Roman" w:hAnsi="Times New Roman" w:eastAsia="Times New Roman" w:cs="Times New Roman"/>
        </w:rPr>
        <w:t>Photothermal analysis of Ca/CN-SAzyme</w:t>
      </w:r>
      <w:r>
        <w:rPr>
          <w:rFonts w:hint="eastAsia" w:ascii="Times New Roman" w:hAnsi="Times New Roman" w:eastAsia="宋体" w:cs="Times New Roman"/>
        </w:rPr>
        <w:t>.</w:t>
      </w:r>
    </w:p>
    <w:p w14:paraId="61DA6098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eastAsia="Times New Roman" w:cs="Times New Roman"/>
        </w:rPr>
        <w:br w:type="page"/>
      </w:r>
    </w:p>
    <w:p w14:paraId="63F3F4E5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Supplementary Figure 4. </w:t>
      </w:r>
    </w:p>
    <w:p w14:paraId="494B141C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drawing>
          <wp:inline distT="0" distB="0" distL="114300" distR="114300">
            <wp:extent cx="3999230" cy="6731635"/>
            <wp:effectExtent l="0" t="0" r="8890" b="4445"/>
            <wp:docPr id="7" name="图片 7" descr="SF-4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F-4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99230" cy="673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32267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Supplementary Figure 4.  </w:t>
      </w:r>
    </w:p>
    <w:p w14:paraId="4A8CF3D8">
      <w:pPr>
        <w:widowControl/>
        <w:numPr>
          <w:ilvl w:val="0"/>
          <w:numId w:val="4"/>
        </w:num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The cytotoxicity between ZIF-8 after calcination and CaCN in LN229 cell line.</w:t>
      </w:r>
    </w:p>
    <w:p w14:paraId="3F2F9662">
      <w:pPr>
        <w:widowControl/>
        <w:numPr>
          <w:ilvl w:val="0"/>
          <w:numId w:val="4"/>
        </w:num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Viability curves of LN229 and NHA cells treated with different concentrations of TF-CaCN.</w:t>
      </w:r>
    </w:p>
    <w:p w14:paraId="30FD3CB6">
      <w:pPr>
        <w:widowControl/>
        <w:numPr>
          <w:ilvl w:val="0"/>
          <w:numId w:val="4"/>
        </w:num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WB results show that in LN229 and GSC23 cell lines, H2O2 influences the catalytic efficiency of CaCN, thereby promoting cell apoptosis.</w:t>
      </w:r>
    </w:p>
    <w:p w14:paraId="6A97A0AE">
      <w:pPr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br w:type="page"/>
      </w:r>
    </w:p>
    <w:p w14:paraId="4523B60F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Supplementary Figure 5. </w:t>
      </w:r>
    </w:p>
    <w:p w14:paraId="58430539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drawing>
          <wp:inline distT="0" distB="0" distL="114300" distR="114300">
            <wp:extent cx="5752465" cy="3665855"/>
            <wp:effectExtent l="0" t="0" r="8255" b="6985"/>
            <wp:docPr id="1" name="图片 1" descr="CaCN cibersort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aCN cibersort_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366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15A41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Supplementary Figure 5. </w:t>
      </w:r>
      <w:r>
        <w:rPr>
          <w:rFonts w:hint="eastAsia" w:ascii="Times New Roman" w:hAnsi="Times New Roman" w:cs="Times New Roman"/>
          <w:sz w:val="24"/>
        </w:rPr>
        <w:t>Immune infiltration in CaCN-treated glioma cells versus controls was calculated using the cibersort algorithm.</w:t>
      </w:r>
    </w:p>
    <w:p w14:paraId="0D2B0600">
      <w:pPr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br w:type="page"/>
      </w:r>
    </w:p>
    <w:p w14:paraId="02DDB01E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Supplementary Figure 6. </w:t>
      </w:r>
    </w:p>
    <w:p w14:paraId="10E6E1F4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drawing>
          <wp:inline distT="0" distB="0" distL="114300" distR="114300">
            <wp:extent cx="5340985" cy="3540125"/>
            <wp:effectExtent l="0" t="0" r="8255" b="10795"/>
            <wp:docPr id="9" name="图片 9" descr="SF6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F6_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0985" cy="354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6375F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Supplementary Figure 6.  </w:t>
      </w:r>
    </w:p>
    <w:p w14:paraId="079296DB">
      <w:pPr>
        <w:widowControl/>
        <w:numPr>
          <w:ilvl w:val="0"/>
          <w:numId w:val="5"/>
        </w:num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PCR results demonstrate the effects of CaCN and TF-CaCN on M1 markers (IL-6 and iNOS) in RAW and THP-1 cell lines.</w:t>
      </w:r>
    </w:p>
    <w:p w14:paraId="69A064EF">
      <w:pPr>
        <w:widowControl/>
        <w:numPr>
          <w:ilvl w:val="0"/>
          <w:numId w:val="5"/>
        </w:num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Dynamic light scattering (DLS) analysis for measuring the particle size of TF-CaCN.</w:t>
      </w:r>
    </w:p>
    <w:p w14:paraId="4B346462">
      <w:pPr>
        <w:widowControl/>
        <w:numPr>
          <w:ilvl w:val="0"/>
          <w:numId w:val="5"/>
        </w:num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The cytotoxicity between CaCN and TF-CaCN in LN229 cell line.</w:t>
      </w:r>
    </w:p>
    <w:p w14:paraId="43F163C2">
      <w:pPr>
        <w:widowControl/>
        <w:numPr>
          <w:ilvl w:val="0"/>
          <w:numId w:val="5"/>
        </w:num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WB results compare the effects of CaCN and TF-CaCN on calcium ion channels in LN229 and GSC23 cell lines.</w:t>
      </w:r>
    </w:p>
    <w:p w14:paraId="4957EC15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br w:type="page"/>
      </w:r>
    </w:p>
    <w:p w14:paraId="1C0A8411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Supplementary Figure 7. </w:t>
      </w:r>
    </w:p>
    <w:p w14:paraId="034A4F51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drawing>
          <wp:inline distT="0" distB="0" distL="114300" distR="114300">
            <wp:extent cx="5753735" cy="3545840"/>
            <wp:effectExtent l="0" t="0" r="6985" b="5080"/>
            <wp:docPr id="5" name="图片 5" descr="CD4CD8IHC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D4CD8IHC_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354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FB78B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Supplementary Figure 7. </w:t>
      </w:r>
      <w:r>
        <w:rPr>
          <w:rFonts w:hint="eastAsia" w:ascii="Times New Roman" w:hAnsi="Times New Roman" w:cs="Times New Roman"/>
          <w:sz w:val="24"/>
        </w:rPr>
        <w:t>Immunohistochemistry was used to detect the expression of peritumoral immune-related indicators (CD4, CD8) in mice after injection of TF-CaCN and CaCN.</w:t>
      </w:r>
    </w:p>
    <w:p w14:paraId="0E664EB3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br w:type="page"/>
      </w:r>
    </w:p>
    <w:p w14:paraId="1F9CAD2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Supplementary Figure 8. </w:t>
      </w:r>
    </w:p>
    <w:p w14:paraId="5ECF059E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drawing>
          <wp:inline distT="0" distB="0" distL="114300" distR="114300">
            <wp:extent cx="5753735" cy="1666875"/>
            <wp:effectExtent l="0" t="0" r="6985" b="9525"/>
            <wp:docPr id="6" name="图片 6" descr="心肝脾肺肾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心肝脾肺肾_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DA36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Supplementary Figure 8. </w:t>
      </w:r>
      <w:r>
        <w:rPr>
          <w:rFonts w:hint="eastAsia" w:ascii="Times New Roman" w:hAnsi="Times New Roman" w:cs="Times New Roman"/>
          <w:sz w:val="24"/>
        </w:rPr>
        <w:t>Histological examination of major organs (heart, liver, spleen, lung and kidney)from G261 tumor-bearing mice in various treatment groups.</w:t>
      </w:r>
    </w:p>
    <w:p w14:paraId="0C543DC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7"/>
        <w:gridCol w:w="5809"/>
      </w:tblGrid>
      <w:tr w14:paraId="28E60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" w:hRule="atLeast"/>
        </w:trPr>
        <w:tc>
          <w:tcPr>
            <w:tcW w:w="2487" w:type="dxa"/>
          </w:tcPr>
          <w:p w14:paraId="5DCFD4A0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G</w:t>
            </w:r>
            <w:r>
              <w:rPr>
                <w:sz w:val="24"/>
              </w:rPr>
              <w:t>EO</w:t>
            </w:r>
          </w:p>
        </w:tc>
        <w:tc>
          <w:tcPr>
            <w:tcW w:w="5809" w:type="dxa"/>
          </w:tcPr>
          <w:p w14:paraId="2B1473F8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https://www.ncbi.nlm.nih.gov/geo/</w:t>
            </w:r>
          </w:p>
        </w:tc>
      </w:tr>
      <w:tr w14:paraId="6042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87" w:type="dxa"/>
          </w:tcPr>
          <w:p w14:paraId="07ACD0FF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TCGA</w:t>
            </w:r>
          </w:p>
        </w:tc>
        <w:tc>
          <w:tcPr>
            <w:tcW w:w="5809" w:type="dxa"/>
          </w:tcPr>
          <w:p w14:paraId="24B0A2FF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https://portal.gdc.cancer.gov/</w:t>
            </w:r>
          </w:p>
        </w:tc>
      </w:tr>
      <w:tr w14:paraId="255B2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7" w:type="dxa"/>
          </w:tcPr>
          <w:p w14:paraId="071C7835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C</w:t>
            </w:r>
            <w:r>
              <w:rPr>
                <w:sz w:val="24"/>
              </w:rPr>
              <w:t>GGA</w:t>
            </w:r>
          </w:p>
        </w:tc>
        <w:tc>
          <w:tcPr>
            <w:tcW w:w="5809" w:type="dxa"/>
          </w:tcPr>
          <w:p w14:paraId="06894FE5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http://www.cgga.org.cn/</w:t>
            </w:r>
          </w:p>
        </w:tc>
      </w:tr>
      <w:tr w14:paraId="7A86A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7" w:type="dxa"/>
          </w:tcPr>
          <w:p w14:paraId="48B9E0E7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G</w:t>
            </w:r>
            <w:r>
              <w:rPr>
                <w:sz w:val="24"/>
              </w:rPr>
              <w:t>SEA</w:t>
            </w:r>
          </w:p>
        </w:tc>
        <w:tc>
          <w:tcPr>
            <w:tcW w:w="5809" w:type="dxa"/>
          </w:tcPr>
          <w:p w14:paraId="26DAF764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https://www.gsea-msigdb.org/gsea/msigdb/index.jsp</w:t>
            </w:r>
          </w:p>
        </w:tc>
      </w:tr>
    </w:tbl>
    <w:p w14:paraId="458CADD9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Table S1.</w:t>
      </w:r>
      <w:r>
        <w:rPr>
          <w:rFonts w:hint="eastAsia" w:ascii="Times New Roman" w:hAnsi="Times New Roman" w:cs="Times New Roman"/>
          <w:sz w:val="24"/>
        </w:rPr>
        <w:t xml:space="preserve"> The database website.</w:t>
      </w:r>
    </w:p>
    <w:p w14:paraId="2B70614B">
      <w:pPr>
        <w:spacing w:line="480" w:lineRule="auto"/>
        <w:rPr>
          <w:rFonts w:ascii="Times New Roman" w:hAnsi="Times New Roman" w:cs="Times New Roman"/>
          <w:sz w:val="24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5"/>
        <w:gridCol w:w="3286"/>
        <w:gridCol w:w="3507"/>
      </w:tblGrid>
      <w:tr w14:paraId="17E22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5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540FDEE8">
            <w:pPr>
              <w:tabs>
                <w:tab w:val="left" w:pos="2255"/>
              </w:tabs>
              <w:spacing w:line="480" w:lineRule="auto"/>
              <w:rPr>
                <w:b/>
                <w:bCs w:val="0"/>
                <w:sz w:val="24"/>
              </w:rPr>
            </w:pPr>
            <w:r>
              <w:rPr>
                <w:b/>
                <w:bCs/>
                <w:szCs w:val="21"/>
              </w:rPr>
              <w:t>Primer</w:t>
            </w:r>
          </w:p>
        </w:tc>
        <w:tc>
          <w:tcPr>
            <w:tcW w:w="3286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535EF0D2">
            <w:pPr>
              <w:tabs>
                <w:tab w:val="left" w:pos="2255"/>
              </w:tabs>
              <w:spacing w:line="480" w:lineRule="auto"/>
              <w:rPr>
                <w:b/>
                <w:bCs w:val="0"/>
                <w:sz w:val="24"/>
              </w:rPr>
            </w:pPr>
            <w:r>
              <w:rPr>
                <w:b/>
                <w:bCs/>
                <w:szCs w:val="21"/>
              </w:rPr>
              <w:t>Forward (5’-3’)</w:t>
            </w:r>
          </w:p>
        </w:tc>
        <w:tc>
          <w:tcPr>
            <w:tcW w:w="3507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7CF32998">
            <w:pPr>
              <w:tabs>
                <w:tab w:val="left" w:pos="2255"/>
              </w:tabs>
              <w:spacing w:line="480" w:lineRule="auto"/>
              <w:rPr>
                <w:b/>
                <w:bCs w:val="0"/>
                <w:sz w:val="24"/>
              </w:rPr>
            </w:pPr>
            <w:r>
              <w:rPr>
                <w:b/>
                <w:bCs/>
                <w:szCs w:val="21"/>
              </w:rPr>
              <w:t>Reverse (5’-3’)</w:t>
            </w:r>
          </w:p>
        </w:tc>
      </w:tr>
      <w:tr w14:paraId="4B341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5" w:type="dxa"/>
          </w:tcPr>
          <w:p w14:paraId="6943DC36">
            <w:pPr>
              <w:tabs>
                <w:tab w:val="left" w:pos="2255"/>
              </w:tabs>
              <w:spacing w:line="480" w:lineRule="auto"/>
              <w:rPr>
                <w:rFonts w:eastAsia="宋体"/>
                <w:b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Caspase1</w:t>
            </w:r>
          </w:p>
        </w:tc>
        <w:tc>
          <w:tcPr>
            <w:tcW w:w="3286" w:type="dxa"/>
          </w:tcPr>
          <w:p w14:paraId="3798F75C">
            <w:pPr>
              <w:tabs>
                <w:tab w:val="left" w:pos="2255"/>
              </w:tabs>
              <w:spacing w:line="480" w:lineRule="auto"/>
              <w:rPr>
                <w:b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AAATCTCACTGCTTCGGACA</w:t>
            </w:r>
          </w:p>
        </w:tc>
        <w:tc>
          <w:tcPr>
            <w:tcW w:w="3507" w:type="dxa"/>
          </w:tcPr>
          <w:p w14:paraId="592E4590">
            <w:pPr>
              <w:tabs>
                <w:tab w:val="left" w:pos="2255"/>
              </w:tabs>
              <w:spacing w:line="480" w:lineRule="auto"/>
              <w:rPr>
                <w:b/>
                <w:sz w:val="18"/>
                <w:szCs w:val="18"/>
              </w:rPr>
            </w:pPr>
            <w:r>
              <w:rPr>
                <w:rFonts w:hint="eastAsia"/>
              </w:rPr>
              <w:t>GGCTGCTCAAATGAAAATCGAAC</w:t>
            </w:r>
          </w:p>
        </w:tc>
      </w:tr>
      <w:tr w14:paraId="5CC1D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5" w:type="dxa"/>
          </w:tcPr>
          <w:p w14:paraId="536AC55D">
            <w:pPr>
              <w:tabs>
                <w:tab w:val="left" w:pos="2255"/>
              </w:tabs>
              <w:spacing w:line="480" w:lineRule="auto"/>
              <w:rPr>
                <w:rFonts w:eastAsia="宋体"/>
                <w:b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GPX4</w:t>
            </w:r>
          </w:p>
        </w:tc>
        <w:tc>
          <w:tcPr>
            <w:tcW w:w="3286" w:type="dxa"/>
          </w:tcPr>
          <w:p w14:paraId="04451DCA">
            <w:pPr>
              <w:tabs>
                <w:tab w:val="left" w:pos="2255"/>
              </w:tabs>
              <w:spacing w:line="48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CGCCTTTGCCGCCTACTGA</w:t>
            </w:r>
          </w:p>
        </w:tc>
        <w:tc>
          <w:tcPr>
            <w:tcW w:w="3507" w:type="dxa"/>
          </w:tcPr>
          <w:p w14:paraId="35DAD8CE">
            <w:pPr>
              <w:tabs>
                <w:tab w:val="left" w:pos="2255"/>
              </w:tabs>
              <w:spacing w:line="48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CTGGCTCCTGCTTCCCGAAC</w:t>
            </w:r>
          </w:p>
        </w:tc>
      </w:tr>
      <w:tr w14:paraId="4442E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5" w:type="dxa"/>
          </w:tcPr>
          <w:p w14:paraId="40289C72">
            <w:pPr>
              <w:tabs>
                <w:tab w:val="left" w:pos="2255"/>
              </w:tabs>
              <w:spacing w:line="480" w:lineRule="auto"/>
              <w:rPr>
                <w:rFonts w:eastAsia="宋体"/>
                <w:b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Il6</w:t>
            </w:r>
          </w:p>
        </w:tc>
        <w:tc>
          <w:tcPr>
            <w:tcW w:w="3286" w:type="dxa"/>
          </w:tcPr>
          <w:p w14:paraId="7EE283AC">
            <w:pPr>
              <w:tabs>
                <w:tab w:val="left" w:pos="2255"/>
              </w:tabs>
              <w:spacing w:line="48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AACAAATTCGGTACATCCTCGAC</w:t>
            </w:r>
          </w:p>
        </w:tc>
        <w:tc>
          <w:tcPr>
            <w:tcW w:w="3507" w:type="dxa"/>
          </w:tcPr>
          <w:p w14:paraId="6A47A950">
            <w:pPr>
              <w:tabs>
                <w:tab w:val="left" w:pos="2255"/>
              </w:tabs>
              <w:spacing w:line="48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ATTTTCACCAGGCAAGTCTCC</w:t>
            </w:r>
          </w:p>
        </w:tc>
      </w:tr>
      <w:tr w14:paraId="3DC8A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5" w:type="dxa"/>
          </w:tcPr>
          <w:p w14:paraId="0AA878BE">
            <w:pPr>
              <w:tabs>
                <w:tab w:val="left" w:pos="2255"/>
              </w:tabs>
              <w:spacing w:line="480" w:lineRule="auto"/>
              <w:rPr>
                <w:rFonts w:eastAsia="宋体"/>
                <w:b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iNOS</w:t>
            </w:r>
          </w:p>
        </w:tc>
        <w:tc>
          <w:tcPr>
            <w:tcW w:w="3286" w:type="dxa"/>
          </w:tcPr>
          <w:p w14:paraId="7FB7CF36">
            <w:pPr>
              <w:tabs>
                <w:tab w:val="left" w:pos="2255"/>
              </w:tabs>
              <w:spacing w:line="480" w:lineRule="auto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TCCCACCTGACCTTGTGCTT</w:t>
            </w:r>
          </w:p>
        </w:tc>
        <w:tc>
          <w:tcPr>
            <w:tcW w:w="3507" w:type="dxa"/>
          </w:tcPr>
          <w:p w14:paraId="40903FCE">
            <w:pPr>
              <w:tabs>
                <w:tab w:val="left" w:pos="2255"/>
              </w:tabs>
              <w:spacing w:line="480" w:lineRule="auto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CAGGGCGTACCACTTTAGCTC</w:t>
            </w:r>
          </w:p>
        </w:tc>
      </w:tr>
      <w:tr w14:paraId="5DA1F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5" w:type="dxa"/>
          </w:tcPr>
          <w:p w14:paraId="0F3E252D">
            <w:pPr>
              <w:tabs>
                <w:tab w:val="left" w:pos="2255"/>
              </w:tabs>
              <w:spacing w:line="480" w:lineRule="auto"/>
              <w:rPr>
                <w:rFonts w:eastAsia="宋体"/>
                <w:b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PMCA4</w:t>
            </w:r>
          </w:p>
        </w:tc>
        <w:tc>
          <w:tcPr>
            <w:tcW w:w="3286" w:type="dxa"/>
          </w:tcPr>
          <w:p w14:paraId="597A125C">
            <w:pPr>
              <w:tabs>
                <w:tab w:val="left" w:pos="2255"/>
              </w:tabs>
              <w:spacing w:line="480" w:lineRule="auto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ATTAACACATTCCAGACGGGAG</w:t>
            </w:r>
          </w:p>
        </w:tc>
        <w:tc>
          <w:tcPr>
            <w:tcW w:w="3507" w:type="dxa"/>
          </w:tcPr>
          <w:p w14:paraId="17BCF421">
            <w:pPr>
              <w:tabs>
                <w:tab w:val="left" w:pos="2255"/>
              </w:tabs>
              <w:spacing w:line="480" w:lineRule="auto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CTATGGAACGCTTTGACCACT</w:t>
            </w:r>
          </w:p>
        </w:tc>
      </w:tr>
      <w:tr w14:paraId="06128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5" w:type="dxa"/>
          </w:tcPr>
          <w:p w14:paraId="21C603A8">
            <w:pPr>
              <w:tabs>
                <w:tab w:val="left" w:pos="2255"/>
              </w:tabs>
              <w:spacing w:line="480" w:lineRule="auto"/>
              <w:rPr>
                <w:rFonts w:eastAsia="宋体"/>
                <w:b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TNF-α</w:t>
            </w:r>
          </w:p>
        </w:tc>
        <w:tc>
          <w:tcPr>
            <w:tcW w:w="3286" w:type="dxa"/>
          </w:tcPr>
          <w:p w14:paraId="30D43773">
            <w:pPr>
              <w:tabs>
                <w:tab w:val="left" w:pos="2255"/>
              </w:tabs>
              <w:spacing w:line="480" w:lineRule="auto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TCGAACCCCGAGTGACAAGCC</w:t>
            </w:r>
          </w:p>
        </w:tc>
        <w:tc>
          <w:tcPr>
            <w:tcW w:w="3507" w:type="dxa"/>
          </w:tcPr>
          <w:p w14:paraId="57A2432F">
            <w:pPr>
              <w:tabs>
                <w:tab w:val="left" w:pos="2255"/>
              </w:tabs>
              <w:spacing w:line="480" w:lineRule="auto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GTTCTTATACTCGGGCCACAC</w:t>
            </w:r>
          </w:p>
        </w:tc>
      </w:tr>
      <w:tr w14:paraId="57290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5" w:type="dxa"/>
          </w:tcPr>
          <w:p w14:paraId="2D7DFC83">
            <w:pPr>
              <w:tabs>
                <w:tab w:val="left" w:pos="2255"/>
              </w:tabs>
              <w:spacing w:line="480" w:lineRule="auto"/>
              <w:rPr>
                <w:b/>
                <w:bCs w:val="0"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GAPDH</w:t>
            </w:r>
          </w:p>
        </w:tc>
        <w:tc>
          <w:tcPr>
            <w:tcW w:w="3286" w:type="dxa"/>
          </w:tcPr>
          <w:p w14:paraId="587F7A38">
            <w:pPr>
              <w:tabs>
                <w:tab w:val="left" w:pos="2255"/>
              </w:tabs>
              <w:spacing w:line="480" w:lineRule="auto"/>
              <w:rPr>
                <w:bCs/>
                <w:sz w:val="18"/>
                <w:szCs w:val="18"/>
              </w:rPr>
            </w:pPr>
            <w:r>
              <w:rPr>
                <w:rFonts w:hint="eastAsia"/>
              </w:rPr>
              <w:t>ACGACCACTTTGTCAAGCTC</w:t>
            </w:r>
          </w:p>
        </w:tc>
        <w:tc>
          <w:tcPr>
            <w:tcW w:w="3507" w:type="dxa"/>
          </w:tcPr>
          <w:p w14:paraId="0CF6BF47">
            <w:pPr>
              <w:tabs>
                <w:tab w:val="left" w:pos="2255"/>
              </w:tabs>
              <w:spacing w:line="480" w:lineRule="auto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CTGTTGCTGTAGCCAAATTCGTT</w:t>
            </w:r>
          </w:p>
        </w:tc>
      </w:tr>
      <w:tr w14:paraId="3F761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5" w:type="dxa"/>
          </w:tcPr>
          <w:p w14:paraId="5EBD9C3A">
            <w:pPr>
              <w:tabs>
                <w:tab w:val="left" w:pos="2255"/>
              </w:tabs>
              <w:spacing w:line="480" w:lineRule="auto"/>
              <w:rPr>
                <w:rFonts w:eastAsia="宋体"/>
                <w:b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ACSL4</w:t>
            </w:r>
          </w:p>
        </w:tc>
        <w:tc>
          <w:tcPr>
            <w:tcW w:w="3286" w:type="dxa"/>
          </w:tcPr>
          <w:p w14:paraId="5D59ABFF">
            <w:pPr>
              <w:tabs>
                <w:tab w:val="left" w:pos="2255"/>
              </w:tabs>
              <w:spacing w:line="480" w:lineRule="auto"/>
            </w:pPr>
            <w:r>
              <w:rPr>
                <w:rFonts w:hint="eastAsia"/>
              </w:rPr>
              <w:t>ACTTAAGCTAAATGTGCTCACC</w:t>
            </w:r>
          </w:p>
        </w:tc>
        <w:tc>
          <w:tcPr>
            <w:tcW w:w="3507" w:type="dxa"/>
          </w:tcPr>
          <w:p w14:paraId="0A295CCA">
            <w:pPr>
              <w:tabs>
                <w:tab w:val="left" w:pos="2255"/>
              </w:tabs>
              <w:spacing w:line="480" w:lineRule="auto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ATTCTCTTTGCCATAGCGTTT</w:t>
            </w:r>
          </w:p>
        </w:tc>
      </w:tr>
    </w:tbl>
    <w:p w14:paraId="2926116B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Table S2.</w:t>
      </w:r>
      <w:r>
        <w:rPr>
          <w:rFonts w:hint="eastAsia" w:ascii="Times New Roman" w:hAnsi="Times New Roman" w:cs="Times New Roman"/>
          <w:sz w:val="24"/>
        </w:rPr>
        <w:t xml:space="preserve"> PCR Primers sequences.</w:t>
      </w:r>
    </w:p>
    <w:p w14:paraId="3772DE04">
      <w:pPr>
        <w:spacing w:line="480" w:lineRule="auto"/>
        <w:rPr>
          <w:rFonts w:ascii="Times New Roman" w:hAnsi="Times New Roman" w:cs="Times New Roman"/>
          <w:sz w:val="24"/>
        </w:rPr>
      </w:pPr>
    </w:p>
    <w:p w14:paraId="6BB5FD8F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Refrence:</w:t>
      </w:r>
    </w:p>
    <w:p w14:paraId="34836A52">
      <w:pPr>
        <w:pStyle w:val="8"/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fldChar w:fldCharType="begin"/>
      </w:r>
      <w:r>
        <w:rPr>
          <w:rFonts w:hint="eastAsia" w:ascii="Times New Roman" w:hAnsi="Times New Roman" w:cs="Times New Roman"/>
          <w:sz w:val="24"/>
        </w:rPr>
        <w:instrText xml:space="preserve"> ADDIN ZOTERO_BIBL {"uncited":[],"omitted":[],"custom":[]} CSL_BIBLIOGRAPHY </w:instrText>
      </w:r>
      <w:r>
        <w:rPr>
          <w:rFonts w:hint="eastAsia"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t>[1]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M. E. Ritchie, B. Phipson, D. Wu, Y. Hu, C. W. Law, W. Shi, G. K. Smyth, Nucleic Acids Res. 2015, 43, e47.</w:t>
      </w:r>
    </w:p>
    <w:p w14:paraId="75FBBA01">
      <w:pPr>
        <w:pStyle w:val="8"/>
        <w:spacing w:line="480" w:lineRule="auto"/>
        <w:rPr>
          <w:rFonts w:ascii="Times New Roman" w:hAnsi="Times New Roman" w:cs="Times New Roman"/>
          <w:sz w:val="24"/>
          <w:lang w:val="de-DE"/>
        </w:rPr>
      </w:pPr>
      <w:r>
        <w:rPr>
          <w:rFonts w:ascii="Times New Roman" w:hAnsi="Times New Roman" w:cs="Times New Roman"/>
          <w:sz w:val="24"/>
          <w:lang w:val="de-DE"/>
        </w:rPr>
        <w:t>[2]</w:t>
      </w:r>
      <w:r>
        <w:rPr>
          <w:rFonts w:ascii="Times New Roman" w:hAnsi="Times New Roman" w:cs="Times New Roman"/>
          <w:sz w:val="24"/>
          <w:lang w:val="de-DE"/>
        </w:rPr>
        <w:tab/>
      </w:r>
      <w:r>
        <w:rPr>
          <w:rFonts w:ascii="Times New Roman" w:hAnsi="Times New Roman" w:cs="Times New Roman"/>
          <w:sz w:val="24"/>
          <w:lang w:val="de-DE"/>
        </w:rPr>
        <w:t>T. Wu, E. Hu, S. Xu, M. Chen, P. Guo, Z. Dai, T. Feng, L. Zhou, W. Tang, L. Zhan, X. Fu, S. Liu, X. Bo, G. Yu, Innov. Camb. Mass 2021, 2, 100141.</w:t>
      </w:r>
    </w:p>
    <w:p w14:paraId="0B26E158">
      <w:pPr>
        <w:pStyle w:val="8"/>
        <w:spacing w:line="480" w:lineRule="auto"/>
        <w:rPr>
          <w:rFonts w:ascii="Times New Roman" w:hAnsi="Times New Roman" w:cs="Times New Roman"/>
          <w:sz w:val="24"/>
          <w:lang w:val="de-DE"/>
        </w:rPr>
      </w:pPr>
      <w:r>
        <w:rPr>
          <w:rFonts w:ascii="Times New Roman" w:hAnsi="Times New Roman" w:cs="Times New Roman"/>
          <w:sz w:val="24"/>
          <w:lang w:val="de-DE"/>
        </w:rPr>
        <w:t>[3]</w:t>
      </w:r>
      <w:r>
        <w:rPr>
          <w:rFonts w:ascii="Times New Roman" w:hAnsi="Times New Roman" w:cs="Times New Roman"/>
          <w:sz w:val="24"/>
          <w:lang w:val="de-DE"/>
        </w:rPr>
        <w:tab/>
      </w:r>
      <w:r>
        <w:rPr>
          <w:rFonts w:ascii="Times New Roman" w:hAnsi="Times New Roman" w:cs="Times New Roman"/>
          <w:sz w:val="24"/>
          <w:lang w:val="de-DE"/>
        </w:rPr>
        <w:t>Y. Jiang, J. Zhou, J. Zhao, D. Hou, H. Zhang, L. Li, D. Zou, J. Hu, Y. Zhang, Z. Jing, EBioMedicine 2020, 52, 102651.</w:t>
      </w:r>
    </w:p>
    <w:p w14:paraId="03AC374D">
      <w:pPr>
        <w:pStyle w:val="8"/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de-DE"/>
        </w:rPr>
        <w:t>[4]</w:t>
      </w:r>
      <w:r>
        <w:rPr>
          <w:rFonts w:ascii="Times New Roman" w:hAnsi="Times New Roman" w:cs="Times New Roman"/>
          <w:sz w:val="24"/>
          <w:lang w:val="de-DE"/>
        </w:rPr>
        <w:tab/>
      </w:r>
      <w:r>
        <w:rPr>
          <w:rFonts w:ascii="Times New Roman" w:hAnsi="Times New Roman" w:cs="Times New Roman"/>
          <w:sz w:val="24"/>
          <w:lang w:val="de-DE"/>
        </w:rPr>
        <w:t xml:space="preserve">J. Zhao, Y. Jiang, H. Zhang, J. Zhou, L. Chen, H. Li, J. Xu, G. Zhang, Z. Jing, J. Exp. </w:t>
      </w:r>
      <w:r>
        <w:rPr>
          <w:rFonts w:ascii="Times New Roman" w:hAnsi="Times New Roman" w:cs="Times New Roman"/>
          <w:sz w:val="24"/>
        </w:rPr>
        <w:t>Clin. Cancer Res. CR 2021, 40, 134.</w:t>
      </w:r>
    </w:p>
    <w:p w14:paraId="283117EE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fldChar w:fldCharType="end"/>
      </w:r>
    </w:p>
    <w:sectPr>
      <w:pgSz w:w="11900" w:h="16840"/>
      <w:pgMar w:top="1418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B70BB8"/>
    <w:multiLevelType w:val="singleLevel"/>
    <w:tmpl w:val="94B70BB8"/>
    <w:lvl w:ilvl="0" w:tentative="0">
      <w:start w:val="1"/>
      <w:numFmt w:val="upperLetter"/>
      <w:suff w:val="space"/>
      <w:lvlText w:val="%1."/>
      <w:lvlJc w:val="left"/>
    </w:lvl>
  </w:abstractNum>
  <w:abstractNum w:abstractNumId="1">
    <w:nsid w:val="9F65A9C9"/>
    <w:multiLevelType w:val="singleLevel"/>
    <w:tmpl w:val="9F65A9C9"/>
    <w:lvl w:ilvl="0" w:tentative="0">
      <w:start w:val="1"/>
      <w:numFmt w:val="upperLetter"/>
      <w:suff w:val="space"/>
      <w:lvlText w:val="%1."/>
      <w:lvlJc w:val="left"/>
      <w:pPr>
        <w:ind w:left="-840"/>
      </w:pPr>
    </w:lvl>
  </w:abstractNum>
  <w:abstractNum w:abstractNumId="2">
    <w:nsid w:val="E2462AD6"/>
    <w:multiLevelType w:val="singleLevel"/>
    <w:tmpl w:val="E2462AD6"/>
    <w:lvl w:ilvl="0" w:tentative="0">
      <w:start w:val="1"/>
      <w:numFmt w:val="upperLetter"/>
      <w:suff w:val="space"/>
      <w:lvlText w:val="%1."/>
      <w:lvlJc w:val="left"/>
    </w:lvl>
  </w:abstractNum>
  <w:abstractNum w:abstractNumId="3">
    <w:nsid w:val="142F49EB"/>
    <w:multiLevelType w:val="singleLevel"/>
    <w:tmpl w:val="142F49EB"/>
    <w:lvl w:ilvl="0" w:tentative="0">
      <w:start w:val="1"/>
      <w:numFmt w:val="upperLetter"/>
      <w:suff w:val="space"/>
      <w:lvlText w:val="%1."/>
      <w:lvlJc w:val="left"/>
    </w:lvl>
  </w:abstractNum>
  <w:abstractNum w:abstractNumId="4">
    <w:nsid w:val="46E10C36"/>
    <w:multiLevelType w:val="singleLevel"/>
    <w:tmpl w:val="46E10C36"/>
    <w:lvl w:ilvl="0" w:tentative="0">
      <w:start w:val="1"/>
      <w:numFmt w:val="upperLetter"/>
      <w:suff w:val="space"/>
      <w:lvlText w:val="%1."/>
      <w:lvlJc w:val="left"/>
      <w:rPr>
        <w:rFonts w:hint="default"/>
        <w:b w:val="0"/>
        <w:bCs w:val="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0YzkwYmVhYTFjMTRkMzJhYTZhYTlkNDZhZmY1OGIifQ=="/>
  </w:docVars>
  <w:rsids>
    <w:rsidRoot w:val="00573E75"/>
    <w:rsid w:val="001A6096"/>
    <w:rsid w:val="00232F4D"/>
    <w:rsid w:val="0029529B"/>
    <w:rsid w:val="003A0A77"/>
    <w:rsid w:val="003C1BE9"/>
    <w:rsid w:val="004216ED"/>
    <w:rsid w:val="00573E75"/>
    <w:rsid w:val="005C694A"/>
    <w:rsid w:val="0083464A"/>
    <w:rsid w:val="008A5A35"/>
    <w:rsid w:val="00926184"/>
    <w:rsid w:val="00A92928"/>
    <w:rsid w:val="00BB66CB"/>
    <w:rsid w:val="00BD227C"/>
    <w:rsid w:val="00BD4068"/>
    <w:rsid w:val="00C07F99"/>
    <w:rsid w:val="00C16B2C"/>
    <w:rsid w:val="00C53D3F"/>
    <w:rsid w:val="00DA00D4"/>
    <w:rsid w:val="00E425B8"/>
    <w:rsid w:val="00E55317"/>
    <w:rsid w:val="00E630F1"/>
    <w:rsid w:val="00E84201"/>
    <w:rsid w:val="00EA2617"/>
    <w:rsid w:val="00EC23CD"/>
    <w:rsid w:val="00F41B67"/>
    <w:rsid w:val="00F66285"/>
    <w:rsid w:val="02EF12AC"/>
    <w:rsid w:val="0A6D18E6"/>
    <w:rsid w:val="0B8E63A1"/>
    <w:rsid w:val="0C754270"/>
    <w:rsid w:val="0DC45CC1"/>
    <w:rsid w:val="104A03D9"/>
    <w:rsid w:val="13473662"/>
    <w:rsid w:val="13722265"/>
    <w:rsid w:val="17724433"/>
    <w:rsid w:val="1A0F02E2"/>
    <w:rsid w:val="1E5C70D1"/>
    <w:rsid w:val="1F204B4F"/>
    <w:rsid w:val="1F847550"/>
    <w:rsid w:val="20B70B0E"/>
    <w:rsid w:val="22A82ACB"/>
    <w:rsid w:val="24F3642E"/>
    <w:rsid w:val="2725763D"/>
    <w:rsid w:val="27EF5B55"/>
    <w:rsid w:val="2A256FB1"/>
    <w:rsid w:val="2F272008"/>
    <w:rsid w:val="370B0BC7"/>
    <w:rsid w:val="39E9613F"/>
    <w:rsid w:val="3CFF1F29"/>
    <w:rsid w:val="4128099A"/>
    <w:rsid w:val="484C07B1"/>
    <w:rsid w:val="49224D1B"/>
    <w:rsid w:val="4AAC61A6"/>
    <w:rsid w:val="4B522887"/>
    <w:rsid w:val="53025DF2"/>
    <w:rsid w:val="56114BFC"/>
    <w:rsid w:val="5D7444BF"/>
    <w:rsid w:val="65853A7C"/>
    <w:rsid w:val="65A176DB"/>
    <w:rsid w:val="65F13EC7"/>
    <w:rsid w:val="6A594253"/>
    <w:rsid w:val="6FE56CED"/>
    <w:rsid w:val="764C7C8F"/>
    <w:rsid w:val="7746690D"/>
    <w:rsid w:val="7A41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513"/>
        <w:tab w:val="right" w:pos="9026"/>
      </w:tabs>
    </w:pPr>
  </w:style>
  <w:style w:type="paragraph" w:styleId="3">
    <w:name w:val="header"/>
    <w:basedOn w:val="1"/>
    <w:link w:val="10"/>
    <w:unhideWhenUsed/>
    <w:qFormat/>
    <w:uiPriority w:val="99"/>
    <w:pPr>
      <w:tabs>
        <w:tab w:val="center" w:pos="4513"/>
        <w:tab w:val="right" w:pos="9026"/>
      </w:tabs>
    </w:p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itle2"/>
    <w:basedOn w:val="1"/>
    <w:autoRedefine/>
    <w:qFormat/>
    <w:uiPriority w:val="0"/>
    <w:pPr>
      <w:widowControl/>
      <w:jc w:val="left"/>
    </w:pPr>
    <w:rPr>
      <w:rFonts w:ascii="Times New Roman" w:hAnsi="Times New Roman" w:eastAsia="MS Mincho" w:cs="Times New Roman"/>
      <w:b/>
      <w:kern w:val="0"/>
      <w:sz w:val="24"/>
      <w:lang w:eastAsia="ja-JP"/>
    </w:rPr>
  </w:style>
  <w:style w:type="paragraph" w:customStyle="1" w:styleId="8">
    <w:name w:val="Bibliography1"/>
    <w:basedOn w:val="1"/>
    <w:autoRedefine/>
    <w:qFormat/>
    <w:uiPriority w:val="0"/>
    <w:pPr>
      <w:tabs>
        <w:tab w:val="left" w:pos="384"/>
      </w:tabs>
      <w:ind w:left="384" w:hanging="384"/>
    </w:pPr>
  </w:style>
  <w:style w:type="table" w:customStyle="1" w:styleId="9">
    <w:name w:val="Plain Table 21"/>
    <w:basedOn w:val="4"/>
    <w:autoRedefine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character" w:customStyle="1" w:styleId="10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/>
    </w:rPr>
  </w:style>
  <w:style w:type="character" w:customStyle="1" w:styleId="11">
    <w:name w:val="页脚 字符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/>
    </w:rPr>
  </w:style>
  <w:style w:type="paragraph" w:styleId="12">
    <w:name w:val="List Paragraph"/>
    <w:basedOn w:val="1"/>
    <w:unhideWhenUsed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614</Words>
  <Characters>3707</Characters>
  <Lines>31</Lines>
  <Paragraphs>8</Paragraphs>
  <TotalTime>10</TotalTime>
  <ScaleCrop>false</ScaleCrop>
  <LinksUpToDate>false</LinksUpToDate>
  <CharactersWithSpaces>4244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2025-09-07T18:00:00Z</dcterms:created>
  <dc:creator>Microsoft Office 用户</dc:creator>
  <cp:lastModifiedBy>李新桥</cp:lastModifiedBy>
  <dcterms:modified xsi:type="dcterms:W3CDTF">2025-09-11T04:34:22Z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0C627B9A401E468898154FA0FAC49BDD_13</vt:lpwstr>
  </property>
  <property fmtid="{D5CDD505-2E9C-101B-9397-08002B2CF9AE}" pid="4" name="KSOTemplateDocerSaveRecord">
    <vt:lpwstr>eyJoZGlkIjoiMWMxYzQzNGY2ZmVmODAwN2NhODliYjAwZjMwMjE5NjEiLCJ1c2VySWQiOiIyNDQ4NzU4ODEifQ==</vt:lpwstr>
  </property>
</Properties>
</file>