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02B3" w14:textId="29BEB3D7" w:rsidR="0066611E" w:rsidRDefault="0066611E"/>
    <w:p w14:paraId="48E4A99E" w14:textId="77777777" w:rsidR="00BA245E" w:rsidRDefault="00BA245E" w:rsidP="00A10806">
      <w:pPr>
        <w:rPr>
          <w:b/>
          <w:bCs/>
        </w:rPr>
      </w:pPr>
    </w:p>
    <w:p w14:paraId="074BE233" w14:textId="57B28607" w:rsidR="00BA245E" w:rsidRPr="009F5CBD" w:rsidRDefault="00BA245E" w:rsidP="00BA245E">
      <w:pPr>
        <w:spacing w:line="240" w:lineRule="auto"/>
        <w:rPr>
          <w:rFonts w:cstheme="minorHAnsi"/>
        </w:rPr>
      </w:pPr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 xml:space="preserve">1: </w:t>
      </w:r>
      <w:r w:rsidRPr="009F5CBD">
        <w:rPr>
          <w:rFonts w:cstheme="minorHAnsi"/>
          <w:b/>
          <w:bCs/>
        </w:rPr>
        <w:t>A:</w:t>
      </w:r>
      <w:r w:rsidRPr="009F5CBD">
        <w:rPr>
          <w:rFonts w:cstheme="minorHAnsi"/>
        </w:rPr>
        <w:t xml:space="preserve"> Animal experiment grouping and timeline. </w:t>
      </w:r>
      <w:r w:rsidRPr="009F5CBD">
        <w:rPr>
          <w:rFonts w:cstheme="minorHAnsi"/>
          <w:b/>
          <w:bCs/>
        </w:rPr>
        <w:t>B:</w:t>
      </w:r>
      <w:r w:rsidRPr="009F5CBD">
        <w:rPr>
          <w:rFonts w:cstheme="minorHAnsi"/>
        </w:rPr>
        <w:t xml:space="preserve"> Surgical procedure involving medial meniscectomy after arthrotomy of the right knee. </w:t>
      </w:r>
      <w:r w:rsidRPr="009F5CBD">
        <w:rPr>
          <w:rFonts w:cstheme="minorHAnsi"/>
          <w:b/>
          <w:bCs/>
        </w:rPr>
        <w:t>C:</w:t>
      </w:r>
      <w:r w:rsidRPr="009F5CBD">
        <w:rPr>
          <w:rFonts w:cstheme="minorHAnsi"/>
        </w:rPr>
        <w:t xml:space="preserve"> Surgical procedure involving anterior cruciate ligament dissection of the right knee. </w:t>
      </w:r>
      <w:r w:rsidRPr="009F5CBD">
        <w:rPr>
          <w:rFonts w:cstheme="minorHAnsi"/>
          <w:b/>
          <w:bCs/>
        </w:rPr>
        <w:t>D:</w:t>
      </w:r>
      <w:r w:rsidRPr="009F5CBD">
        <w:rPr>
          <w:rFonts w:cstheme="minorHAnsi"/>
        </w:rPr>
        <w:t xml:space="preserve"> Ultrasound-guided injection into the joint cavity of the right knee. </w:t>
      </w:r>
      <w:r w:rsidRPr="009F5CBD">
        <w:rPr>
          <w:rFonts w:cstheme="minorHAnsi"/>
          <w:b/>
          <w:bCs/>
        </w:rPr>
        <w:t>E:</w:t>
      </w:r>
      <w:r w:rsidRPr="009F5CBD">
        <w:rPr>
          <w:rFonts w:cstheme="minorHAnsi"/>
        </w:rPr>
        <w:t xml:space="preserve"> Ultrasound-monitored drug injection into the joint cavity. </w:t>
      </w:r>
      <w:r w:rsidRPr="009F5CBD">
        <w:rPr>
          <w:rFonts w:cstheme="minorHAnsi"/>
          <w:b/>
          <w:bCs/>
        </w:rPr>
        <w:t>F</w:t>
      </w:r>
      <w:r w:rsidRPr="009F5CBD">
        <w:rPr>
          <w:rFonts w:cstheme="minorHAnsi"/>
        </w:rPr>
        <w:t xml:space="preserve">: Nano Sight analysis depicting the quantity and size distribution of PEP particles. </w:t>
      </w:r>
      <w:r w:rsidRPr="00446BBC">
        <w:rPr>
          <w:rFonts w:cstheme="minorHAnsi"/>
          <w:b/>
          <w:bCs/>
        </w:rPr>
        <w:t>G:</w:t>
      </w:r>
      <w:r>
        <w:rPr>
          <w:rFonts w:cstheme="minorHAnsi"/>
        </w:rPr>
        <w:t xml:space="preserve"> </w:t>
      </w:r>
      <w:r w:rsidRPr="00BB60F0">
        <w:rPr>
          <w:rFonts w:asciiTheme="majorHAnsi" w:hAnsiTheme="majorHAnsi" w:cstheme="majorHAnsi"/>
          <w:color w:val="000000" w:themeColor="text1"/>
        </w:rPr>
        <w:t>Characterization of Exosome-Associated Proteins.</w:t>
      </w:r>
      <w:r w:rsidRPr="00BB60F0">
        <w:rPr>
          <w:rFonts w:ascii="-apple-system" w:hAnsi="-apple-system"/>
          <w:color w:val="000000" w:themeColor="text1"/>
        </w:rPr>
        <w:t xml:space="preserve"> </w:t>
      </w:r>
      <w:r w:rsidRPr="009F5CBD">
        <w:rPr>
          <w:rFonts w:cstheme="minorHAnsi"/>
          <w:b/>
          <w:bCs/>
        </w:rPr>
        <w:t>H:</w:t>
      </w:r>
      <w:r w:rsidRPr="009F5CBD">
        <w:rPr>
          <w:rFonts w:cstheme="minorHAnsi"/>
        </w:rPr>
        <w:t xml:space="preserve"> Visualization of PEP particles using </w:t>
      </w:r>
      <w:r w:rsidRPr="00BB60F0">
        <w:rPr>
          <w:rFonts w:cstheme="minorHAnsi"/>
        </w:rPr>
        <w:t>scanning electron microscope</w:t>
      </w:r>
      <w:r w:rsidRPr="009F5CBD">
        <w:rPr>
          <w:rFonts w:cstheme="minorHAnsi"/>
        </w:rPr>
        <w:t xml:space="preserve">, with yellow arrows indicating PEP particles. </w:t>
      </w:r>
      <w:r w:rsidRPr="009F5CBD">
        <w:rPr>
          <w:rFonts w:cstheme="minorHAnsi"/>
          <w:b/>
          <w:bCs/>
        </w:rPr>
        <w:t>I:</w:t>
      </w:r>
      <w:r w:rsidRPr="009F5CBD">
        <w:rPr>
          <w:rFonts w:cstheme="minorHAnsi"/>
        </w:rPr>
        <w:t xml:space="preserve"> Release experiments demonstrating the daily release of PEP particles in a 50% HA@PEP solution over the course of one week.</w:t>
      </w:r>
    </w:p>
    <w:p w14:paraId="64841698" w14:textId="76CC9E92" w:rsidR="0066611E" w:rsidRDefault="00A10806">
      <w:r w:rsidRPr="00A10806">
        <w:rPr>
          <w:rFonts w:hint="eastAsia"/>
          <w:b/>
          <w:bCs/>
        </w:rPr>
        <w:t xml:space="preserve">Supplementary </w:t>
      </w:r>
      <w:r w:rsidR="00112E93" w:rsidRPr="00A10806">
        <w:rPr>
          <w:b/>
          <w:bCs/>
        </w:rPr>
        <w:t>F</w:t>
      </w:r>
      <w:r w:rsidR="00112E93" w:rsidRPr="00A10806">
        <w:rPr>
          <w:rFonts w:hint="eastAsia"/>
          <w:b/>
          <w:bCs/>
        </w:rPr>
        <w:t>igure</w:t>
      </w:r>
      <w:r w:rsidR="00112E93" w:rsidRPr="00A10806">
        <w:rPr>
          <w:b/>
          <w:bCs/>
        </w:rPr>
        <w:t>.</w:t>
      </w:r>
      <w:r>
        <w:rPr>
          <w:rFonts w:hint="eastAsia"/>
          <w:b/>
          <w:bCs/>
        </w:rPr>
        <w:t>2</w:t>
      </w:r>
      <w:r w:rsidR="00112E93" w:rsidRPr="00A10806">
        <w:rPr>
          <w:rFonts w:hint="eastAsia"/>
          <w:b/>
          <w:bCs/>
        </w:rPr>
        <w:t>：</w:t>
      </w:r>
      <w:r w:rsidR="00112E93" w:rsidRPr="00112E93">
        <w:t>To assess chondrocyte apoptosis, we conducted co-incubation experiments with varying concentrations of PEP and C28/I2 chondrocytes, all in the presence of 10 ng/mL IL-1β, for a duration of 48 hours. In our visualization, Caspase3/7 protein is represented by the green color. Notably, statistical significance is denoted as follows: (* p&lt;0.05, ** p&lt;0.001, *** p&lt;0.0001).</w:t>
      </w:r>
    </w:p>
    <w:p w14:paraId="00C6B551" w14:textId="5A37878B" w:rsidR="0066611E" w:rsidRPr="00A10806" w:rsidRDefault="00A10806">
      <w:pPr>
        <w:rPr>
          <w:b/>
          <w:bCs/>
        </w:rPr>
      </w:pPr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3</w:t>
      </w:r>
      <w:r w:rsidRPr="00A10806">
        <w:rPr>
          <w:rFonts w:hint="eastAsia"/>
          <w:b/>
          <w:bCs/>
        </w:rPr>
        <w:t>：</w:t>
      </w:r>
      <w:r w:rsidR="0066611E" w:rsidRPr="00A10806">
        <w:rPr>
          <w:b/>
          <w:bCs/>
        </w:rPr>
        <w:t>A:</w:t>
      </w:r>
      <w:r w:rsidR="0066611E" w:rsidRPr="0066611E">
        <w:t xml:space="preserve"> Using </w:t>
      </w:r>
      <w:proofErr w:type="spellStart"/>
      <w:r w:rsidR="0066611E" w:rsidRPr="0066611E">
        <w:t>Incu</w:t>
      </w:r>
      <w:r w:rsidR="0066611E">
        <w:t>C</w:t>
      </w:r>
      <w:r w:rsidR="0066611E" w:rsidRPr="0066611E">
        <w:t>yte</w:t>
      </w:r>
      <w:proofErr w:type="spellEnd"/>
      <w:r w:rsidR="0066611E" w:rsidRPr="0066611E">
        <w:t xml:space="preserve"> monitoring, we observed the uptake of 5% PEP by C28/I2 chondrocytes over a 24-hour period. The PEP, stained with Dil, is visualized in red.</w:t>
      </w:r>
      <w:r w:rsidR="0066611E" w:rsidRPr="00A10806">
        <w:rPr>
          <w:b/>
          <w:bCs/>
        </w:rPr>
        <w:t xml:space="preserve"> B:</w:t>
      </w:r>
      <w:r w:rsidR="0066611E" w:rsidRPr="0066611E">
        <w:t xml:space="preserve"> At the 16-hour mark, we captured another image depicting PEP uptake by chondrocytes. In this image, Dil-stained PEP is shown in red, while chondrocytes are stained green using </w:t>
      </w:r>
      <w:proofErr w:type="spellStart"/>
      <w:r w:rsidR="0066611E" w:rsidRPr="0066611E">
        <w:t>BacMam</w:t>
      </w:r>
      <w:proofErr w:type="spellEnd"/>
      <w:r w:rsidR="0066611E" w:rsidRPr="0066611E">
        <w:t xml:space="preserve"> 3.0. </w:t>
      </w:r>
      <w:r w:rsidR="0066611E" w:rsidRPr="00A10806">
        <w:rPr>
          <w:b/>
          <w:bCs/>
        </w:rPr>
        <w:t>C:</w:t>
      </w:r>
      <w:r w:rsidR="0066611E" w:rsidRPr="0066611E">
        <w:t xml:space="preserve"> After 24 hours, we analyzed the distribution of PEP within chondrocytes.</w:t>
      </w:r>
    </w:p>
    <w:p w14:paraId="135AD0A7" w14:textId="22EC33B0" w:rsidR="007F4F5B" w:rsidRPr="00BA245E" w:rsidRDefault="00A10806">
      <w:pPr>
        <w:rPr>
          <w:rFonts w:ascii="-apple-system" w:hAnsi="-apple-system" w:hint="eastAsia"/>
          <w:color w:val="0D0D0D"/>
          <w:shd w:val="clear" w:color="auto" w:fill="FFFFFF"/>
        </w:rPr>
      </w:pPr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4</w:t>
      </w:r>
      <w:r w:rsidRPr="00A10806">
        <w:rPr>
          <w:rFonts w:hint="eastAsia"/>
          <w:b/>
          <w:bCs/>
        </w:rPr>
        <w:t>：</w:t>
      </w:r>
      <w:r w:rsidR="007F4F5B">
        <w:rPr>
          <w:rFonts w:ascii="-apple-system" w:hAnsi="-apple-system"/>
          <w:color w:val="0D0D0D"/>
          <w:shd w:val="clear" w:color="auto" w:fill="FFFFFF"/>
        </w:rPr>
        <w:t>The Autophagy Flow Assay employs distinct color representations: red signifies the presence of LC3-b protein, green indicates the presence of beclin-1 protein, purple denotes Hoechest33342, while white represents the fusion of these colors.</w:t>
      </w:r>
    </w:p>
    <w:p w14:paraId="224D62FB" w14:textId="5A87A919" w:rsidR="000435A5" w:rsidRPr="00BA245E" w:rsidRDefault="00A10806">
      <w:pPr>
        <w:rPr>
          <w:b/>
          <w:bCs/>
        </w:rPr>
      </w:pPr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5</w:t>
      </w:r>
      <w:r w:rsidRPr="00A10806">
        <w:rPr>
          <w:rFonts w:hint="eastAsia"/>
          <w:b/>
          <w:bCs/>
        </w:rPr>
        <w:t>：</w:t>
      </w:r>
      <w:r w:rsidR="00DC136D" w:rsidRPr="00DC136D">
        <w:t xml:space="preserve">We assessed the expression of autophagy and apoptosis-related genes in both C28/I2 and osteoarthritic (OA) chondrocytes, both in the presence and absence of the autophagy inhibitor 3-methyladenine. </w:t>
      </w:r>
      <w:r w:rsidR="002E79F1">
        <w:t xml:space="preserve">“3-M” means </w:t>
      </w:r>
      <w:r w:rsidR="002E79F1" w:rsidRPr="00DC136D">
        <w:t>3-methyladenine</w:t>
      </w:r>
      <w:r w:rsidR="002E79F1">
        <w:t>.</w:t>
      </w:r>
      <w:r w:rsidR="002E79F1" w:rsidRPr="00112E93">
        <w:t xml:space="preserve"> </w:t>
      </w:r>
      <w:r w:rsidR="00DC136D" w:rsidRPr="00112E93">
        <w:t>(* p&lt;0.05, ** p&lt;0.001, *** p&lt;0.0001).</w:t>
      </w:r>
    </w:p>
    <w:p w14:paraId="79CE9D47" w14:textId="3C4C1EAC" w:rsidR="000250AB" w:rsidRPr="00BA245E" w:rsidRDefault="00A10806">
      <w:pPr>
        <w:rPr>
          <w:color w:val="000000" w:themeColor="text1"/>
        </w:rPr>
      </w:pPr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6</w:t>
      </w:r>
      <w:r w:rsidRPr="00A10806">
        <w:rPr>
          <w:rFonts w:hint="eastAsia"/>
          <w:b/>
          <w:bCs/>
        </w:rPr>
        <w:t>：</w:t>
      </w:r>
      <w:r w:rsidR="00EC4AC6" w:rsidRPr="00EC4AC6">
        <w:rPr>
          <w:b/>
          <w:bCs/>
          <w:color w:val="000000" w:themeColor="text1"/>
        </w:rPr>
        <w:t>A</w:t>
      </w:r>
      <w:r w:rsidR="00EC4AC6" w:rsidRPr="00EC4AC6">
        <w:rPr>
          <w:color w:val="000000" w:themeColor="text1"/>
        </w:rPr>
        <w:t>: Evaluation of LC3-b protein and Bcl-2 protein expression in both control and 5% pep-treated groups, alongside the impact following the introduction of the Bcl2 gene after 5% pep exposure. LC3B protein is depicted in red, Bcl2 protein in green, Hoechst33342 in purple, and the fusion of these colors is represented in white.</w:t>
      </w:r>
      <w:r w:rsidR="00EC4AC6" w:rsidRPr="00EC4AC6">
        <w:rPr>
          <w:rFonts w:hint="eastAsia"/>
          <w:b/>
          <w:bCs/>
          <w:color w:val="000000" w:themeColor="text1"/>
        </w:rPr>
        <w:t xml:space="preserve"> </w:t>
      </w:r>
      <w:r w:rsidR="00EC4AC6" w:rsidRPr="00EC4AC6">
        <w:rPr>
          <w:b/>
          <w:bCs/>
          <w:color w:val="000000" w:themeColor="text1"/>
        </w:rPr>
        <w:t>B</w:t>
      </w:r>
      <w:r w:rsidR="00EC4AC6" w:rsidRPr="00EC4AC6">
        <w:rPr>
          <w:color w:val="000000" w:themeColor="text1"/>
        </w:rPr>
        <w:t>: Analysis of alterations in autophagy flux in response to 5% pep exposure, and subsequent changes observed after the introduction of the Bcl2 gene following exposure to 5% pep. LC3B protein is visualized in red, Becline-1 protein in green, Hoechst33342 in purple, and the fusion of these hues is depicted in white.</w:t>
      </w:r>
      <w:bookmarkStart w:id="0" w:name="_Hlk146830231"/>
    </w:p>
    <w:p w14:paraId="05A591A3" w14:textId="216F0CD5" w:rsidR="000250AB" w:rsidRDefault="00A10806"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7</w:t>
      </w:r>
      <w:r w:rsidR="000250AB">
        <w:t>:</w:t>
      </w:r>
      <w:r w:rsidR="000250AB" w:rsidRPr="00DC136D">
        <w:t xml:space="preserve"> </w:t>
      </w:r>
      <w:r w:rsidR="000250AB" w:rsidRPr="000250AB">
        <w:t>Gene expression profiling of apoptosis and autophagy-related genes in response to three distinct autophagy induction stimuli: control (absence of autophagy inducers), rapamycin treatment, and 5% PEP intervention</w:t>
      </w:r>
      <w:r w:rsidR="000250AB">
        <w:t>.</w:t>
      </w:r>
      <w:r w:rsidR="000250AB" w:rsidRPr="00112E93">
        <w:t xml:space="preserve"> (* p&lt;0.05, ** p&lt;0.001, *** p&lt;0.0001).</w:t>
      </w:r>
      <w:bookmarkEnd w:id="0"/>
    </w:p>
    <w:p w14:paraId="256EBC7D" w14:textId="77777777" w:rsidR="007765AA" w:rsidRPr="007765AA" w:rsidRDefault="00A10806" w:rsidP="007765AA">
      <w:r w:rsidRPr="00A10806">
        <w:rPr>
          <w:rFonts w:hint="eastAsia"/>
          <w:b/>
          <w:bCs/>
        </w:rPr>
        <w:t xml:space="preserve">Supplementary </w:t>
      </w:r>
      <w:r w:rsidRPr="00A10806">
        <w:rPr>
          <w:b/>
          <w:bCs/>
        </w:rPr>
        <w:t>F</w:t>
      </w:r>
      <w:r w:rsidRPr="00A10806">
        <w:rPr>
          <w:rFonts w:hint="eastAsia"/>
          <w:b/>
          <w:bCs/>
        </w:rPr>
        <w:t>igure</w:t>
      </w:r>
      <w:r w:rsidRPr="00A10806">
        <w:rPr>
          <w:b/>
          <w:bCs/>
        </w:rPr>
        <w:t>.</w:t>
      </w:r>
      <w:r>
        <w:rPr>
          <w:rFonts w:hint="eastAsia"/>
          <w:b/>
          <w:bCs/>
        </w:rPr>
        <w:t>8</w:t>
      </w:r>
      <w:r w:rsidR="00EC4AC6">
        <w:t>:</w:t>
      </w:r>
      <w:r w:rsidR="00EC4AC6" w:rsidRPr="00DC136D">
        <w:t xml:space="preserve"> </w:t>
      </w:r>
      <w:r w:rsidR="007765AA" w:rsidRPr="007765AA">
        <w:t xml:space="preserve">IgG was included as a negative control. Input lanes confirm the presence of BCL-2 (~26 </w:t>
      </w:r>
      <w:proofErr w:type="spellStart"/>
      <w:r w:rsidR="007765AA" w:rsidRPr="007765AA">
        <w:t>kDa</w:t>
      </w:r>
      <w:proofErr w:type="spellEnd"/>
      <w:r w:rsidR="007765AA" w:rsidRPr="007765AA">
        <w:t xml:space="preserve">) and Beclin-1 (~60 </w:t>
      </w:r>
      <w:proofErr w:type="spellStart"/>
      <w:r w:rsidR="007765AA" w:rsidRPr="007765AA">
        <w:t>kDa</w:t>
      </w:r>
      <w:proofErr w:type="spellEnd"/>
      <w:r w:rsidR="007765AA" w:rsidRPr="007765AA">
        <w:t xml:space="preserve">) in total lysates. Both forward (IP: Beclin-1; IB: BCL-2) and reverse (IP: BCL-2; IB: Beclin-1) Co-IP are shown. GAPDH (~37 </w:t>
      </w:r>
      <w:proofErr w:type="spellStart"/>
      <w:r w:rsidR="007765AA" w:rsidRPr="007765AA">
        <w:t>kDa</w:t>
      </w:r>
      <w:proofErr w:type="spellEnd"/>
      <w:r w:rsidR="007765AA" w:rsidRPr="007765AA">
        <w:t xml:space="preserve">) served as a loading control. </w:t>
      </w:r>
    </w:p>
    <w:p w14:paraId="38C0A1E1" w14:textId="77777777" w:rsidR="00EC4AC6" w:rsidRDefault="00EC4AC6"/>
    <w:sectPr w:rsidR="00EC4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15369" w14:textId="77777777" w:rsidR="00FE6FC0" w:rsidRDefault="00FE6FC0" w:rsidP="00112E93">
      <w:pPr>
        <w:spacing w:after="0" w:line="240" w:lineRule="auto"/>
      </w:pPr>
      <w:r>
        <w:separator/>
      </w:r>
    </w:p>
  </w:endnote>
  <w:endnote w:type="continuationSeparator" w:id="0">
    <w:p w14:paraId="24803E81" w14:textId="77777777" w:rsidR="00FE6FC0" w:rsidRDefault="00FE6FC0" w:rsidP="0011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-apple-system">
    <w:altName w:val="Calibri"/>
    <w:charset w:val="00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BE191" w14:textId="77777777" w:rsidR="00FE6FC0" w:rsidRDefault="00FE6FC0" w:rsidP="00112E93">
      <w:pPr>
        <w:spacing w:after="0" w:line="240" w:lineRule="auto"/>
      </w:pPr>
      <w:r>
        <w:separator/>
      </w:r>
    </w:p>
  </w:footnote>
  <w:footnote w:type="continuationSeparator" w:id="0">
    <w:p w14:paraId="28CB640B" w14:textId="77777777" w:rsidR="00FE6FC0" w:rsidRDefault="00FE6FC0" w:rsidP="00112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AEB"/>
    <w:rsid w:val="000250AB"/>
    <w:rsid w:val="000435A5"/>
    <w:rsid w:val="000B7B97"/>
    <w:rsid w:val="00112E93"/>
    <w:rsid w:val="00125AEB"/>
    <w:rsid w:val="002E79F1"/>
    <w:rsid w:val="003F073A"/>
    <w:rsid w:val="005A4257"/>
    <w:rsid w:val="0066611E"/>
    <w:rsid w:val="00717F50"/>
    <w:rsid w:val="007765AA"/>
    <w:rsid w:val="007D309E"/>
    <w:rsid w:val="007F4F5B"/>
    <w:rsid w:val="0093071D"/>
    <w:rsid w:val="009A234A"/>
    <w:rsid w:val="00A10806"/>
    <w:rsid w:val="00AF727F"/>
    <w:rsid w:val="00B45E93"/>
    <w:rsid w:val="00BA245E"/>
    <w:rsid w:val="00C21F05"/>
    <w:rsid w:val="00CA6675"/>
    <w:rsid w:val="00D1121D"/>
    <w:rsid w:val="00D30436"/>
    <w:rsid w:val="00DC136D"/>
    <w:rsid w:val="00E138CE"/>
    <w:rsid w:val="00E95D05"/>
    <w:rsid w:val="00EC4AC6"/>
    <w:rsid w:val="00F7032A"/>
    <w:rsid w:val="00FD0243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E98DA"/>
  <w15:chartTrackingRefBased/>
  <w15:docId w15:val="{CDEBE557-07A7-411F-895B-C85230FC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E93"/>
  </w:style>
  <w:style w:type="paragraph" w:styleId="Footer">
    <w:name w:val="footer"/>
    <w:basedOn w:val="Normal"/>
    <w:link w:val="FooterChar"/>
    <w:uiPriority w:val="99"/>
    <w:unhideWhenUsed/>
    <w:rsid w:val="0011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E93"/>
  </w:style>
  <w:style w:type="paragraph" w:styleId="NormalWeb">
    <w:name w:val="Normal (Web)"/>
    <w:basedOn w:val="Normal"/>
    <w:uiPriority w:val="99"/>
    <w:semiHidden/>
    <w:unhideWhenUsed/>
    <w:rsid w:val="0077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 ZG</dc:creator>
  <cp:keywords/>
  <dc:description/>
  <cp:lastModifiedBy>Gongyin</cp:lastModifiedBy>
  <cp:revision>5</cp:revision>
  <dcterms:created xsi:type="dcterms:W3CDTF">2024-03-21T14:37:00Z</dcterms:created>
  <dcterms:modified xsi:type="dcterms:W3CDTF">2025-09-30T04:00:00Z</dcterms:modified>
</cp:coreProperties>
</file>