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4"/>
          <w:szCs w:val="24"/>
          <w:highlight w:val="none"/>
        </w:rPr>
      </w:pPr>
      <w:r>
        <w:rPr>
          <w:b/>
          <w:bCs/>
          <w:sz w:val="24"/>
          <w:szCs w:val="24"/>
          <w:highlight w:val="none"/>
        </w:rPr>
        <w:t xml:space="preserve">Gut Microbiome </w:t>
      </w:r>
      <w:r>
        <w:rPr>
          <w:rFonts w:hint="eastAsia"/>
          <w:b/>
          <w:bCs/>
          <w:sz w:val="24"/>
          <w:szCs w:val="24"/>
          <w:highlight w:val="none"/>
        </w:rPr>
        <w:t>Restoring</w:t>
      </w:r>
      <w:r>
        <w:rPr>
          <w:b/>
          <w:bCs/>
          <w:sz w:val="24"/>
          <w:szCs w:val="24"/>
          <w:highlight w:val="none"/>
        </w:rPr>
        <w:t xml:space="preserve"> Biogenic Ferritin Mineral as </w:t>
      </w:r>
      <w:r>
        <w:rPr>
          <w:rFonts w:hint="eastAsia"/>
          <w:b/>
          <w:bCs/>
          <w:sz w:val="24"/>
          <w:szCs w:val="24"/>
          <w:highlight w:val="none"/>
        </w:rPr>
        <w:t xml:space="preserve">an </w:t>
      </w:r>
      <w:r>
        <w:rPr>
          <w:b/>
          <w:bCs/>
          <w:sz w:val="24"/>
          <w:szCs w:val="24"/>
          <w:highlight w:val="none"/>
        </w:rPr>
        <w:t>Effective Oral Iron Supplement for Iron</w:t>
      </w:r>
      <w:r>
        <w:rPr>
          <w:rFonts w:hint="eastAsia"/>
          <w:b/>
          <w:bCs/>
          <w:sz w:val="24"/>
          <w:szCs w:val="24"/>
          <w:highlight w:val="none"/>
        </w:rPr>
        <w:t xml:space="preserve"> D</w:t>
      </w:r>
      <w:r>
        <w:rPr>
          <w:b/>
          <w:bCs/>
          <w:sz w:val="24"/>
          <w:szCs w:val="24"/>
          <w:highlight w:val="none"/>
        </w:rPr>
        <w:t>eficiency Anemia</w:t>
      </w:r>
    </w:p>
    <w:p>
      <w:pPr>
        <w:rPr>
          <w:sz w:val="24"/>
          <w:szCs w:val="24"/>
          <w:highlight w:val="none"/>
        </w:rPr>
      </w:pPr>
    </w:p>
    <w:p>
      <w:pPr>
        <w:rPr>
          <w:i/>
          <w:iCs/>
          <w:sz w:val="24"/>
          <w:szCs w:val="24"/>
          <w:highlight w:val="none"/>
        </w:rPr>
      </w:pPr>
      <w:r>
        <w:rPr>
          <w:i/>
          <w:iCs/>
          <w:sz w:val="24"/>
          <w:szCs w:val="24"/>
          <w:highlight w:val="none"/>
        </w:rPr>
        <w:t>Yingchun Yang</w:t>
      </w:r>
      <w:r>
        <w:rPr>
          <w:i/>
          <w:iCs/>
          <w:sz w:val="24"/>
          <w:szCs w:val="24"/>
          <w:highlight w:val="none"/>
          <w:vertAlign w:val="superscript"/>
        </w:rPr>
        <w:t>a,b,</w:t>
      </w:r>
      <w:r>
        <w:rPr>
          <w:rFonts w:ascii="Times" w:hAnsi="Times"/>
          <w:i/>
          <w:iCs/>
          <w:kern w:val="0"/>
          <w:sz w:val="24"/>
          <w:highlight w:val="none"/>
          <w:vertAlign w:val="superscript"/>
        </w:rPr>
        <w:t>‡</w:t>
      </w:r>
      <w:r>
        <w:rPr>
          <w:i/>
          <w:iCs/>
          <w:sz w:val="24"/>
          <w:szCs w:val="24"/>
          <w:highlight w:val="none"/>
        </w:rPr>
        <w:t>, Luqiu Yang</w:t>
      </w:r>
      <w:r>
        <w:rPr>
          <w:i/>
          <w:iCs/>
          <w:sz w:val="24"/>
          <w:szCs w:val="24"/>
          <w:highlight w:val="none"/>
          <w:vertAlign w:val="superscript"/>
        </w:rPr>
        <w:t>b,</w:t>
      </w:r>
      <w:r>
        <w:rPr>
          <w:rFonts w:ascii="Times" w:hAnsi="Times"/>
          <w:i/>
          <w:iCs/>
          <w:kern w:val="0"/>
          <w:sz w:val="24"/>
          <w:highlight w:val="none"/>
          <w:vertAlign w:val="superscript"/>
        </w:rPr>
        <w:t>‡</w:t>
      </w:r>
      <w:r>
        <w:rPr>
          <w:i/>
          <w:iCs/>
          <w:sz w:val="24"/>
          <w:szCs w:val="24"/>
          <w:highlight w:val="none"/>
        </w:rPr>
        <w:t>, Rong Yang</w:t>
      </w:r>
      <w:r>
        <w:rPr>
          <w:i/>
          <w:iCs/>
          <w:sz w:val="24"/>
          <w:szCs w:val="24"/>
          <w:highlight w:val="none"/>
          <w:vertAlign w:val="superscript"/>
        </w:rPr>
        <w:t>b</w:t>
      </w:r>
      <w:r>
        <w:rPr>
          <w:i/>
          <w:iCs/>
          <w:sz w:val="24"/>
          <w:szCs w:val="24"/>
          <w:highlight w:val="none"/>
        </w:rPr>
        <w:t>, Fangqing Deng</w:t>
      </w:r>
      <w:r>
        <w:rPr>
          <w:i/>
          <w:iCs/>
          <w:sz w:val="24"/>
          <w:szCs w:val="24"/>
          <w:highlight w:val="none"/>
          <w:vertAlign w:val="superscript"/>
        </w:rPr>
        <w:t>b</w:t>
      </w:r>
      <w:r>
        <w:rPr>
          <w:i/>
          <w:iCs/>
          <w:sz w:val="24"/>
          <w:szCs w:val="24"/>
          <w:highlight w:val="none"/>
        </w:rPr>
        <w:t>, Qing Tian</w:t>
      </w:r>
      <w:r>
        <w:rPr>
          <w:i/>
          <w:iCs/>
          <w:sz w:val="24"/>
          <w:szCs w:val="24"/>
          <w:highlight w:val="none"/>
          <w:vertAlign w:val="superscript"/>
        </w:rPr>
        <w:t>b</w:t>
      </w:r>
      <w:r>
        <w:rPr>
          <w:i/>
          <w:iCs/>
          <w:sz w:val="24"/>
          <w:szCs w:val="24"/>
          <w:highlight w:val="none"/>
        </w:rPr>
        <w:t>, Zhaoxiang Yu</w:t>
      </w:r>
      <w:r>
        <w:rPr>
          <w:i/>
          <w:iCs/>
          <w:sz w:val="24"/>
          <w:szCs w:val="24"/>
          <w:highlight w:val="none"/>
          <w:vertAlign w:val="superscript"/>
        </w:rPr>
        <w:t>a,</w:t>
      </w:r>
      <w:r>
        <w:rPr>
          <w:i/>
          <w:iCs/>
          <w:sz w:val="24"/>
          <w:szCs w:val="24"/>
          <w:highlight w:val="none"/>
        </w:rPr>
        <w:t>*</w:t>
      </w:r>
      <w:r>
        <w:rPr>
          <w:rFonts w:hint="eastAsia"/>
          <w:i/>
          <w:iCs/>
          <w:sz w:val="24"/>
          <w:szCs w:val="24"/>
          <w:highlight w:val="none"/>
        </w:rPr>
        <w:t>,</w:t>
      </w:r>
      <w:r>
        <w:rPr>
          <w:i/>
          <w:iCs/>
          <w:sz w:val="24"/>
          <w:szCs w:val="24"/>
          <w:highlight w:val="none"/>
        </w:rPr>
        <w:t xml:space="preserve"> and Lianbing Zhang</w:t>
      </w:r>
      <w:r>
        <w:rPr>
          <w:i/>
          <w:iCs/>
          <w:sz w:val="24"/>
          <w:szCs w:val="24"/>
          <w:highlight w:val="none"/>
          <w:vertAlign w:val="superscript"/>
        </w:rPr>
        <w:t>b,</w:t>
      </w:r>
      <w:r>
        <w:rPr>
          <w:i/>
          <w:iCs/>
          <w:sz w:val="24"/>
          <w:szCs w:val="24"/>
          <w:highlight w:val="none"/>
        </w:rPr>
        <w:t>*</w:t>
      </w:r>
    </w:p>
    <w:p>
      <w:pPr>
        <w:rPr>
          <w:b/>
          <w:bCs/>
          <w:sz w:val="24"/>
          <w:szCs w:val="24"/>
          <w:highlight w:val="none"/>
        </w:rPr>
      </w:pPr>
    </w:p>
    <w:p>
      <w:pPr>
        <w:rPr>
          <w:sz w:val="24"/>
          <w:szCs w:val="24"/>
          <w:highlight w:val="none"/>
        </w:rPr>
      </w:pPr>
      <w:r>
        <w:rPr>
          <w:sz w:val="24"/>
          <w:szCs w:val="24"/>
          <w:highlight w:val="none"/>
          <w:vertAlign w:val="superscript"/>
        </w:rPr>
        <w:t>a</w:t>
      </w:r>
      <w:r>
        <w:rPr>
          <w:sz w:val="24"/>
          <w:szCs w:val="24"/>
          <w:highlight w:val="none"/>
        </w:rPr>
        <w:t>Department of Gastroenterology, the First Affiliated Hospital of Xi’an Medical University, Xi’an 710077, China.</w:t>
      </w:r>
      <w:bookmarkStart w:id="0" w:name="_GoBack"/>
      <w:bookmarkEnd w:id="0"/>
    </w:p>
    <w:p>
      <w:pPr>
        <w:rPr>
          <w:sz w:val="24"/>
          <w:szCs w:val="24"/>
          <w:highlight w:val="none"/>
        </w:rPr>
      </w:pPr>
      <w:r>
        <w:rPr>
          <w:sz w:val="24"/>
          <w:szCs w:val="24"/>
          <w:highlight w:val="none"/>
          <w:vertAlign w:val="superscript"/>
        </w:rPr>
        <w:t>b</w:t>
      </w:r>
      <w:r>
        <w:rPr>
          <w:sz w:val="24"/>
          <w:szCs w:val="24"/>
          <w:highlight w:val="none"/>
        </w:rPr>
        <w:t>School of Life Sciences, Northwestern Polytechnical University, Xi’an 710072, China.</w:t>
      </w:r>
    </w:p>
    <w:p>
      <w:pPr>
        <w:rPr>
          <w:b/>
          <w:bCs/>
          <w:sz w:val="24"/>
          <w:szCs w:val="24"/>
          <w:highlight w:val="none"/>
        </w:rPr>
      </w:pPr>
      <w:r>
        <w:rPr>
          <w:b/>
          <w:bCs/>
          <w:sz w:val="24"/>
          <w:szCs w:val="24"/>
          <w:highlight w:val="none"/>
          <w:vertAlign w:val="superscript"/>
        </w:rPr>
        <w:t>*</w:t>
      </w:r>
      <w:r>
        <w:rPr>
          <w:sz w:val="24"/>
          <w:szCs w:val="24"/>
          <w:highlight w:val="none"/>
        </w:rPr>
        <w:t>Corresponding authors</w:t>
      </w:r>
    </w:p>
    <w:p>
      <w:pPr>
        <w:rPr>
          <w:highlight w:val="none"/>
        </w:rPr>
      </w:pPr>
      <w:r>
        <w:rPr>
          <w:i/>
          <w:iCs/>
          <w:sz w:val="24"/>
          <w:szCs w:val="24"/>
          <w:highlight w:val="none"/>
        </w:rPr>
        <w:t>E-mail</w:t>
      </w:r>
      <w:r>
        <w:rPr>
          <w:sz w:val="24"/>
          <w:szCs w:val="24"/>
          <w:highlight w:val="none"/>
        </w:rPr>
        <w:t xml:space="preserve">: </w:t>
      </w:r>
      <w:r>
        <w:rPr>
          <w:highlight w:val="none"/>
        </w:rPr>
        <w:fldChar w:fldCharType="begin"/>
      </w:r>
      <w:r>
        <w:rPr>
          <w:highlight w:val="none"/>
        </w:rPr>
        <w:instrText xml:space="preserve"> HYPERLINK "mailto:yuzhaoxiang@xiyi.edu.cn" </w:instrText>
      </w:r>
      <w:r>
        <w:rPr>
          <w:highlight w:val="none"/>
        </w:rPr>
        <w:fldChar w:fldCharType="separate"/>
      </w:r>
      <w:r>
        <w:rPr>
          <w:rStyle w:val="6"/>
          <w:color w:val="auto"/>
          <w:sz w:val="24"/>
          <w:szCs w:val="24"/>
          <w:highlight w:val="none"/>
          <w:u w:val="none"/>
        </w:rPr>
        <w:t>yuzhaoxiang@xiyi.edu.cn</w:t>
      </w:r>
      <w:r>
        <w:rPr>
          <w:rStyle w:val="6"/>
          <w:color w:val="auto"/>
          <w:sz w:val="24"/>
          <w:szCs w:val="24"/>
          <w:highlight w:val="none"/>
          <w:u w:val="none"/>
        </w:rPr>
        <w:fldChar w:fldCharType="end"/>
      </w:r>
      <w:r>
        <w:rPr>
          <w:sz w:val="24"/>
          <w:szCs w:val="24"/>
          <w:highlight w:val="none"/>
        </w:rPr>
        <w:t xml:space="preserve"> (Z. Yu)</w:t>
      </w:r>
      <w:r>
        <w:rPr>
          <w:rFonts w:hint="eastAsia"/>
          <w:sz w:val="24"/>
          <w:szCs w:val="24"/>
          <w:highlight w:val="none"/>
        </w:rPr>
        <w:t xml:space="preserve">; </w:t>
      </w:r>
      <w:r>
        <w:rPr>
          <w:highlight w:val="none"/>
        </w:rPr>
        <w:fldChar w:fldCharType="begin"/>
      </w:r>
      <w:r>
        <w:rPr>
          <w:highlight w:val="none"/>
        </w:rPr>
        <w:instrText xml:space="preserve"> HYPERLINK "mailto:lbzhang@nwpu.edu.cn" </w:instrText>
      </w:r>
      <w:r>
        <w:rPr>
          <w:highlight w:val="none"/>
        </w:rPr>
        <w:fldChar w:fldCharType="separate"/>
      </w:r>
      <w:r>
        <w:rPr>
          <w:rStyle w:val="6"/>
          <w:sz w:val="24"/>
          <w:szCs w:val="24"/>
          <w:highlight w:val="none"/>
        </w:rPr>
        <w:t>lbzhang@nwpu.edu.cn</w:t>
      </w:r>
      <w:r>
        <w:rPr>
          <w:rStyle w:val="6"/>
          <w:sz w:val="24"/>
          <w:szCs w:val="24"/>
          <w:highlight w:val="none"/>
        </w:rPr>
        <w:fldChar w:fldCharType="end"/>
      </w:r>
      <w:r>
        <w:rPr>
          <w:sz w:val="24"/>
          <w:szCs w:val="24"/>
          <w:highlight w:val="none"/>
        </w:rPr>
        <w:t xml:space="preserve"> (L. Zhang)</w:t>
      </w:r>
    </w:p>
    <w:p>
      <w:pPr>
        <w:rPr>
          <w:rFonts w:hint="eastAsia" w:cs="Times New Roman"/>
          <w:i w:val="0"/>
          <w:iCs w:val="0"/>
          <w:caps w:val="0"/>
          <w:color w:val="auto"/>
          <w:spacing w:val="0"/>
          <w:sz w:val="24"/>
          <w:szCs w:val="24"/>
          <w:highlight w:val="none"/>
          <w:lang w:val="en-US" w:eastAsia="zh-CN"/>
        </w:rPr>
      </w:pPr>
    </w:p>
    <w:p>
      <w:pPr>
        <w:rPr>
          <w:color w:val="auto"/>
          <w:sz w:val="24"/>
          <w:szCs w:val="24"/>
          <w:highlight w:val="none"/>
        </w:rPr>
      </w:pPr>
      <w:r>
        <w:rPr>
          <w:rFonts w:hint="eastAsia"/>
          <w:b/>
          <w:bCs/>
          <w:color w:val="auto"/>
          <w:sz w:val="24"/>
          <w:szCs w:val="24"/>
          <w:highlight w:val="none"/>
          <w:lang w:val="en-US" w:eastAsia="zh-CN"/>
        </w:rPr>
        <w:t>Supplementary m</w:t>
      </w:r>
      <w:r>
        <w:rPr>
          <w:b/>
          <w:bCs/>
          <w:color w:val="auto"/>
          <w:sz w:val="24"/>
          <w:szCs w:val="24"/>
          <w:highlight w:val="none"/>
        </w:rPr>
        <w:t>ethods:</w:t>
      </w:r>
      <w:r>
        <w:rPr>
          <w:color w:val="auto"/>
          <w:sz w:val="24"/>
          <w:szCs w:val="24"/>
          <w:highlight w:val="none"/>
        </w:rPr>
        <w:t xml:space="preserve"> </w:t>
      </w:r>
    </w:p>
    <w:p>
      <w:pPr>
        <w:rPr>
          <w:b/>
          <w:bCs/>
          <w:color w:val="auto"/>
          <w:sz w:val="24"/>
          <w:szCs w:val="24"/>
          <w:highlight w:val="none"/>
        </w:rPr>
      </w:pPr>
      <w:r>
        <w:rPr>
          <w:b/>
          <w:bCs/>
          <w:color w:val="auto"/>
          <w:sz w:val="24"/>
          <w:szCs w:val="24"/>
          <w:highlight w:val="none"/>
        </w:rPr>
        <w:t>Synthesis and characterization of nanoparticles.</w:t>
      </w:r>
    </w:p>
    <w:p>
      <w:pPr>
        <w:ind w:firstLine="480" w:firstLineChars="200"/>
        <w:rPr>
          <w:color w:val="auto"/>
          <w:sz w:val="24"/>
          <w:szCs w:val="24"/>
          <w:highlight w:val="none"/>
        </w:rPr>
      </w:pPr>
      <w:r>
        <w:rPr>
          <w:color w:val="auto"/>
          <w:sz w:val="24"/>
          <w:szCs w:val="24"/>
          <w:highlight w:val="none"/>
        </w:rPr>
        <w:t>Several common iron salts, including iron sulfate, ferric nitrate, ferric chloride, and ferric citrate, were used as raw materials. The aqueous solution was heated in a water bath to form nanoparticles. The specific process was as follows: 30 mL distilled water was added to a beaker, stirred, and heated to 75</w:t>
      </w:r>
      <w:r>
        <w:rPr>
          <w:rFonts w:hint="eastAsia"/>
          <w:color w:val="auto"/>
          <w:sz w:val="24"/>
          <w:szCs w:val="24"/>
          <w:highlight w:val="none"/>
        </w:rPr>
        <w:t xml:space="preserve"> </w:t>
      </w:r>
      <w:r>
        <w:rPr>
          <w:color w:val="auto"/>
          <w:sz w:val="24"/>
          <w:szCs w:val="24"/>
          <w:highlight w:val="none"/>
        </w:rPr>
        <w:t>°C, after which various raw materials were added to a final concentration of 0.025 M and stirred for 20 min. The samples were then immediately cooled in an ice bath for 10 min. Dialyze in distilled water for 24 h, during which dialysates were changed every 3 h. The obtained liquids were centrifuged and the precipitate was freeze-dried to obtain the products. To control the synthesis temperature, a series of temperature gradients were set (65, 70, 75, 80, and 85</w:t>
      </w:r>
      <w:r>
        <w:rPr>
          <w:rFonts w:hint="eastAsia"/>
          <w:color w:val="auto"/>
          <w:sz w:val="24"/>
          <w:szCs w:val="24"/>
          <w:highlight w:val="none"/>
        </w:rPr>
        <w:t xml:space="preserve"> </w:t>
      </w:r>
      <w:r>
        <w:rPr>
          <w:color w:val="auto"/>
          <w:sz w:val="24"/>
          <w:szCs w:val="24"/>
          <w:highlight w:val="none"/>
        </w:rPr>
        <w:t>°C), and other conditions remained unchanged.</w:t>
      </w:r>
    </w:p>
    <w:p>
      <w:pPr>
        <w:ind w:firstLine="480" w:firstLineChars="200"/>
        <w:rPr>
          <w:color w:val="auto"/>
          <w:sz w:val="24"/>
          <w:szCs w:val="24"/>
          <w:highlight w:val="none"/>
        </w:rPr>
      </w:pPr>
      <w:r>
        <w:rPr>
          <w:color w:val="auto"/>
          <w:sz w:val="24"/>
          <w:szCs w:val="24"/>
          <w:highlight w:val="none"/>
        </w:rPr>
        <w:t xml:space="preserve">Transmission Electron Microscopy </w:t>
      </w:r>
      <w:r>
        <w:rPr>
          <w:rFonts w:hint="eastAsia"/>
          <w:color w:val="auto"/>
          <w:sz w:val="24"/>
          <w:szCs w:val="24"/>
          <w:highlight w:val="none"/>
        </w:rPr>
        <w:t>(</w:t>
      </w:r>
      <w:r>
        <w:rPr>
          <w:color w:val="auto"/>
          <w:sz w:val="24"/>
          <w:szCs w:val="24"/>
          <w:highlight w:val="none"/>
        </w:rPr>
        <w:t>TEM</w:t>
      </w:r>
      <w:r>
        <w:rPr>
          <w:rFonts w:hint="eastAsia"/>
          <w:color w:val="auto"/>
          <w:sz w:val="24"/>
          <w:szCs w:val="24"/>
          <w:highlight w:val="none"/>
        </w:rPr>
        <w:t>)</w:t>
      </w:r>
      <w:r>
        <w:rPr>
          <w:color w:val="auto"/>
          <w:sz w:val="24"/>
          <w:szCs w:val="24"/>
          <w:highlight w:val="none"/>
        </w:rPr>
        <w:t>: Each particle obtained was dissolved in ethanol and dropped onto an ultrathin carbon film. After drying at room temperature, the samples were observed under a field-emission transmission electron microscope with double spherical-aberration correction. X-ray Diffraction</w:t>
      </w:r>
      <w:r>
        <w:rPr>
          <w:rFonts w:hint="eastAsia"/>
          <w:color w:val="auto"/>
          <w:sz w:val="24"/>
          <w:szCs w:val="24"/>
          <w:highlight w:val="none"/>
        </w:rPr>
        <w:t xml:space="preserve"> (</w:t>
      </w:r>
      <w:r>
        <w:rPr>
          <w:color w:val="auto"/>
          <w:sz w:val="24"/>
          <w:szCs w:val="24"/>
          <w:highlight w:val="none"/>
        </w:rPr>
        <w:t>XRD</w:t>
      </w:r>
      <w:r>
        <w:rPr>
          <w:rFonts w:hint="eastAsia"/>
          <w:color w:val="auto"/>
          <w:sz w:val="24"/>
          <w:szCs w:val="24"/>
          <w:highlight w:val="none"/>
        </w:rPr>
        <w:t>)</w:t>
      </w:r>
      <w:r>
        <w:rPr>
          <w:color w:val="auto"/>
          <w:sz w:val="24"/>
          <w:szCs w:val="24"/>
          <w:highlight w:val="none"/>
        </w:rPr>
        <w:t>: Each particle obtained was analyzed using a polycrystalline X-ray diffractometer at, 5-80 degrees, 8°/min. X-ray photoelectron spectroscopy</w:t>
      </w:r>
      <w:r>
        <w:rPr>
          <w:rFonts w:hint="eastAsia"/>
          <w:color w:val="auto"/>
          <w:sz w:val="24"/>
          <w:szCs w:val="24"/>
          <w:highlight w:val="none"/>
        </w:rPr>
        <w:t xml:space="preserve"> (</w:t>
      </w:r>
      <w:r>
        <w:rPr>
          <w:color w:val="auto"/>
          <w:sz w:val="24"/>
          <w:szCs w:val="24"/>
          <w:highlight w:val="none"/>
        </w:rPr>
        <w:t>XPS</w:t>
      </w:r>
      <w:r>
        <w:rPr>
          <w:rFonts w:hint="eastAsia"/>
          <w:color w:val="auto"/>
          <w:sz w:val="24"/>
          <w:szCs w:val="24"/>
          <w:highlight w:val="none"/>
        </w:rPr>
        <w:t>)</w:t>
      </w:r>
      <w:r>
        <w:rPr>
          <w:color w:val="auto"/>
          <w:sz w:val="24"/>
          <w:szCs w:val="24"/>
          <w:highlight w:val="none"/>
        </w:rPr>
        <w:t>:</w:t>
      </w:r>
      <w:r>
        <w:rPr>
          <w:b/>
          <w:bCs/>
          <w:color w:val="auto"/>
          <w:sz w:val="24"/>
          <w:szCs w:val="24"/>
          <w:highlight w:val="none"/>
        </w:rPr>
        <w:t xml:space="preserve"> </w:t>
      </w:r>
      <w:r>
        <w:rPr>
          <w:color w:val="auto"/>
          <w:sz w:val="24"/>
          <w:szCs w:val="24"/>
          <w:highlight w:val="none"/>
        </w:rPr>
        <w:t xml:space="preserve">The surface elemental content of synthetic 6-Fh was measured by X-ray photoelectron spectroscopy. Dynamic Light Scattering </w:t>
      </w:r>
      <w:r>
        <w:rPr>
          <w:rFonts w:hint="eastAsia"/>
          <w:color w:val="auto"/>
          <w:sz w:val="24"/>
          <w:szCs w:val="24"/>
          <w:highlight w:val="none"/>
        </w:rPr>
        <w:t>(</w:t>
      </w:r>
      <w:r>
        <w:rPr>
          <w:color w:val="auto"/>
          <w:sz w:val="24"/>
          <w:szCs w:val="24"/>
          <w:highlight w:val="none"/>
        </w:rPr>
        <w:t>DLS</w:t>
      </w:r>
      <w:r>
        <w:rPr>
          <w:rFonts w:hint="eastAsia"/>
          <w:color w:val="auto"/>
          <w:sz w:val="24"/>
          <w:szCs w:val="24"/>
          <w:highlight w:val="none"/>
        </w:rPr>
        <w:t>)</w:t>
      </w:r>
      <w:r>
        <w:rPr>
          <w:color w:val="auto"/>
          <w:sz w:val="24"/>
          <w:szCs w:val="24"/>
          <w:highlight w:val="none"/>
        </w:rPr>
        <w:t>: The particle size distribution of the nanoparticle solutions was measured at 25</w:t>
      </w:r>
      <w:r>
        <w:rPr>
          <w:rFonts w:hint="eastAsia"/>
          <w:color w:val="auto"/>
          <w:sz w:val="24"/>
          <w:szCs w:val="24"/>
          <w:highlight w:val="none"/>
        </w:rPr>
        <w:t xml:space="preserve"> </w:t>
      </w:r>
      <w:r>
        <w:rPr>
          <w:color w:val="auto"/>
          <w:sz w:val="24"/>
          <w:szCs w:val="24"/>
          <w:highlight w:val="none"/>
        </w:rPr>
        <w:t xml:space="preserve">°C using a Malvern Nanosizer. </w:t>
      </w:r>
    </w:p>
    <w:p>
      <w:pPr>
        <w:rPr>
          <w:sz w:val="24"/>
          <w:szCs w:val="24"/>
          <w:highlight w:val="none"/>
        </w:rPr>
      </w:pPr>
      <w:r>
        <w:rPr>
          <w:b/>
          <w:bCs/>
          <w:sz w:val="24"/>
          <w:szCs w:val="24"/>
          <w:highlight w:val="none"/>
        </w:rPr>
        <w:t>Mice feeding:</w:t>
      </w:r>
      <w:r>
        <w:rPr>
          <w:sz w:val="24"/>
          <w:szCs w:val="24"/>
          <w:highlight w:val="none"/>
        </w:rPr>
        <w:t xml:space="preserve"> The 4 weeks SPF-grade male mice (C57) were purchased from Beijing Weitong Lihua Experimental Animal Technology Co., Ltd. (license number: SCXK (Beijing) 2021 -0006). The mice drank water and feed independently and were maintained under a 12 h light artificial photoperiod and 12 h dark at 25</w:t>
      </w:r>
      <w:r>
        <w:rPr>
          <w:rFonts w:hint="eastAsia"/>
          <w:sz w:val="24"/>
          <w:szCs w:val="24"/>
          <w:highlight w:val="none"/>
        </w:rPr>
        <w:t xml:space="preserve"> </w:t>
      </w:r>
      <w:r>
        <w:rPr>
          <w:sz w:val="24"/>
          <w:szCs w:val="24"/>
          <w:highlight w:val="none"/>
        </w:rPr>
        <w:t>°C. The mice were acclimated to the feeding environment for one week. During the feeding process, AIN-93G low-iron and AIN-93G purified growth and reproduction feeds (Jiangsu Synergy Pharmaceutical Bioengineering Co. Ltd. The actual iron content of the low-iron feed was 5-10 mg/kg, and that of the purified growth and reproduction feed was 45 mg/kg). Body weight was measured every five days.</w:t>
      </w:r>
    </w:p>
    <w:p>
      <w:pPr>
        <w:rPr>
          <w:rFonts w:hint="eastAsia" w:cs="Times New Roman"/>
          <w:i w:val="0"/>
          <w:iCs w:val="0"/>
          <w:caps w:val="0"/>
          <w:color w:val="auto"/>
          <w:spacing w:val="0"/>
          <w:sz w:val="24"/>
          <w:szCs w:val="24"/>
          <w:highlight w:val="none"/>
          <w:lang w:val="en-US" w:eastAsia="zh-CN"/>
        </w:rPr>
      </w:pPr>
    </w:p>
    <w:p>
      <w:pPr>
        <w:rPr>
          <w:rFonts w:hint="default" w:cs="Times New Roman"/>
          <w:i w:val="0"/>
          <w:iCs w:val="0"/>
          <w:caps w:val="0"/>
          <w:color w:val="auto"/>
          <w:spacing w:val="0"/>
          <w:sz w:val="24"/>
          <w:szCs w:val="24"/>
          <w:highlight w:val="none"/>
          <w:lang w:val="en-US" w:eastAsia="zh-CN"/>
        </w:rPr>
      </w:pPr>
      <w:r>
        <w:rPr>
          <w:rFonts w:hint="eastAsia"/>
          <w:b/>
          <w:bCs/>
          <w:sz w:val="24"/>
          <w:szCs w:val="24"/>
          <w:highlight w:val="none"/>
          <w:lang w:val="en-US" w:eastAsia="zh-CN"/>
        </w:rPr>
        <w:t>Supplementary Figures:</w:t>
      </w:r>
    </w:p>
    <w:p>
      <w:pPr>
        <w:rPr>
          <w:rFonts w:hint="eastAsia" w:cs="Times New Roman"/>
          <w:i w:val="0"/>
          <w:iCs w:val="0"/>
          <w:caps w:val="0"/>
          <w:color w:val="auto"/>
          <w:spacing w:val="0"/>
          <w:sz w:val="24"/>
          <w:szCs w:val="24"/>
          <w:highlight w:val="none"/>
          <w:lang w:val="en-US" w:eastAsia="zh-CN"/>
        </w:rPr>
      </w:pPr>
      <w:r>
        <w:rPr>
          <w:rFonts w:hint="eastAsia" w:cs="Times New Roman"/>
          <w:i w:val="0"/>
          <w:iCs w:val="0"/>
          <w:caps w:val="0"/>
          <w:color w:val="auto"/>
          <w:spacing w:val="0"/>
          <w:sz w:val="24"/>
          <w:szCs w:val="24"/>
          <w:highlight w:val="none"/>
          <w:lang w:val="en-US" w:eastAsia="zh-CN"/>
        </w:rPr>
        <w:t>T</w:t>
      </w:r>
      <w:r>
        <w:rPr>
          <w:rFonts w:hint="default" w:ascii="Times New Roman" w:hAnsi="Times New Roman" w:eastAsia="宋体" w:cs="Times New Roman"/>
          <w:i w:val="0"/>
          <w:iCs w:val="0"/>
          <w:caps w:val="0"/>
          <w:color w:val="auto"/>
          <w:spacing w:val="0"/>
          <w:sz w:val="24"/>
          <w:szCs w:val="24"/>
          <w:highlight w:val="none"/>
          <w:lang w:val="en-US" w:eastAsia="zh-CN"/>
        </w:rPr>
        <w:t>he uncropped blots</w:t>
      </w:r>
      <w:r>
        <w:rPr>
          <w:rFonts w:hint="eastAsia" w:cs="Times New Roman"/>
          <w:i w:val="0"/>
          <w:iCs w:val="0"/>
          <w:caps w:val="0"/>
          <w:color w:val="auto"/>
          <w:spacing w:val="0"/>
          <w:sz w:val="24"/>
          <w:szCs w:val="24"/>
          <w:highlight w:val="none"/>
          <w:lang w:val="en-US" w:eastAsia="zh-CN"/>
        </w:rPr>
        <w:t xml:space="preserve"> of western blotting:</w:t>
      </w:r>
    </w:p>
    <w:p>
      <w:pPr>
        <w:rPr>
          <w:rFonts w:hint="default" w:cs="Times New Roman"/>
          <w:i w:val="0"/>
          <w:iCs w:val="0"/>
          <w:caps w:val="0"/>
          <w:color w:val="auto"/>
          <w:spacing w:val="0"/>
          <w:sz w:val="24"/>
          <w:szCs w:val="24"/>
          <w:highlight w:val="none"/>
          <w:lang w:val="en-US" w:eastAsia="zh-CN"/>
        </w:rPr>
      </w:pPr>
    </w:p>
    <w:p>
      <w:pPr>
        <w:jc w:val="center"/>
        <w:rPr>
          <w:rFonts w:hint="eastAsia" w:eastAsia="宋体"/>
          <w:highlight w:val="none"/>
          <w:lang w:eastAsia="zh-CN"/>
        </w:rPr>
      </w:pPr>
      <w:r>
        <w:rPr>
          <w:rFonts w:hint="eastAsia" w:eastAsia="宋体"/>
          <w:highlight w:val="none"/>
          <w:lang w:eastAsia="zh-CN"/>
        </w:rPr>
        <w:drawing>
          <wp:inline distT="0" distB="0" distL="114300" distR="114300">
            <wp:extent cx="4621530" cy="1886585"/>
            <wp:effectExtent l="0" t="0" r="7620" b="18415"/>
            <wp:docPr id="1" name="图片 1" descr="DNT1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NT1 WB"/>
                    <pic:cNvPicPr>
                      <a:picLocks noChangeAspect="1"/>
                    </pic:cNvPicPr>
                  </pic:nvPicPr>
                  <pic:blipFill>
                    <a:blip r:embed="rId6"/>
                    <a:stretch>
                      <a:fillRect/>
                    </a:stretch>
                  </pic:blipFill>
                  <pic:spPr>
                    <a:xfrm>
                      <a:off x="0" y="0"/>
                      <a:ext cx="4621530" cy="1886585"/>
                    </a:xfrm>
                    <a:prstGeom prst="rect">
                      <a:avLst/>
                    </a:prstGeom>
                  </pic:spPr>
                </pic:pic>
              </a:graphicData>
            </a:graphic>
          </wp:inline>
        </w:drawing>
      </w:r>
    </w:p>
    <w:p>
      <w:pPr>
        <w:jc w:val="center"/>
        <w:rPr>
          <w:rFonts w:hint="eastAsia" w:eastAsia="宋体"/>
          <w:highlight w:val="none"/>
          <w:lang w:eastAsia="zh-CN"/>
        </w:rPr>
      </w:pPr>
    </w:p>
    <w:p>
      <w:pPr>
        <w:jc w:val="center"/>
        <w:rPr>
          <w:rFonts w:hint="eastAsia" w:eastAsia="宋体"/>
          <w:highlight w:val="none"/>
          <w:lang w:eastAsia="zh-CN"/>
        </w:rPr>
      </w:pPr>
      <w:r>
        <w:rPr>
          <w:rFonts w:hint="eastAsia" w:eastAsia="宋体"/>
          <w:highlight w:val="none"/>
          <w:lang w:eastAsia="zh-CN"/>
        </w:rPr>
        <w:drawing>
          <wp:inline distT="0" distB="0" distL="114300" distR="114300">
            <wp:extent cx="4506595" cy="2308860"/>
            <wp:effectExtent l="0" t="0" r="8255" b="15240"/>
            <wp:docPr id="2" name="图片 2" descr="FPN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PN WB"/>
                    <pic:cNvPicPr>
                      <a:picLocks noChangeAspect="1"/>
                    </pic:cNvPicPr>
                  </pic:nvPicPr>
                  <pic:blipFill>
                    <a:blip r:embed="rId7"/>
                    <a:stretch>
                      <a:fillRect/>
                    </a:stretch>
                  </pic:blipFill>
                  <pic:spPr>
                    <a:xfrm>
                      <a:off x="0" y="0"/>
                      <a:ext cx="4506595" cy="2308860"/>
                    </a:xfrm>
                    <a:prstGeom prst="rect">
                      <a:avLst/>
                    </a:prstGeom>
                  </pic:spPr>
                </pic:pic>
              </a:graphicData>
            </a:graphic>
          </wp:inline>
        </w:drawing>
      </w:r>
    </w:p>
    <w:p>
      <w:pPr>
        <w:rPr>
          <w:rFonts w:hint="eastAsia" w:eastAsia="宋体"/>
          <w:highlight w:val="none"/>
          <w:lang w:eastAsia="zh-CN"/>
        </w:rPr>
      </w:pPr>
    </w:p>
    <w:p>
      <w:pPr>
        <w:jc w:val="center"/>
        <w:rPr>
          <w:rFonts w:hint="eastAsia" w:eastAsia="宋体"/>
          <w:highlight w:val="none"/>
          <w:lang w:eastAsia="zh-CN"/>
        </w:rPr>
      </w:pPr>
      <w:r>
        <w:rPr>
          <w:rFonts w:hint="eastAsia" w:eastAsia="宋体"/>
          <w:highlight w:val="none"/>
          <w:lang w:eastAsia="zh-CN"/>
        </w:rPr>
        <w:drawing>
          <wp:inline distT="0" distB="0" distL="114300" distR="114300">
            <wp:extent cx="4585970" cy="1264920"/>
            <wp:effectExtent l="0" t="0" r="5080" b="11430"/>
            <wp:docPr id="3" name="图片 3" descr="H-chain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chain WB"/>
                    <pic:cNvPicPr>
                      <a:picLocks noChangeAspect="1"/>
                    </pic:cNvPicPr>
                  </pic:nvPicPr>
                  <pic:blipFill>
                    <a:blip r:embed="rId8"/>
                    <a:stretch>
                      <a:fillRect/>
                    </a:stretch>
                  </pic:blipFill>
                  <pic:spPr>
                    <a:xfrm>
                      <a:off x="0" y="0"/>
                      <a:ext cx="4585970" cy="1264920"/>
                    </a:xfrm>
                    <a:prstGeom prst="rect">
                      <a:avLst/>
                    </a:prstGeom>
                  </pic:spPr>
                </pic:pic>
              </a:graphicData>
            </a:graphic>
          </wp:inline>
        </w:drawing>
      </w:r>
    </w:p>
    <w:p>
      <w:pPr>
        <w:jc w:val="center"/>
        <w:rPr>
          <w:rFonts w:hint="eastAsia" w:eastAsia="宋体"/>
          <w:highlight w:val="none"/>
          <w:lang w:eastAsia="zh-CN"/>
        </w:rPr>
      </w:pPr>
    </w:p>
    <w:p>
      <w:pPr>
        <w:jc w:val="both"/>
        <w:rPr>
          <w:rFonts w:hint="eastAsia" w:eastAsia="宋体"/>
          <w:highlight w:val="none"/>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hMjhjNzMxYWM0ZDE3ZDc5MmE5NzhiYzIwZTc4YmIifQ=="/>
    <w:docVar w:name="EN.InstantFormat" w:val="&lt;ENInstantFormat&gt;&lt;Enabled&gt;1&lt;/Enabled&gt;&lt;ScanUnformatted&gt;1&lt;/ScanUnformatted&gt;&lt;ScanChanges&gt;1&lt;/ScanChanges&gt;&lt;Suspended&gt;0&lt;/Suspended&gt;&lt;/ENInstantFormat&gt;"/>
    <w:docVar w:name="EN.Layout" w:val="&lt;ENLayout&gt;&lt;Style&gt;ACS Nano 复制&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drxpsavd0t9enederppaww399909ptz0z09&quot;&gt;Fe supplement 参考文献&lt;record-ids&gt;&lt;item&gt;30&lt;/item&gt;&lt;/record-ids&gt;&lt;/item&gt;&lt;/Libraries&gt;"/>
  </w:docVars>
  <w:rsids>
    <w:rsidRoot w:val="00000000"/>
    <w:rsid w:val="00B415D5"/>
    <w:rsid w:val="0D3E316B"/>
    <w:rsid w:val="131B52CB"/>
    <w:rsid w:val="151E6558"/>
    <w:rsid w:val="18BD5A69"/>
    <w:rsid w:val="193723A3"/>
    <w:rsid w:val="1A054DA6"/>
    <w:rsid w:val="1FB94B40"/>
    <w:rsid w:val="225C3AC8"/>
    <w:rsid w:val="29412A3E"/>
    <w:rsid w:val="2FD84E32"/>
    <w:rsid w:val="308710A4"/>
    <w:rsid w:val="35507AD8"/>
    <w:rsid w:val="42663C8A"/>
    <w:rsid w:val="594D46B7"/>
    <w:rsid w:val="5ACD13B6"/>
    <w:rsid w:val="618B5B39"/>
    <w:rsid w:val="699029A4"/>
    <w:rsid w:val="69F849AD"/>
    <w:rsid w:val="70C83C17"/>
    <w:rsid w:val="71152F4E"/>
    <w:rsid w:val="715A5A7C"/>
    <w:rsid w:val="78010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50" w:beforeLines="50" w:beforeAutospacing="0" w:after="50" w:afterLines="50" w:afterAutospacing="0" w:line="240" w:lineRule="auto"/>
      <w:jc w:val="center"/>
      <w:outlineLvl w:val="0"/>
    </w:pPr>
    <w:rPr>
      <w:rFonts w:ascii="Times New Roman" w:hAnsi="Times New Roman" w:eastAsia="宋体" w:cs="Arial"/>
      <w:b/>
      <w:snapToGrid w:val="0"/>
      <w:color w:val="000000"/>
      <w:kern w:val="44"/>
      <w:sz w:val="30"/>
      <w:szCs w:val="21"/>
    </w:rPr>
  </w:style>
  <w:style w:type="paragraph" w:styleId="3">
    <w:name w:val="heading 2"/>
    <w:basedOn w:val="1"/>
    <w:next w:val="1"/>
    <w:semiHidden/>
    <w:unhideWhenUsed/>
    <w:qFormat/>
    <w:uiPriority w:val="0"/>
    <w:pPr>
      <w:keepNext/>
      <w:keepLines/>
      <w:adjustRightInd w:val="0"/>
      <w:snapToGrid w:val="0"/>
      <w:spacing w:beforeLines="0" w:beforeAutospacing="0" w:afterLines="0" w:afterAutospacing="0" w:line="360" w:lineRule="auto"/>
      <w:jc w:val="left"/>
      <w:outlineLvl w:val="1"/>
    </w:pPr>
    <w:rPr>
      <w:rFonts w:ascii="Times New Roman" w:hAnsi="Times New Roman" w:eastAsia="宋体"/>
      <w:b/>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Hyperlink"/>
    <w:basedOn w:val="5"/>
    <w:qFormat/>
    <w:uiPriority w:val="0"/>
    <w:rPr>
      <w:color w:val="0000FF"/>
      <w:u w:val="single"/>
    </w:rPr>
  </w:style>
  <w:style w:type="paragraph" w:customStyle="1" w:styleId="7">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eastAsia="宋体" w:cs="Times New Roman"/>
      <w:kern w:val="2"/>
      <w:sz w:val="24"/>
      <w:szCs w:val="24"/>
      <w:lang w:val="en-US" w:eastAsia="zh-CN" w:bidi="ar-SA"/>
    </w:rPr>
  </w:style>
  <w:style w:type="paragraph" w:customStyle="1" w:styleId="8">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418</Words>
  <Characters>2468</Characters>
  <Lines>0</Lines>
  <Paragraphs>0</Paragraphs>
  <TotalTime>1</TotalTime>
  <ScaleCrop>false</ScaleCrop>
  <LinksUpToDate>false</LinksUpToDate>
  <CharactersWithSpaces>2875</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2024-09-18T10:33:00Z</dcterms:created>
  <dc:creator>依娇</dc:creator>
  <cp:lastModifiedBy>C</cp:lastModifiedBy>
  <dcterms:modified xsi:type="dcterms:W3CDTF">2025-09-25T05:35:51Z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ICV">
    <vt:lpwstr>D285CE5B74B648BE8A746BA6D5C35005_12</vt:lpwstr>
  </property>
  <property fmtid="{D5CDD505-2E9C-101B-9397-08002B2CF9AE}" pid="4" name="KSOTemplateDocerSaveRecord">
    <vt:lpwstr>eyJoZGlkIjoiMWEyNjQzMzhkMWU5NDFjM2I4YjYyMGZlOGFkNjVjY2UiLCJ1c2VySWQiOiIzMzc5MjMxNzQifQ==</vt:lpwstr>
  </property>
</Properties>
</file>