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45D008">
      <w:pPr>
        <w:widowControl w:val="0"/>
        <w:adjustRightInd/>
        <w:snapToGrid/>
        <w:spacing w:before="80" w:after="80"/>
        <w:jc w:val="center"/>
        <w:rPr>
          <w:rFonts w:ascii="Times New Roman" w:hAnsi="Times New Roman" w:eastAsiaTheme="minorEastAsia"/>
          <w:b/>
          <w:kern w:val="2"/>
          <w:sz w:val="28"/>
          <w:szCs w:val="24"/>
        </w:rPr>
      </w:pPr>
      <w:bookmarkStart w:id="0" w:name="_Hlk112501751"/>
      <w:r>
        <w:rPr>
          <w:rFonts w:ascii="Times New Roman" w:hAnsi="Times New Roman" w:eastAsiaTheme="minorEastAsia"/>
          <w:b/>
          <w:kern w:val="2"/>
          <w:sz w:val="28"/>
          <w:szCs w:val="24"/>
        </w:rPr>
        <w:t>Targeting CAD with a Tumor Microenvironment-Responsive Nano-Heterojunction for Synergistic Induction of Cuproptosis and Inhibition of Colorectal Cancer Progression</w:t>
      </w:r>
    </w:p>
    <w:p w14:paraId="0BCCB133">
      <w:pPr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Yuanchu Xiang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2,3</w:t>
      </w:r>
      <w:r>
        <w:rPr>
          <w:rFonts w:hint="eastAsia" w:ascii="宋体" w:hAnsi="宋体" w:eastAsia="宋体" w:cs="宋体"/>
          <w:vertAlign w:val="superscript"/>
        </w:rPr>
        <w:t>†</w:t>
      </w:r>
      <w:r>
        <w:rPr>
          <w:rFonts w:hint="eastAsia" w:ascii="Times New Roman" w:hAnsi="Times New Roman" w:cs="Times New Roman"/>
        </w:rPr>
        <w:t>, Yujie Liao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4</w:t>
      </w:r>
      <w:r>
        <w:rPr>
          <w:rFonts w:hint="eastAsia" w:ascii="宋体" w:hAnsi="宋体" w:eastAsia="宋体" w:cs="宋体"/>
          <w:vertAlign w:val="superscript"/>
        </w:rPr>
        <w:t>†</w:t>
      </w:r>
      <w:r>
        <w:rPr>
          <w:rFonts w:hint="eastAsia" w:ascii="Times New Roman" w:hAnsi="Times New Roman" w:cs="Times New Roman"/>
        </w:rPr>
        <w:t>, Mi Yao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4</w:t>
      </w:r>
      <w:r>
        <w:rPr>
          <w:rFonts w:hint="eastAsia" w:ascii="Times New Roman" w:hAnsi="Times New Roman" w:cs="Times New Roman"/>
        </w:rPr>
        <w:t>, Zihang Zhai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4</w:t>
      </w:r>
      <w:r>
        <w:rPr>
          <w:rFonts w:hint="eastAsia" w:ascii="Times New Roman" w:hAnsi="Times New Roman" w:cs="Times New Roman"/>
        </w:rPr>
        <w:t>, Wenbo Zhao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4</w:t>
      </w:r>
      <w:r>
        <w:rPr>
          <w:rFonts w:hint="eastAsia" w:ascii="Times New Roman" w:hAnsi="Times New Roman" w:cs="Times New Roman"/>
        </w:rPr>
        <w:t xml:space="preserve">, </w:t>
      </w:r>
      <w:r>
        <w:rPr>
          <w:rFonts w:hint="eastAsia" w:ascii="Times New Roman" w:hAnsi="Times New Roman" w:cs="Times New Roman"/>
          <w:lang w:val="en-US" w:eastAsia="zh-CN"/>
        </w:rPr>
        <w:t>Yongxing Zhang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4</w:t>
      </w:r>
      <w:r>
        <w:rPr>
          <w:rFonts w:hint="eastAsia" w:ascii="Times New Roman" w:hAnsi="Times New Roman" w:cs="Times New Roman"/>
          <w:lang w:val="en-US" w:eastAsia="zh-CN"/>
        </w:rPr>
        <w:t>, Zongpeng Chen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4</w:t>
      </w:r>
      <w:r>
        <w:rPr>
          <w:rFonts w:hint="eastAsia" w:ascii="Times New Roman" w:hAnsi="Times New Roman" w:cs="Times New Roman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</w:rPr>
        <w:t>Chang Li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2,3</w:t>
      </w:r>
      <w:r>
        <w:rPr>
          <w:rFonts w:hint="eastAsia" w:ascii="Times New Roman" w:hAnsi="Times New Roman" w:cs="Times New Roman"/>
        </w:rPr>
        <w:t>,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</w:rPr>
        <w:t>Ximei Wang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6</w:t>
      </w:r>
      <w:r>
        <w:rPr>
          <w:rFonts w:hint="eastAsia" w:ascii="Times New Roman" w:hAnsi="Times New Roman" w:cs="Times New Roman"/>
        </w:rPr>
        <w:t>，Shiye Zhang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4</w:t>
      </w:r>
      <w:r>
        <w:rPr>
          <w:rFonts w:hint="eastAsia" w:ascii="Times New Roman" w:hAnsi="Times New Roman" w:cs="Times New Roman"/>
        </w:rPr>
        <w:t>, Shanni Li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4</w:t>
      </w:r>
      <w:r>
        <w:rPr>
          <w:rFonts w:hint="eastAsia" w:ascii="Times New Roman" w:hAnsi="Times New Roman" w:cs="Times New Roman"/>
        </w:rPr>
        <w:t>, Lipeng Zhu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4</w:t>
      </w:r>
      <w:r>
        <w:rPr>
          <w:rFonts w:hint="eastAsia" w:ascii="Times New Roman" w:hAnsi="Times New Roman" w:cs="Times New Roman"/>
        </w:rPr>
        <w:t>, Jie Chen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1,2</w:t>
      </w:r>
      <w:r>
        <w:rPr>
          <w:rFonts w:hint="eastAsia" w:ascii="Times New Roman" w:hAnsi="Times New Roman" w:cs="Times New Roman"/>
        </w:rPr>
        <w:t>, Weidong Liu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2,3</w:t>
      </w:r>
      <w:r>
        <w:rPr>
          <w:rFonts w:hint="eastAsia" w:ascii="Times New Roman" w:hAnsi="Times New Roman" w:cs="Times New Roman"/>
        </w:rPr>
        <w:t>*, Zanxian Xia</w:t>
      </w:r>
      <w:bookmarkStart w:id="2" w:name="_GoBack"/>
      <w:bookmarkEnd w:id="2"/>
      <w:r>
        <w:rPr>
          <w:rFonts w:hint="eastAsia" w:ascii="Times New Roman" w:hAnsi="Times New Roman" w:cs="Times New Roman"/>
          <w:vertAlign w:val="superscript"/>
          <w:lang w:val="en-US" w:eastAsia="zh-CN"/>
        </w:rPr>
        <w:t>4,5</w:t>
      </w:r>
      <w:r>
        <w:rPr>
          <w:rFonts w:hint="eastAsia" w:ascii="Times New Roman" w:hAnsi="Times New Roman" w:cs="Times New Roman"/>
        </w:rPr>
        <w:t>* and Jian Peng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1,2</w:t>
      </w:r>
      <w:r>
        <w:rPr>
          <w:rFonts w:hint="eastAsia" w:ascii="Times New Roman" w:hAnsi="Times New Roman" w:cs="Times New Roman"/>
        </w:rPr>
        <w:t>*</w:t>
      </w:r>
    </w:p>
    <w:p w14:paraId="14DF2E94">
      <w:pPr>
        <w:rPr>
          <w:rFonts w:hint="eastAsia" w:ascii="Times New Roman" w:hAnsi="Times New Roman" w:cs="Times New Roman"/>
        </w:rPr>
      </w:pPr>
    </w:p>
    <w:p w14:paraId="5BD29CD5">
      <w:pPr>
        <w:rPr>
          <w:rFonts w:hint="eastAsia" w:ascii="Times New Roman" w:hAnsi="Times New Roman" w:cs="Times New Roman"/>
        </w:rPr>
      </w:pPr>
    </w:p>
    <w:p w14:paraId="290CEAB7">
      <w:pPr>
        <w:spacing w:line="360" w:lineRule="auto"/>
        <w:jc w:val="left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  <w:vertAlign w:val="superscript"/>
          <w:lang w:val="en-US" w:eastAsia="zh-CN"/>
        </w:rPr>
        <w:t>1</w:t>
      </w:r>
      <w:r>
        <w:rPr>
          <w:rFonts w:ascii="Times New Roman" w:hAnsi="Times New Roman" w:eastAsia="宋体" w:cs="Times New Roman"/>
          <w:sz w:val="24"/>
          <w:vertAlign w:val="superscript"/>
        </w:rPr>
        <w:t xml:space="preserve"> </w:t>
      </w:r>
      <w:r>
        <w:rPr>
          <w:rFonts w:hint="eastAsia" w:ascii="Times New Roman" w:hAnsi="Times New Roman" w:eastAsia="宋体" w:cs="Times New Roman"/>
          <w:sz w:val="24"/>
        </w:rPr>
        <w:t>Department of Geriatric Surgery, Xiangya Hospital, Central South University, Changsha, 410008, China</w:t>
      </w:r>
      <w:r>
        <w:rPr>
          <w:rFonts w:ascii="Times New Roman" w:hAnsi="Times New Roman" w:eastAsia="宋体" w:cs="Times New Roman"/>
          <w:sz w:val="24"/>
        </w:rPr>
        <w:t>;</w:t>
      </w:r>
    </w:p>
    <w:p w14:paraId="47F6BDA8">
      <w:pPr>
        <w:spacing w:line="360" w:lineRule="auto"/>
        <w:jc w:val="left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  <w:vertAlign w:val="superscript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sz w:val="24"/>
        </w:rPr>
        <w:t xml:space="preserve"> Department of Geriatric Surgery, Xiangya Hospital, Central South University, Changsha, 410008, China</w:t>
      </w:r>
      <w:r>
        <w:rPr>
          <w:rFonts w:ascii="Times New Roman" w:hAnsi="Times New Roman" w:eastAsia="宋体" w:cs="Times New Roman"/>
          <w:sz w:val="24"/>
        </w:rPr>
        <w:t>;</w:t>
      </w:r>
    </w:p>
    <w:p w14:paraId="1A3BF006">
      <w:pPr>
        <w:spacing w:line="360" w:lineRule="auto"/>
        <w:jc w:val="left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  <w:vertAlign w:val="superscript"/>
          <w:lang w:val="en-US" w:eastAsia="zh-CN"/>
        </w:rPr>
        <w:t>3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 w:eastAsia="宋体" w:cs="Times New Roman"/>
          <w:sz w:val="24"/>
        </w:rPr>
        <w:t>Department of General Surgery, Xiangya Hospital, Central South University, Changsha, Hunan, 410008, PR China</w:t>
      </w:r>
    </w:p>
    <w:p w14:paraId="431FD1F7">
      <w:pPr>
        <w:spacing w:line="360" w:lineRule="auto"/>
        <w:jc w:val="left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  <w:vertAlign w:val="superscript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sz w:val="24"/>
        </w:rPr>
        <w:t xml:space="preserve"> Department of Cell Biology, School of Life Sciences, Central South University, </w:t>
      </w:r>
      <w:r>
        <w:rPr>
          <w:rFonts w:ascii="Times New Roman" w:hAnsi="Times New Roman" w:eastAsia="宋体" w:cs="Times New Roman"/>
          <w:sz w:val="24"/>
        </w:rPr>
        <w:t>410013 Changsha, Hunan, China</w:t>
      </w:r>
    </w:p>
    <w:p w14:paraId="124D3E07">
      <w:pPr>
        <w:spacing w:line="360" w:lineRule="auto"/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  <w:vertAlign w:val="superscript"/>
          <w:lang w:val="en-US" w:eastAsia="zh-CN"/>
        </w:rPr>
        <w:t>5</w:t>
      </w:r>
      <w:r>
        <w:rPr>
          <w:rFonts w:ascii="Times New Roman" w:hAnsi="Times New Roman" w:eastAsia="宋体" w:cs="Times New Roman"/>
          <w:sz w:val="24"/>
        </w:rPr>
        <w:t>Hunan Key Laboratory of Animal Models for Human Diseases, Hunan Key Laboratory of Medical Genetics &amp; Center for Medical Genetics, School of Life Sciences, Central South University, 410008 Changsha, China</w:t>
      </w:r>
      <w:r>
        <w:rPr>
          <w:rFonts w:hint="eastAsia" w:ascii="Times New Roman" w:hAnsi="Times New Roman" w:eastAsia="宋体" w:cs="Times New Roman"/>
          <w:sz w:val="24"/>
        </w:rPr>
        <w:t>.</w:t>
      </w:r>
    </w:p>
    <w:p w14:paraId="50E0E477">
      <w:pPr>
        <w:spacing w:line="360" w:lineRule="auto"/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  <w:vertAlign w:val="superscript"/>
          <w:lang w:val="en-US" w:eastAsia="zh-CN"/>
        </w:rPr>
        <w:t>6</w:t>
      </w:r>
      <w:r>
        <w:rPr>
          <w:rFonts w:ascii="Times New Roman" w:hAnsi="Times New Roman" w:eastAsia="宋体" w:cs="Times New Roman"/>
          <w:sz w:val="24"/>
        </w:rPr>
        <w:t>Department of Anesthesiology, Xiangya Hospital, Central South University, Changsha, 410008, China</w:t>
      </w:r>
    </w:p>
    <w:p w14:paraId="1A7244FB">
      <w:pPr>
        <w:spacing w:line="360" w:lineRule="auto"/>
        <w:jc w:val="left"/>
        <w:rPr>
          <w:rFonts w:hint="eastAsia" w:ascii="Times New Roman" w:hAnsi="Times New Roman" w:eastAsia="宋体" w:cs="Times New Roman"/>
          <w:sz w:val="24"/>
        </w:rPr>
      </w:pPr>
    </w:p>
    <w:p w14:paraId="1C733AE9">
      <w:pPr>
        <w:spacing w:line="360" w:lineRule="auto"/>
        <w:jc w:val="left"/>
        <w:rPr>
          <w:rFonts w:hint="eastAsia" w:ascii="Times New Roman" w:hAnsi="Times New Roman" w:eastAsia="宋体" w:cs="Times New Roman"/>
          <w:sz w:val="24"/>
        </w:rPr>
      </w:pPr>
    </w:p>
    <w:p w14:paraId="03493D2E">
      <w:pPr>
        <w:spacing w:line="360" w:lineRule="auto"/>
        <w:jc w:val="left"/>
        <w:rPr>
          <w:rFonts w:hint="eastAsia" w:ascii="Times New Roman" w:hAnsi="Times New Roman" w:eastAsia="宋体" w:cs="Times New Roman"/>
          <w:sz w:val="24"/>
        </w:rPr>
      </w:pPr>
    </w:p>
    <w:p w14:paraId="42009AD2">
      <w:pPr>
        <w:jc w:val="both"/>
        <w:rPr>
          <w:rFonts w:hint="eastAsia" w:ascii="Times New Roman" w:hAnsi="Times New Roman" w:eastAsia="等线" w:cs="Times New Roman"/>
          <w:b/>
          <w:sz w:val="32"/>
          <w:szCs w:val="32"/>
        </w:rPr>
      </w:pPr>
    </w:p>
    <w:p w14:paraId="0E600503">
      <w:pPr>
        <w:jc w:val="both"/>
        <w:rPr>
          <w:rFonts w:hint="eastAsia" w:ascii="Times New Roman" w:hAnsi="Times New Roman" w:eastAsia="等线" w:cs="Times New Roman"/>
          <w:b/>
          <w:sz w:val="32"/>
          <w:szCs w:val="32"/>
        </w:rPr>
      </w:pPr>
    </w:p>
    <w:tbl>
      <w:tblPr>
        <w:tblStyle w:val="9"/>
        <w:tblpPr w:leftFromText="180" w:rightFromText="180" w:vertAnchor="text" w:tblpX="10214" w:tblpY="68"/>
        <w:tblOverlap w:val="never"/>
        <w:tblW w:w="13387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7"/>
      </w:tblGrid>
      <w:tr w14:paraId="4DBB71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3387" w:type="dxa"/>
          </w:tcPr>
          <w:p w14:paraId="18D5661F">
            <w:pPr>
              <w:pStyle w:val="4"/>
              <w:widowControl w:val="0"/>
              <w:spacing w:line="48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 w14:paraId="0814EEA3">
      <w:pPr>
        <w:spacing w:line="22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sz w:val="24"/>
          <w:szCs w:val="24"/>
        </w:rPr>
        <w:t xml:space="preserve">Supplementary table1. </w:t>
      </w:r>
      <w:r>
        <w:rPr>
          <w:rFonts w:ascii="Times New Roman" w:hAnsi="Times New Roman" w:cs="Times New Roman"/>
          <w:b/>
          <w:bCs/>
          <w:sz w:val="24"/>
          <w:szCs w:val="24"/>
        </w:rPr>
        <w:t>Clinical information of 3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colorectal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patients’ samples for validation of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CAD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expression.</w:t>
      </w:r>
    </w:p>
    <w:tbl>
      <w:tblPr>
        <w:tblStyle w:val="8"/>
        <w:tblW w:w="815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4"/>
        <w:gridCol w:w="1353"/>
        <w:gridCol w:w="1316"/>
        <w:gridCol w:w="1290"/>
        <w:gridCol w:w="1078"/>
      </w:tblGrid>
      <w:tr w14:paraId="6115AA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114" w:type="dxa"/>
            <w:tcBorders>
              <w:top w:val="single" w:color="auto" w:sz="12" w:space="0"/>
              <w:bottom w:val="nil"/>
              <w:tl2br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center"/>
          </w:tcPr>
          <w:p w14:paraId="26138E86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53" w:type="dxa"/>
            <w:vMerge w:val="restart"/>
            <w:tcBorders>
              <w:top w:val="single" w:color="auto" w:sz="12" w:space="0"/>
              <w:bottom w:val="single" w:color="auto" w:sz="4" w:space="0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center"/>
          </w:tcPr>
          <w:p w14:paraId="574F8411">
            <w:pPr>
              <w:pStyle w:val="7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CAD High</w:t>
            </w:r>
          </w:p>
          <w:p w14:paraId="208A74C4">
            <w:pPr>
              <w:pStyle w:val="7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(N=17)</w:t>
            </w:r>
          </w:p>
        </w:tc>
        <w:tc>
          <w:tcPr>
            <w:tcW w:w="1316" w:type="dxa"/>
            <w:vMerge w:val="restart"/>
            <w:tcBorders>
              <w:top w:val="single" w:color="auto" w:sz="12" w:space="0"/>
              <w:bottom w:val="single" w:color="auto" w:sz="4" w:space="0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center"/>
          </w:tcPr>
          <w:p w14:paraId="7AAE4EF4">
            <w:pPr>
              <w:pStyle w:val="7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CAD Low</w:t>
            </w:r>
          </w:p>
          <w:p w14:paraId="0C17D8FC">
            <w:pPr>
              <w:pStyle w:val="7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(N=17)</w:t>
            </w:r>
          </w:p>
        </w:tc>
        <w:tc>
          <w:tcPr>
            <w:tcW w:w="1290" w:type="dxa"/>
            <w:vMerge w:val="restart"/>
            <w:tcBorders>
              <w:top w:val="single" w:color="auto" w:sz="12" w:space="0"/>
              <w:bottom w:val="single" w:color="auto" w:sz="4" w:space="0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center"/>
          </w:tcPr>
          <w:p w14:paraId="09EBF638">
            <w:pPr>
              <w:pStyle w:val="7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</w:t>
            </w:r>
          </w:p>
          <w:p w14:paraId="3C517E70">
            <w:pPr>
              <w:pStyle w:val="7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(N=34)</w:t>
            </w:r>
          </w:p>
        </w:tc>
        <w:tc>
          <w:tcPr>
            <w:tcW w:w="1078" w:type="dxa"/>
            <w:vMerge w:val="restart"/>
            <w:tcBorders>
              <w:top w:val="single" w:color="auto" w:sz="12" w:space="0"/>
              <w:bottom w:val="single" w:color="auto" w:sz="4" w:space="0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center"/>
          </w:tcPr>
          <w:p w14:paraId="1D6C5C17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P-value</w:t>
            </w:r>
          </w:p>
        </w:tc>
      </w:tr>
      <w:tr w14:paraId="5CB592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114" w:type="dxa"/>
            <w:tcBorders>
              <w:top w:val="nil"/>
              <w:bottom w:val="single" w:color="auto" w:sz="8" w:space="0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172EA006">
            <w:pPr>
              <w:pStyle w:val="7"/>
              <w:rPr>
                <w:rFonts w:hint="eastAsia"/>
                <w:color w:val="000000"/>
              </w:rPr>
            </w:pPr>
          </w:p>
        </w:tc>
        <w:tc>
          <w:tcPr>
            <w:tcW w:w="1353" w:type="dxa"/>
            <w:vMerge w:val="continue"/>
            <w:tcBorders>
              <w:top w:val="single" w:color="auto" w:sz="4" w:space="0"/>
              <w:bottom w:val="single" w:color="auto" w:sz="8" w:space="0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center"/>
          </w:tcPr>
          <w:p w14:paraId="72BDBC93">
            <w:pPr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  <w:vMerge w:val="continue"/>
            <w:tcBorders>
              <w:top w:val="single" w:color="auto" w:sz="4" w:space="0"/>
              <w:bottom w:val="single" w:color="auto" w:sz="8" w:space="0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center"/>
          </w:tcPr>
          <w:p w14:paraId="73F84EA8">
            <w:pPr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vMerge w:val="continue"/>
            <w:tcBorders>
              <w:top w:val="single" w:color="auto" w:sz="4" w:space="0"/>
              <w:bottom w:val="single" w:color="auto" w:sz="8" w:space="0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center"/>
          </w:tcPr>
          <w:p w14:paraId="17EE7B98">
            <w:pPr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vMerge w:val="continue"/>
            <w:tcBorders>
              <w:top w:val="single" w:color="auto" w:sz="4" w:space="0"/>
              <w:bottom w:val="single" w:color="auto" w:sz="8" w:space="0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center"/>
          </w:tcPr>
          <w:p w14:paraId="330833BC">
            <w:pPr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14:paraId="33AE0A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114" w:type="dxa"/>
            <w:tcBorders>
              <w:top w:val="single" w:color="auto" w:sz="8" w:space="0"/>
              <w:bottom w:val="nil"/>
              <w:tl2br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3CAF20FB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Sites</w:t>
            </w:r>
          </w:p>
        </w:tc>
        <w:tc>
          <w:tcPr>
            <w:tcW w:w="1353" w:type="dxa"/>
            <w:tcBorders>
              <w:top w:val="single" w:color="auto" w:sz="8" w:space="0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25911740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16" w:type="dxa"/>
            <w:tcBorders>
              <w:top w:val="single" w:color="auto" w:sz="8" w:space="0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4A35B277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290" w:type="dxa"/>
            <w:tcBorders>
              <w:top w:val="single" w:color="auto" w:sz="8" w:space="0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090C4C43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78" w:type="dxa"/>
            <w:tcBorders>
              <w:top w:val="single" w:color="auto" w:sz="8" w:space="0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37D64F54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</w:tr>
      <w:tr w14:paraId="692A79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114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36DD7648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transverse colon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690F684B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(11.8%)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0F20F1AC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(5.9%)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7DE40096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(8.8%)</w:t>
            </w:r>
          </w:p>
        </w:tc>
        <w:tc>
          <w:tcPr>
            <w:tcW w:w="1078" w:type="dxa"/>
            <w:vMerge w:val="restart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center"/>
          </w:tcPr>
          <w:p w14:paraId="2EF78808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0.994</w:t>
            </w:r>
          </w:p>
        </w:tc>
      </w:tr>
      <w:tr w14:paraId="1A1528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114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1D7FCD0B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Sigmoid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4AE9DF0F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(35.3%)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091F27E8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(29.4%)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0B4AA083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(32.4%)</w:t>
            </w:r>
          </w:p>
        </w:tc>
        <w:tc>
          <w:tcPr>
            <w:tcW w:w="1078" w:type="dxa"/>
            <w:vMerge w:val="continue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center"/>
          </w:tcPr>
          <w:p w14:paraId="48FC8207">
            <w:pPr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14:paraId="3D4FFE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114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38BE934F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Right hemicolon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02260004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(11.8%)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06DB436B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(11.8%)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24B60890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(11.8%)</w:t>
            </w:r>
          </w:p>
        </w:tc>
        <w:tc>
          <w:tcPr>
            <w:tcW w:w="1078" w:type="dxa"/>
            <w:vMerge w:val="continue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center"/>
          </w:tcPr>
          <w:p w14:paraId="7673389E">
            <w:pPr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14:paraId="37F62A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114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40EF926F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Rectum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41D1857D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(35.3%)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1DFAEC19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(35.3%)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3E402CD6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 (35.3%)</w:t>
            </w:r>
          </w:p>
        </w:tc>
        <w:tc>
          <w:tcPr>
            <w:tcW w:w="1078" w:type="dxa"/>
            <w:vMerge w:val="continue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center"/>
          </w:tcPr>
          <w:p w14:paraId="3F04D899">
            <w:pPr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14:paraId="0C0F0F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114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79CFA7BA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Left hemicolon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2E6280F5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(5.9%)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13FA108C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(17.6%)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7B5980A8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(11.8%)</w:t>
            </w:r>
          </w:p>
        </w:tc>
        <w:tc>
          <w:tcPr>
            <w:tcW w:w="1078" w:type="dxa"/>
            <w:vMerge w:val="continue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center"/>
          </w:tcPr>
          <w:p w14:paraId="33A996E8">
            <w:pPr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14:paraId="48265C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114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38C27970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17B98B3E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441F7CED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07085ACE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669047FB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</w:tr>
      <w:tr w14:paraId="5D4B8D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114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02B38455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3BE86B19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(17.6%)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5E617D18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(52.9%)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5D08D87C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 (35.3%)</w:t>
            </w:r>
          </w:p>
        </w:tc>
        <w:tc>
          <w:tcPr>
            <w:tcW w:w="1078" w:type="dxa"/>
            <w:vMerge w:val="restart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center"/>
          </w:tcPr>
          <w:p w14:paraId="3765F3ED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0.0985</w:t>
            </w:r>
          </w:p>
        </w:tc>
      </w:tr>
      <w:tr w14:paraId="28B3B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114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36856515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36839951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(82.4%)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719D8539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(47.1%)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430CE2E1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 (64.7%)</w:t>
            </w:r>
          </w:p>
        </w:tc>
        <w:tc>
          <w:tcPr>
            <w:tcW w:w="1078" w:type="dxa"/>
            <w:vMerge w:val="continue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center"/>
          </w:tcPr>
          <w:p w14:paraId="60689F4A">
            <w:pPr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14:paraId="776E25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114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10FFB203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Age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3C5CD43D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5046F603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4D58A05D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5C0CF05E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</w:tr>
      <w:tr w14:paraId="19C82D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114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579455A8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Mean ± SD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70A6FE0C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64.3 ± 12.5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516D0167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57.4 ± 12.0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5DDBADC0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60.8 ± 12.6</w:t>
            </w:r>
          </w:p>
        </w:tc>
        <w:tc>
          <w:tcPr>
            <w:tcW w:w="1078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4FA576B7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0.353</w:t>
            </w:r>
          </w:p>
        </w:tc>
      </w:tr>
      <w:tr w14:paraId="18B1C7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114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2F905F2B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Adenocarcinoma Pathologicalgrade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509FB97B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1A9B7AC1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59C0F423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5A62BB21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</w:tr>
      <w:tr w14:paraId="325BF1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114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77479271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0FC9E686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(11.8%)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4F9D64B1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(11.8%)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642CB51D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(11.8%)</w:t>
            </w:r>
          </w:p>
        </w:tc>
        <w:tc>
          <w:tcPr>
            <w:tcW w:w="1078" w:type="dxa"/>
            <w:vMerge w:val="restart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center"/>
          </w:tcPr>
          <w:p w14:paraId="222CF912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0.985</w:t>
            </w:r>
          </w:p>
        </w:tc>
      </w:tr>
      <w:tr w14:paraId="5F621A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114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0C54F2F1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31F8CBE3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(82.4%)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30B2901E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(76.5%)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4D4FA1C5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 (79.4%)</w:t>
            </w:r>
          </w:p>
        </w:tc>
        <w:tc>
          <w:tcPr>
            <w:tcW w:w="1078" w:type="dxa"/>
            <w:vMerge w:val="continue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center"/>
          </w:tcPr>
          <w:p w14:paraId="02FDD85D">
            <w:pPr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14:paraId="695B26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114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519D0C70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10F2F5B0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(5.9%)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53C821F9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(11.8%)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3FCC40C6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(8.8%)</w:t>
            </w:r>
          </w:p>
        </w:tc>
        <w:tc>
          <w:tcPr>
            <w:tcW w:w="1078" w:type="dxa"/>
            <w:vMerge w:val="continue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center"/>
          </w:tcPr>
          <w:p w14:paraId="19DDB450">
            <w:pPr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14:paraId="0764CE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114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68DBE506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 Stage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56EE0134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03B1028F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38BBD32F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18A18480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</w:tr>
      <w:tr w14:paraId="214DFE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114" w:type="dxa"/>
            <w:tcBorders>
              <w:top w:val="nil"/>
              <w:bottom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bottom"/>
          </w:tcPr>
          <w:p w14:paraId="4152366D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T1-T2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bottom"/>
          </w:tcPr>
          <w:p w14:paraId="09FEC31A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 (11.8%)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bottom"/>
          </w:tcPr>
          <w:p w14:paraId="0D8F6536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 (11.8%)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bottom"/>
          </w:tcPr>
          <w:p w14:paraId="512A74E6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 (11.8%)</w:t>
            </w:r>
          </w:p>
        </w:tc>
        <w:tc>
          <w:tcPr>
            <w:tcW w:w="1078" w:type="dxa"/>
            <w:vMerge w:val="restart"/>
            <w:tcBorders>
              <w:top w:val="nil"/>
              <w:bottom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bottom"/>
          </w:tcPr>
          <w:p w14:paraId="64D382CE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14:paraId="3BFBC2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114" w:type="dxa"/>
            <w:tcBorders>
              <w:top w:val="nil"/>
              <w:bottom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bottom"/>
          </w:tcPr>
          <w:p w14:paraId="481E549A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T3-T4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bottom"/>
          </w:tcPr>
          <w:p w14:paraId="4EA082DE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 (88.2%)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bottom"/>
          </w:tcPr>
          <w:p w14:paraId="7EC96034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 (88.2%)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bottom"/>
          </w:tcPr>
          <w:p w14:paraId="0E7C97C4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 (88.2%)</w:t>
            </w:r>
          </w:p>
        </w:tc>
        <w:tc>
          <w:tcPr>
            <w:tcW w:w="1078" w:type="dxa"/>
            <w:vMerge w:val="continue"/>
            <w:tcBorders>
              <w:top w:val="nil"/>
              <w:bottom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bottom"/>
          </w:tcPr>
          <w:p w14:paraId="5CD6EAD5">
            <w:pPr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14:paraId="5B96B3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114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446CE8A5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N Stage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2125E84C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464D63BB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21F7D8A6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3C3F185E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</w:tr>
      <w:tr w14:paraId="6E0857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114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3F74F289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N0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04895893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(41.2%)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2417BAF9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 (70.6%)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3D6CA572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 (55.9%)</w:t>
            </w:r>
          </w:p>
        </w:tc>
        <w:tc>
          <w:tcPr>
            <w:tcW w:w="1078" w:type="dxa"/>
            <w:vMerge w:val="restart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center"/>
          </w:tcPr>
          <w:p w14:paraId="0C13C8BB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0.225</w:t>
            </w:r>
          </w:p>
        </w:tc>
      </w:tr>
      <w:tr w14:paraId="553933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114" w:type="dxa"/>
            <w:tcBorders>
              <w:top w:val="nil"/>
              <w:bottom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bottom"/>
          </w:tcPr>
          <w:p w14:paraId="5120BB3D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N1-N2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bottom"/>
          </w:tcPr>
          <w:p w14:paraId="6FBC0546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 (58.8%)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bottom"/>
          </w:tcPr>
          <w:p w14:paraId="1B2340C6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 (29.4%)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bottom"/>
          </w:tcPr>
          <w:p w14:paraId="3278A69A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 (44.1%)</w:t>
            </w:r>
          </w:p>
        </w:tc>
        <w:tc>
          <w:tcPr>
            <w:tcW w:w="1078" w:type="dxa"/>
            <w:vMerge w:val="continue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center"/>
          </w:tcPr>
          <w:p w14:paraId="599C1E09">
            <w:pPr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14:paraId="1864F1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114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0E67AC1A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M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3A420E07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1320FF4F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73EF283A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38E7318E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</w:tr>
      <w:tr w14:paraId="08923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114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738E9818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M0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406DC515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 (100%)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4E2E93EA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(94.1%)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6BED5750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 (97.1%)</w:t>
            </w:r>
          </w:p>
        </w:tc>
        <w:tc>
          <w:tcPr>
            <w:tcW w:w="1078" w:type="dxa"/>
            <w:vMerge w:val="restart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center"/>
          </w:tcPr>
          <w:p w14:paraId="0B3B9A11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0.597</w:t>
            </w:r>
          </w:p>
        </w:tc>
      </w:tr>
      <w:tr w14:paraId="37A9ED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114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6C621B82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M1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0AC643B0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 (0%)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731F7B58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(5.9%)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19CBD8F4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(2.9%)</w:t>
            </w:r>
          </w:p>
        </w:tc>
        <w:tc>
          <w:tcPr>
            <w:tcW w:w="1078" w:type="dxa"/>
            <w:vMerge w:val="continue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center"/>
          </w:tcPr>
          <w:p w14:paraId="3C4ED764">
            <w:pPr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14:paraId="2FBCBD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114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0D08F6A2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AJCC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2BEA61FF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59BE2F81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703146B8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2D72FF66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</w:tr>
      <w:tr w14:paraId="0EBA2B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114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76D00192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24D92644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(11.8%)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399DCBA8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(11.8%)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759AB469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(11.8%)</w:t>
            </w:r>
          </w:p>
        </w:tc>
        <w:tc>
          <w:tcPr>
            <w:tcW w:w="1078" w:type="dxa"/>
            <w:vMerge w:val="restart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center"/>
          </w:tcPr>
          <w:p w14:paraId="4B080BD1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0.514</w:t>
            </w:r>
          </w:p>
        </w:tc>
      </w:tr>
      <w:tr w14:paraId="1563F6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114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17243196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628EF7AB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(29.4%)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21C05375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(58.8%)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6A4E7E67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 (44.1%)</w:t>
            </w:r>
          </w:p>
        </w:tc>
        <w:tc>
          <w:tcPr>
            <w:tcW w:w="1078" w:type="dxa"/>
            <w:vMerge w:val="continue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center"/>
          </w:tcPr>
          <w:p w14:paraId="60541985">
            <w:pPr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14:paraId="0FEE5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114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3704ECB7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52FA03AB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(58.8%)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5C6B9322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(23.5%)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25F85B4A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(41.2%)</w:t>
            </w:r>
          </w:p>
        </w:tc>
        <w:tc>
          <w:tcPr>
            <w:tcW w:w="1078" w:type="dxa"/>
            <w:vMerge w:val="continue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center"/>
          </w:tcPr>
          <w:p w14:paraId="43D2FADA">
            <w:pPr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14:paraId="75AE56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114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4571073C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1C2F6509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 (0%)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6143D4BF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(5.9%)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0245925C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(2.9%)</w:t>
            </w:r>
          </w:p>
        </w:tc>
        <w:tc>
          <w:tcPr>
            <w:tcW w:w="1078" w:type="dxa"/>
            <w:vMerge w:val="continue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center"/>
          </w:tcPr>
          <w:p w14:paraId="420C8746">
            <w:pPr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14:paraId="3C29AC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114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3C3C6DEB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Tumor size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7551977A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562D0B9F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1923A69C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07BB6BF8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</w:tr>
      <w:tr w14:paraId="619E7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114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25CCDA63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Mean ± SD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3EE2E0E8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4.55 ± 1.41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20DAEF10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4.14 ± 1.61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0A11F6EF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4.34 ± 1.51</w:t>
            </w:r>
          </w:p>
        </w:tc>
        <w:tc>
          <w:tcPr>
            <w:tcW w:w="1078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6E3AD230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0.547</w:t>
            </w:r>
          </w:p>
        </w:tc>
      </w:tr>
      <w:tr w14:paraId="4A5689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114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167325EB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CEA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5A825361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54C5941E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3AD0219C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5DA627ED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</w:tr>
      <w:tr w14:paraId="1377A8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114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74D8D078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Mean ± SD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3CC27EFC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3.53 ± 2.15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0C8E58E6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3.16 ± 4.16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4BF530BE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3.34 ± 3.27</w:t>
            </w:r>
          </w:p>
        </w:tc>
        <w:tc>
          <w:tcPr>
            <w:tcW w:w="1078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185BC3EA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0.156</w:t>
            </w:r>
          </w:p>
        </w:tc>
      </w:tr>
      <w:tr w14:paraId="1F8D71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114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707A7FDC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CA199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268814C2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4D911770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523D1008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0B9CF5C6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</w:tr>
      <w:tr w14:paraId="1AE0D6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114" w:type="dxa"/>
            <w:tcBorders>
              <w:top w:val="nil"/>
              <w:bottom w:val="nil"/>
              <w:tl2br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10560953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Mean ± SD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4FB0670E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17.5 ± 30.1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3D6E5CE0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21.3 ± 38.5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4DEDE094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19.4 ± 34.1</w:t>
            </w:r>
          </w:p>
        </w:tc>
        <w:tc>
          <w:tcPr>
            <w:tcW w:w="1078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39CD7A7D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0.982</w:t>
            </w:r>
          </w:p>
        </w:tc>
      </w:tr>
      <w:tr w14:paraId="7EB0B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114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3E8D9105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Differentiation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58014CB9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44E9423A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439E8FED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35043D4E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</w:tr>
      <w:tr w14:paraId="24DD9E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114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5CF8E9F5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Poorly differentiated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54343B3D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(11.8%)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72D167D4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(11.8%)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66891398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(11.8%)</w:t>
            </w:r>
          </w:p>
        </w:tc>
        <w:tc>
          <w:tcPr>
            <w:tcW w:w="1078" w:type="dxa"/>
            <w:vMerge w:val="restart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center"/>
          </w:tcPr>
          <w:p w14:paraId="33C1977E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0.985</w:t>
            </w:r>
          </w:p>
        </w:tc>
      </w:tr>
      <w:tr w14:paraId="26EA1D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114" w:type="dxa"/>
            <w:tcBorders>
              <w:top w:val="nil"/>
              <w:bottom w:val="nil"/>
              <w:tl2br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6515A920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Moderately differentiated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0B0625AB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(82.4%)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05DFB9F6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(76.5%)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72EDC59E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 (79.4%)</w:t>
            </w:r>
          </w:p>
        </w:tc>
        <w:tc>
          <w:tcPr>
            <w:tcW w:w="1078" w:type="dxa"/>
            <w:vMerge w:val="continue"/>
            <w:tcBorders>
              <w:top w:val="nil"/>
              <w:bottom w:val="nil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center"/>
          </w:tcPr>
          <w:p w14:paraId="26C32188">
            <w:pPr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14:paraId="79E4D0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114" w:type="dxa"/>
            <w:tcBorders>
              <w:top w:val="nil"/>
              <w:bottom w:val="single" w:color="auto" w:sz="12" w:space="0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7E88C814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well-differentiated</w:t>
            </w:r>
          </w:p>
        </w:tc>
        <w:tc>
          <w:tcPr>
            <w:tcW w:w="1353" w:type="dxa"/>
            <w:tcBorders>
              <w:top w:val="nil"/>
              <w:bottom w:val="single" w:color="auto" w:sz="12" w:space="0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60709FD3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(5.9%)</w:t>
            </w:r>
          </w:p>
        </w:tc>
        <w:tc>
          <w:tcPr>
            <w:tcW w:w="1316" w:type="dxa"/>
            <w:tcBorders>
              <w:top w:val="nil"/>
              <w:bottom w:val="single" w:color="auto" w:sz="12" w:space="0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5BB04588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(11.8%)</w:t>
            </w:r>
          </w:p>
        </w:tc>
        <w:tc>
          <w:tcPr>
            <w:tcW w:w="1290" w:type="dxa"/>
            <w:tcBorders>
              <w:top w:val="nil"/>
              <w:bottom w:val="single" w:color="auto" w:sz="12" w:space="0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bottom"/>
          </w:tcPr>
          <w:p w14:paraId="1468511E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(8.8%)</w:t>
            </w:r>
          </w:p>
        </w:tc>
        <w:tc>
          <w:tcPr>
            <w:tcW w:w="1078" w:type="dxa"/>
            <w:vMerge w:val="continue"/>
            <w:tcBorders>
              <w:top w:val="nil"/>
              <w:bottom w:val="single" w:color="auto" w:sz="12" w:space="0"/>
            </w:tcBorders>
            <w:shd w:val="clear" w:color="auto" w:fill="FFFFFF"/>
            <w:tcMar>
              <w:top w:w="6" w:type="dxa"/>
              <w:left w:w="6" w:type="dxa"/>
              <w:right w:w="6" w:type="dxa"/>
            </w:tcMar>
            <w:vAlign w:val="center"/>
          </w:tcPr>
          <w:p w14:paraId="00FCB628">
            <w:pPr>
              <w:rPr>
                <w:rFonts w:ascii="宋体"/>
                <w:color w:val="000000"/>
                <w:sz w:val="24"/>
                <w:szCs w:val="24"/>
              </w:rPr>
            </w:pPr>
          </w:p>
        </w:tc>
      </w:tr>
    </w:tbl>
    <w:p w14:paraId="5A154E03">
      <w:pPr>
        <w:spacing w:line="22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7E5EA1B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2. Associations between the expression levels of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CAD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and the clinicopathological characteristics of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90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colorectal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patients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from tissue microarray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8"/>
        <w:tblW w:w="850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62"/>
        <w:gridCol w:w="1335"/>
        <w:gridCol w:w="1335"/>
        <w:gridCol w:w="1335"/>
        <w:gridCol w:w="1338"/>
      </w:tblGrid>
      <w:tr w14:paraId="1110D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16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0F6F5835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3D9791A4">
            <w:pPr>
              <w:pStyle w:val="7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CAD High</w:t>
            </w:r>
          </w:p>
        </w:tc>
        <w:tc>
          <w:tcPr>
            <w:tcW w:w="133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7ABB16BE">
            <w:pPr>
              <w:pStyle w:val="7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CAD Low</w:t>
            </w:r>
          </w:p>
        </w:tc>
        <w:tc>
          <w:tcPr>
            <w:tcW w:w="133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766472E0">
            <w:pPr>
              <w:pStyle w:val="7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133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06980552">
            <w:pPr>
              <w:pStyle w:val="7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P-value</w:t>
            </w:r>
          </w:p>
        </w:tc>
      </w:tr>
      <w:tr w14:paraId="62150C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16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4F15FDBC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19B3E9BE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(N=45)</w:t>
            </w:r>
          </w:p>
        </w:tc>
        <w:tc>
          <w:tcPr>
            <w:tcW w:w="133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261AECB3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(N=45)</w:t>
            </w:r>
          </w:p>
        </w:tc>
        <w:tc>
          <w:tcPr>
            <w:tcW w:w="133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71F75E39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(N=90)</w:t>
            </w:r>
          </w:p>
        </w:tc>
        <w:tc>
          <w:tcPr>
            <w:tcW w:w="133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39E6B0AF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</w:tr>
      <w:tr w14:paraId="2EC590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5C953B24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640AC78A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0C95F5D1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70040FFD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66E65E89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</w:tr>
      <w:tr w14:paraId="20B169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6C54AD4E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07897CCE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 (48.9%)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40859ADE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 (55.6%)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6092FAAF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 (52.2%)</w:t>
            </w:r>
          </w:p>
        </w:tc>
        <w:tc>
          <w:tcPr>
            <w:tcW w:w="13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01A7E2B8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0.818</w:t>
            </w:r>
          </w:p>
        </w:tc>
      </w:tr>
      <w:tr w14:paraId="251B3E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51360B09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Femal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21524AE0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 (51.1%)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6D0F3310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(44.4%)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7B26D5C9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 (47.8%)</w:t>
            </w:r>
          </w:p>
        </w:tc>
        <w:tc>
          <w:tcPr>
            <w:tcW w:w="133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1BE46C4B">
            <w:pPr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14:paraId="618E3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21472796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Age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41C658AB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71447448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6A2DD807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7BC577B4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</w:tr>
      <w:tr w14:paraId="66F390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288FD0DD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Mean ± SD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304C880D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68.7 ± 12.3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030C256E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68.7 ± 9.48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0404A41D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68.7 ± 10.9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41189406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</w:tr>
      <w:tr w14:paraId="2E6ECD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28F95403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Lymph node metastasis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0018AE77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4DE9C79F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1C9C080A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28ED309D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</w:tr>
      <w:tr w14:paraId="14A5F7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6BD7387A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3A9E8D57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(35.6%)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6FA12788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 (40%)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14767FF3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(1.1%)</w:t>
            </w:r>
          </w:p>
        </w:tc>
        <w:tc>
          <w:tcPr>
            <w:tcW w:w="13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2117445A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0.759</w:t>
            </w:r>
          </w:p>
        </w:tc>
      </w:tr>
      <w:tr w14:paraId="1A4478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3E17BC29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2F9A511B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 (64.4%)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4E2634FA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 (60.0%)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2ACB2F31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 (62.2%)</w:t>
            </w:r>
          </w:p>
        </w:tc>
        <w:tc>
          <w:tcPr>
            <w:tcW w:w="133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4FDE3282">
            <w:pPr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14:paraId="1F88F3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4FD16C19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Distant metastasis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302CE1BC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44DCBD4B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6356B179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0FE356E3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</w:tr>
      <w:tr w14:paraId="7C8F1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63F1147D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32ABEDB5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(3.3%)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08CAFA9F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 (0%)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6DFD4C46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(3.3%)</w:t>
            </w:r>
          </w:p>
        </w:tc>
        <w:tc>
          <w:tcPr>
            <w:tcW w:w="13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29640135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0.998</w:t>
            </w:r>
          </w:p>
        </w:tc>
      </w:tr>
      <w:tr w14:paraId="4B30B0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188F4E96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4CC6938D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 (93.3%)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791777DD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 (100%)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145E4BDA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 (96.7%)</w:t>
            </w:r>
          </w:p>
        </w:tc>
        <w:tc>
          <w:tcPr>
            <w:tcW w:w="133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0090B9B3">
            <w:pPr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14:paraId="077C89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25FB0808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Adenocarcinoma Pathological grade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2A6FE743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2207AC57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1B6B4586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7D56D6D4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</w:tr>
      <w:tr w14:paraId="1C93A7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4FA8C2BE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Ⅰ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1843E2F8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4（8.9%）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7F6705CD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1（2.2%）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2E569524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5（5.6%）</w:t>
            </w:r>
          </w:p>
        </w:tc>
        <w:tc>
          <w:tcPr>
            <w:tcW w:w="13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4AA44FBB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0.905</w:t>
            </w:r>
          </w:p>
        </w:tc>
      </w:tr>
      <w:tr w14:paraId="7804E5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67A00300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Ⅱ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00A00766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26（57.7%）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164872DA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25（55.5%）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746AE1C5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51（56.6%）</w:t>
            </w:r>
          </w:p>
        </w:tc>
        <w:tc>
          <w:tcPr>
            <w:tcW w:w="133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43644055">
            <w:pPr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14:paraId="35B26F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6EE748E8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39E4E1B2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15（33.4%）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1CB3356B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19（32.3%）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221515DA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34（37.8%）</w:t>
            </w:r>
          </w:p>
        </w:tc>
        <w:tc>
          <w:tcPr>
            <w:tcW w:w="133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1DF406B7">
            <w:pPr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14:paraId="0C9BB9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195928A5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Tumor size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0C790D06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1AF552CF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50768872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6E5D4E8F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</w:tr>
      <w:tr w14:paraId="4CB78F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4D2010BE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≥5cm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622F2017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 (53.3%)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44EEEEBE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 (62.2%)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1D49C771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 (57.8%)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3274FA6A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0.695</w:t>
            </w:r>
          </w:p>
        </w:tc>
      </w:tr>
      <w:tr w14:paraId="5225CB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3907DC11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&lt;5cm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7D923A1C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 (46.7%)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6DCC3E61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 (37.8%)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4F81F2F8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 (42.2%)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4752E4F1">
            <w:pPr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14:paraId="5A5164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0EEA2DA6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Tumor type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48E600F0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3ABEC38A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4360627E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63AF620C">
            <w:pPr>
              <w:pStyle w:val="7"/>
              <w:jc w:val="center"/>
              <w:rPr>
                <w:rFonts w:hint="eastAsia"/>
                <w:color w:val="000000"/>
              </w:rPr>
            </w:pPr>
          </w:p>
        </w:tc>
      </w:tr>
      <w:tr w14:paraId="490067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7F7F57FD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Protuberant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535F9153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(31.1%)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14570648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(22.2%)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6998A590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 (26.7%)</w:t>
            </w:r>
          </w:p>
        </w:tc>
        <w:tc>
          <w:tcPr>
            <w:tcW w:w="13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20146200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0.914</w:t>
            </w:r>
          </w:p>
        </w:tc>
      </w:tr>
      <w:tr w14:paraId="3BCCAF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2F9FC557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Ulcerative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1F627712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 (33.3%)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1F7EA690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(40.0%)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58C89E8E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 (36.7%)</w:t>
            </w:r>
          </w:p>
        </w:tc>
        <w:tc>
          <w:tcPr>
            <w:tcW w:w="133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237788ED">
            <w:pPr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14:paraId="2E426E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316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367CA045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Infiltrative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661D4CC8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(35.6%)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0D178D12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 (37.8%)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5B8B9B0B">
            <w:pPr>
              <w:pStyle w:val="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 (36.7%)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15C7D4FB">
            <w:pPr>
              <w:rPr>
                <w:rFonts w:ascii="宋体"/>
                <w:color w:val="000000"/>
                <w:sz w:val="24"/>
                <w:szCs w:val="24"/>
              </w:rPr>
            </w:pPr>
          </w:p>
        </w:tc>
      </w:tr>
    </w:tbl>
    <w:p w14:paraId="45A1DBE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F2667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OLE_LINK25"/>
      <w:r>
        <w:rPr>
          <w:rFonts w:ascii="Times New Roman" w:hAnsi="Times New Roman" w:cs="Times New Roman"/>
          <w:b/>
          <w:bCs/>
          <w:sz w:val="24"/>
          <w:szCs w:val="24"/>
        </w:rPr>
        <w:t>Supplementary Table 3</w:t>
      </w:r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 xml:space="preserve">. Primers sequences </w:t>
      </w:r>
    </w:p>
    <w:tbl>
      <w:tblPr>
        <w:tblStyle w:val="8"/>
        <w:tblW w:w="8306" w:type="dxa"/>
        <w:tblInd w:w="-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4"/>
        <w:gridCol w:w="3434"/>
        <w:gridCol w:w="3278"/>
      </w:tblGrid>
      <w:tr w14:paraId="7673F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41F141AB">
            <w:pPr>
              <w:spacing w:line="400" w:lineRule="exact"/>
              <w:jc w:val="center"/>
              <w:rPr>
                <w:rFonts w:ascii="Times New Roman" w:hAnsi="Times New Roman" w:eastAsia="等线"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Primer Name</w:t>
            </w:r>
          </w:p>
        </w:tc>
        <w:tc>
          <w:tcPr>
            <w:tcW w:w="343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F710786">
            <w:pPr>
              <w:spacing w:line="400" w:lineRule="exact"/>
              <w:jc w:val="center"/>
              <w:rPr>
                <w:rFonts w:ascii="Times New Roman" w:hAnsi="Times New Roman" w:eastAsia="等线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5’-3’Forward</w:t>
            </w:r>
          </w:p>
        </w:tc>
        <w:tc>
          <w:tcPr>
            <w:tcW w:w="327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E3A87AF">
            <w:pPr>
              <w:spacing w:line="400" w:lineRule="exact"/>
              <w:jc w:val="center"/>
              <w:rPr>
                <w:rFonts w:ascii="Times New Roman" w:hAnsi="Times New Roman" w:eastAsia="等线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5’-3’Reverse</w:t>
            </w:r>
          </w:p>
        </w:tc>
      </w:tr>
      <w:tr w14:paraId="282E5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4" w:type="dxa"/>
            <w:tcBorders>
              <w:top w:val="single" w:color="000000" w:sz="4" w:space="0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AAC54A2">
            <w:pPr>
              <w:jc w:val="center"/>
              <w:textAlignment w:val="bottom"/>
              <w:rPr>
                <w:rFonts w:ascii="Times New Roman" w:hAnsi="Times New Roman" w:eastAsia="等线"/>
                <w:color w:val="000000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2"/>
              </w:rPr>
              <w:t>CAD</w:t>
            </w:r>
          </w:p>
        </w:tc>
        <w:tc>
          <w:tcPr>
            <w:tcW w:w="3434" w:type="dxa"/>
            <w:tcBorders>
              <w:top w:val="single" w:color="000000" w:sz="4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037B9AC">
            <w:pPr>
              <w:jc w:val="center"/>
              <w:textAlignment w:val="bottom"/>
              <w:rPr>
                <w:rFonts w:ascii="Times New Roman" w:hAnsi="Times New Roman" w:eastAsia="等线"/>
                <w:color w:val="000000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2"/>
              </w:rPr>
              <w:t>AGGTTTGCCAGCTGAGGAG</w:t>
            </w:r>
          </w:p>
        </w:tc>
        <w:tc>
          <w:tcPr>
            <w:tcW w:w="3278" w:type="dxa"/>
            <w:tcBorders>
              <w:top w:val="single" w:color="000000" w:sz="4" w:space="0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4DAC7C4">
            <w:pPr>
              <w:jc w:val="center"/>
              <w:textAlignment w:val="bottom"/>
              <w:rPr>
                <w:rFonts w:ascii="Times New Roman" w:hAnsi="Times New Roman" w:eastAsia="等线"/>
                <w:color w:val="000000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2"/>
              </w:rPr>
              <w:t>TAATGAGTGCAGCAGGGGTG</w:t>
            </w:r>
          </w:p>
        </w:tc>
      </w:tr>
    </w:tbl>
    <w:p w14:paraId="154873D6">
      <w:pPr>
        <w:jc w:val="both"/>
        <w:rPr>
          <w:rFonts w:ascii="Times New Roman" w:hAnsi="Times New Roman" w:eastAsia="等线" w:cs="Times New Roman"/>
          <w:b/>
          <w:sz w:val="32"/>
          <w:szCs w:val="32"/>
        </w:rPr>
      </w:pPr>
    </w:p>
    <w:bookmarkEnd w:id="0"/>
    <w:p w14:paraId="17908986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sz w:val="24"/>
          <w:szCs w:val="24"/>
        </w:rPr>
        <w:t xml:space="preserve">ure </w:t>
      </w:r>
      <w:r>
        <w:rPr>
          <w:rFonts w:ascii="Times New Roman" w:hAnsi="Times New Roman" w:cs="Times New Roman"/>
          <w:b/>
          <w:sz w:val="24"/>
          <w:szCs w:val="24"/>
        </w:rPr>
        <w:t>S1</w:t>
      </w:r>
    </w:p>
    <w:p w14:paraId="1EF896AC">
      <w:pPr>
        <w:numPr>
          <w:ilvl w:val="0"/>
          <w:numId w:val="1"/>
        </w:numPr>
        <w:jc w:val="both"/>
        <w:rPr>
          <w:rFonts w:ascii="Times New Roman" w:hAnsi="Times New Roman" w:eastAsia="楷体"/>
        </w:rPr>
      </w:pPr>
      <w:r>
        <w:rPr>
          <w:rFonts w:ascii="Times New Roman" w:hAnsi="Times New Roman" w:eastAsia="楷体"/>
          <w:b/>
        </w:rPr>
        <w:t>.</w:t>
      </w:r>
      <w:r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楷体"/>
        </w:rPr>
        <w:t xml:space="preserve">The CAD was overexpressed in DLD-1 and HT29 cells via lentivirus transduction and protein levels were analyzed via immunoblotting. </w:t>
      </w:r>
    </w:p>
    <w:p w14:paraId="41B918C7">
      <w:pPr>
        <w:numPr>
          <w:ilvl w:val="0"/>
          <w:numId w:val="1"/>
        </w:numPr>
        <w:jc w:val="both"/>
        <w:rPr>
          <w:rFonts w:ascii="Times New Roman" w:hAnsi="Times New Roman" w:eastAsia="楷体"/>
        </w:rPr>
      </w:pPr>
      <w:r>
        <w:rPr>
          <w:rFonts w:hint="eastAsia" w:ascii="Times New Roman" w:hAnsi="Times New Roman" w:eastAsia="楷体"/>
          <w:b/>
          <w:bCs/>
        </w:rPr>
        <w:t>.</w:t>
      </w:r>
      <w:r>
        <w:rPr>
          <w:rFonts w:hint="eastAsia" w:ascii="Times New Roman" w:hAnsi="Times New Roman" w:eastAsia="楷体"/>
        </w:rPr>
        <w:t xml:space="preserve"> </w:t>
      </w:r>
      <w:r>
        <w:rPr>
          <w:rFonts w:ascii="Times New Roman" w:hAnsi="Times New Roman" w:eastAsia="楷体"/>
        </w:rPr>
        <w:t xml:space="preserve">Four shRNAs targeting </w:t>
      </w:r>
      <w:r>
        <w:rPr>
          <w:rFonts w:hint="eastAsia" w:ascii="Times New Roman" w:hAnsi="Times New Roman" w:eastAsia="楷体"/>
        </w:rPr>
        <w:t>CAD</w:t>
      </w:r>
      <w:r>
        <w:rPr>
          <w:rFonts w:ascii="Times New Roman" w:hAnsi="Times New Roman" w:eastAsia="楷体"/>
        </w:rPr>
        <w:t xml:space="preserve"> and shNC were packaged into </w:t>
      </w:r>
      <w:r>
        <w:rPr>
          <w:rFonts w:hint="eastAsia" w:ascii="Times New Roman" w:hAnsi="Times New Roman" w:eastAsia="楷体"/>
        </w:rPr>
        <w:t>the</w:t>
      </w:r>
      <w:r>
        <w:rPr>
          <w:rFonts w:ascii="Times New Roman" w:hAnsi="Times New Roman" w:eastAsia="楷体"/>
        </w:rPr>
        <w:t xml:space="preserve"> lentivirus and transduced into </w:t>
      </w:r>
      <w:r>
        <w:rPr>
          <w:rFonts w:hint="eastAsia" w:ascii="Times New Roman" w:hAnsi="Times New Roman" w:eastAsia="楷体"/>
        </w:rPr>
        <w:t>HCT116 and HCT8</w:t>
      </w:r>
      <w:r>
        <w:rPr>
          <w:rFonts w:ascii="Times New Roman" w:hAnsi="Times New Roman" w:eastAsia="楷体"/>
        </w:rPr>
        <w:t xml:space="preserve"> cells, respectively</w:t>
      </w:r>
      <w:r>
        <w:rPr>
          <w:rFonts w:hint="eastAsia" w:ascii="Times New Roman" w:hAnsi="Times New Roman" w:eastAsia="楷体"/>
        </w:rPr>
        <w:t>.</w:t>
      </w:r>
      <w:r>
        <w:rPr>
          <w:rFonts w:ascii="Times New Roman" w:hAnsi="Times New Roman" w:eastAsia="楷体"/>
        </w:rPr>
        <w:t xml:space="preserve"> The </w:t>
      </w:r>
      <w:r>
        <w:rPr>
          <w:rFonts w:hint="eastAsia" w:ascii="Times New Roman" w:hAnsi="Times New Roman" w:eastAsia="楷体"/>
        </w:rPr>
        <w:t>CAD</w:t>
      </w:r>
      <w:r>
        <w:rPr>
          <w:rFonts w:ascii="Times New Roman" w:hAnsi="Times New Roman" w:eastAsia="楷体"/>
        </w:rPr>
        <w:t xml:space="preserve"> protein levels was detected by immunoblotting.</w:t>
      </w:r>
    </w:p>
    <w:p w14:paraId="74F87164">
      <w:pPr>
        <w:jc w:val="both"/>
        <w:rPr>
          <w:rFonts w:ascii="Times New Roman" w:hAnsi="Times New Roman" w:eastAsia="楷体"/>
        </w:rPr>
      </w:pPr>
      <w:r>
        <w:rPr>
          <w:rFonts w:ascii="Times New Roman" w:hAnsi="Times New Roman" w:eastAsia="楷体"/>
          <w:b/>
          <w:bCs/>
        </w:rPr>
        <w:t>(</w:t>
      </w:r>
      <w:r>
        <w:rPr>
          <w:rFonts w:hint="eastAsia" w:ascii="Times New Roman" w:hAnsi="Times New Roman" w:eastAsia="楷体"/>
          <w:b/>
          <w:bCs/>
        </w:rPr>
        <w:t>C</w:t>
      </w:r>
      <w:r>
        <w:rPr>
          <w:rFonts w:ascii="Times New Roman" w:hAnsi="Times New Roman" w:eastAsia="楷体"/>
          <w:b/>
          <w:bCs/>
        </w:rPr>
        <w:t>)</w:t>
      </w:r>
      <w:r>
        <w:rPr>
          <w:rFonts w:ascii="Times New Roman" w:hAnsi="Times New Roman" w:eastAsia="楷体"/>
          <w:b/>
        </w:rPr>
        <w:t>.</w:t>
      </w:r>
      <w:r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楷体"/>
        </w:rPr>
        <w:t xml:space="preserve">The relative clonning numbers of colony formation assay with silencing CAD </w:t>
      </w:r>
      <w:r>
        <w:rPr>
          <w:rFonts w:ascii="Times New Roman" w:hAnsi="Times New Roman" w:eastAsia="楷体"/>
        </w:rPr>
        <w:t xml:space="preserve">was shown as mean </w:t>
      </w:r>
      <w:r>
        <w:rPr>
          <w:rFonts w:ascii="Times New Roman" w:hAnsi="Times New Roman" w:eastAsia="楷体" w:cs="Times New Roman"/>
        </w:rPr>
        <w:t xml:space="preserve">± </w:t>
      </w:r>
      <w:r>
        <w:rPr>
          <w:rFonts w:ascii="Times New Roman" w:hAnsi="Times New Roman" w:eastAsia="楷体"/>
        </w:rPr>
        <w:t>SD (n=3 independent experiments)</w:t>
      </w:r>
      <w:r>
        <w:rPr>
          <w:rFonts w:hint="eastAsia" w:ascii="Times New Roman" w:hAnsi="Times New Roman" w:eastAsia="楷体"/>
        </w:rPr>
        <w:t>.</w:t>
      </w:r>
    </w:p>
    <w:p w14:paraId="7A230721">
      <w:pPr>
        <w:jc w:val="both"/>
        <w:rPr>
          <w:rFonts w:ascii="Times New Roman" w:hAnsi="Times New Roman" w:eastAsia="楷体"/>
        </w:rPr>
      </w:pPr>
      <w:r>
        <w:rPr>
          <w:rFonts w:ascii="Times New Roman" w:hAnsi="Times New Roman" w:eastAsia="楷体"/>
          <w:b/>
          <w:bCs/>
        </w:rPr>
        <w:t>(</w:t>
      </w:r>
      <w:r>
        <w:rPr>
          <w:rFonts w:hint="eastAsia" w:ascii="Times New Roman" w:hAnsi="Times New Roman" w:eastAsia="楷体"/>
          <w:b/>
          <w:bCs/>
        </w:rPr>
        <w:t>D</w:t>
      </w:r>
      <w:r>
        <w:rPr>
          <w:rFonts w:ascii="Times New Roman" w:hAnsi="Times New Roman" w:eastAsia="楷体"/>
          <w:b/>
          <w:bCs/>
        </w:rPr>
        <w:t>)</w:t>
      </w:r>
      <w:r>
        <w:rPr>
          <w:rFonts w:ascii="Times New Roman" w:hAnsi="Times New Roman" w:eastAsia="楷体"/>
          <w:b/>
        </w:rPr>
        <w:t>.</w:t>
      </w:r>
      <w:r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楷体"/>
        </w:rPr>
        <w:t>The relative positive rate of EDU assays</w:t>
      </w:r>
      <w:r>
        <w:rPr>
          <w:rFonts w:ascii="Times New Roman" w:hAnsi="Times New Roman" w:eastAsia="楷体"/>
        </w:rPr>
        <w:t xml:space="preserve"> </w:t>
      </w:r>
      <w:r>
        <w:rPr>
          <w:rFonts w:hint="eastAsia" w:ascii="Times New Roman" w:hAnsi="Times New Roman" w:eastAsia="楷体"/>
        </w:rPr>
        <w:t xml:space="preserve">with silencing CAD </w:t>
      </w:r>
      <w:r>
        <w:rPr>
          <w:rFonts w:ascii="Times New Roman" w:hAnsi="Times New Roman" w:eastAsia="楷体"/>
        </w:rPr>
        <w:t xml:space="preserve">was shown as mean </w:t>
      </w:r>
      <w:r>
        <w:rPr>
          <w:rFonts w:ascii="Times New Roman" w:hAnsi="Times New Roman" w:eastAsia="楷体" w:cs="Times New Roman"/>
        </w:rPr>
        <w:t xml:space="preserve">± </w:t>
      </w:r>
      <w:r>
        <w:rPr>
          <w:rFonts w:ascii="Times New Roman" w:hAnsi="Times New Roman" w:eastAsia="楷体"/>
        </w:rPr>
        <w:t>SD (n=3 independent experiments)</w:t>
      </w:r>
      <w:r>
        <w:rPr>
          <w:rFonts w:hint="eastAsia" w:ascii="Times New Roman" w:hAnsi="Times New Roman" w:eastAsia="楷体"/>
        </w:rPr>
        <w:t>.</w:t>
      </w:r>
    </w:p>
    <w:p w14:paraId="2CD57C4B">
      <w:pPr>
        <w:jc w:val="both"/>
        <w:rPr>
          <w:rFonts w:ascii="Times New Roman" w:hAnsi="Times New Roman" w:eastAsia="楷体"/>
        </w:rPr>
      </w:pPr>
      <w:r>
        <w:rPr>
          <w:rFonts w:ascii="Times New Roman" w:hAnsi="Times New Roman" w:eastAsia="楷体"/>
          <w:b/>
          <w:bCs/>
        </w:rPr>
        <w:t>(</w:t>
      </w:r>
      <w:r>
        <w:rPr>
          <w:rFonts w:hint="eastAsia" w:ascii="Times New Roman" w:hAnsi="Times New Roman" w:eastAsia="楷体"/>
          <w:b/>
          <w:bCs/>
        </w:rPr>
        <w:t>E-F</w:t>
      </w:r>
      <w:r>
        <w:rPr>
          <w:rFonts w:ascii="Times New Roman" w:hAnsi="Times New Roman" w:eastAsia="楷体"/>
          <w:b/>
          <w:bCs/>
        </w:rPr>
        <w:t>)</w:t>
      </w:r>
      <w:r>
        <w:rPr>
          <w:rFonts w:ascii="Times New Roman" w:hAnsi="Times New Roman" w:eastAsia="楷体"/>
          <w:b/>
        </w:rPr>
        <w:t>.</w:t>
      </w:r>
      <w:r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楷体"/>
        </w:rPr>
        <w:t xml:space="preserve">The relative cell numbers of migration (E) and invasion (F) with silencing CAD </w:t>
      </w:r>
      <w:r>
        <w:rPr>
          <w:rFonts w:ascii="Times New Roman" w:hAnsi="Times New Roman" w:eastAsia="楷体"/>
        </w:rPr>
        <w:t xml:space="preserve">was shown as mean </w:t>
      </w:r>
      <w:r>
        <w:rPr>
          <w:rFonts w:ascii="Times New Roman" w:hAnsi="Times New Roman" w:eastAsia="楷体" w:cs="Times New Roman"/>
        </w:rPr>
        <w:t xml:space="preserve">± </w:t>
      </w:r>
      <w:r>
        <w:rPr>
          <w:rFonts w:ascii="Times New Roman" w:hAnsi="Times New Roman" w:eastAsia="楷体"/>
        </w:rPr>
        <w:t>SD (n=3 independent experiments)</w:t>
      </w:r>
      <w:r>
        <w:rPr>
          <w:rFonts w:hint="eastAsia" w:ascii="Times New Roman" w:hAnsi="Times New Roman" w:eastAsia="楷体"/>
        </w:rPr>
        <w:t>.</w:t>
      </w:r>
    </w:p>
    <w:p w14:paraId="150E141A">
      <w:pPr>
        <w:jc w:val="both"/>
        <w:rPr>
          <w:rFonts w:hint="eastAsia" w:ascii="Times New Roman" w:hAnsi="Times New Roman" w:eastAsia="楷体"/>
        </w:rPr>
      </w:pPr>
      <w:r>
        <w:rPr>
          <w:rFonts w:ascii="Times New Roman" w:hAnsi="Times New Roman" w:eastAsia="楷体"/>
          <w:b/>
          <w:bCs/>
        </w:rPr>
        <w:t>(</w:t>
      </w:r>
      <w:r>
        <w:rPr>
          <w:rFonts w:hint="eastAsia" w:ascii="Times New Roman" w:hAnsi="Times New Roman" w:eastAsia="楷体"/>
          <w:b/>
          <w:bCs/>
        </w:rPr>
        <w:t>G</w:t>
      </w:r>
      <w:r>
        <w:rPr>
          <w:rFonts w:ascii="Times New Roman" w:hAnsi="Times New Roman" w:eastAsia="楷体"/>
          <w:b/>
          <w:bCs/>
        </w:rPr>
        <w:t>)</w:t>
      </w:r>
      <w:r>
        <w:rPr>
          <w:rFonts w:ascii="Times New Roman" w:hAnsi="Times New Roman" w:eastAsia="楷体"/>
          <w:b/>
        </w:rPr>
        <w:t>.</w:t>
      </w:r>
      <w:r>
        <w:rPr>
          <w:rFonts w:hint="eastAsia" w:ascii="Times New Roman" w:hAnsi="Times New Roman" w:eastAsia="楷体"/>
          <w:b/>
        </w:rPr>
        <w:t xml:space="preserve"> </w:t>
      </w:r>
      <w:r>
        <w:rPr>
          <w:rFonts w:hint="eastAsia" w:ascii="Times New Roman" w:hAnsi="Times New Roman" w:eastAsia="楷体"/>
        </w:rPr>
        <w:t xml:space="preserve">The apoptosis rate with silencing CAD </w:t>
      </w:r>
      <w:r>
        <w:rPr>
          <w:rFonts w:ascii="Times New Roman" w:hAnsi="Times New Roman" w:eastAsia="楷体"/>
        </w:rPr>
        <w:t xml:space="preserve">was shown as mean </w:t>
      </w:r>
      <w:r>
        <w:rPr>
          <w:rFonts w:ascii="Times New Roman" w:hAnsi="Times New Roman" w:eastAsia="楷体" w:cs="Times New Roman"/>
        </w:rPr>
        <w:t xml:space="preserve">± </w:t>
      </w:r>
      <w:r>
        <w:rPr>
          <w:rFonts w:ascii="Times New Roman" w:hAnsi="Times New Roman" w:eastAsia="楷体"/>
        </w:rPr>
        <w:t>SD (n=3 independent experiments)</w:t>
      </w:r>
      <w:r>
        <w:rPr>
          <w:rFonts w:hint="eastAsia" w:ascii="Times New Roman" w:hAnsi="Times New Roman" w:eastAsia="楷体"/>
        </w:rPr>
        <w:t>.</w:t>
      </w:r>
    </w:p>
    <w:p w14:paraId="20CBDFC8">
      <w:pPr>
        <w:numPr>
          <w:ilvl w:val="0"/>
          <w:numId w:val="0"/>
        </w:numPr>
        <w:jc w:val="both"/>
        <w:rPr>
          <w:rFonts w:hint="eastAsia" w:ascii="Times New Roman" w:hAnsi="Times New Roman" w:eastAsia="楷体"/>
        </w:rPr>
      </w:pPr>
      <w:r>
        <w:rPr>
          <w:rFonts w:hint="eastAsia" w:ascii="Times New Roman" w:hAnsi="Times New Roman" w:eastAsia="楷体"/>
        </w:rPr>
        <w:t>Data are presented as mean ± SD n.s. for nonsignificances, *P &lt; 0.05, **P &lt; 0.01, ***P &lt; 0.001.</w:t>
      </w:r>
    </w:p>
    <w:p w14:paraId="4692D84C">
      <w:pPr>
        <w:jc w:val="both"/>
        <w:rPr>
          <w:rFonts w:hint="eastAsia" w:ascii="Times New Roman" w:hAnsi="Times New Roman" w:eastAsia="楷体"/>
        </w:rPr>
      </w:pPr>
    </w:p>
    <w:p w14:paraId="5825EE87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sz w:val="24"/>
          <w:szCs w:val="24"/>
        </w:rPr>
        <w:t xml:space="preserve">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hint="eastAsia" w:ascii="Times New Roman" w:hAnsi="Times New Roman" w:cs="Times New Roman"/>
          <w:b/>
          <w:sz w:val="24"/>
          <w:szCs w:val="24"/>
        </w:rPr>
        <w:t>2</w:t>
      </w:r>
    </w:p>
    <w:p w14:paraId="423C9D04">
      <w:pPr>
        <w:spacing w:line="220" w:lineRule="atLeast"/>
        <w:rPr>
          <w:rFonts w:ascii="Times New Roman" w:hAnsi="Times New Roman" w:eastAsia="楷体" w:cs="Times New Roman"/>
        </w:rPr>
      </w:pPr>
      <w:r>
        <w:rPr>
          <w:rFonts w:ascii="Times New Roman" w:hAnsi="Times New Roman" w:eastAsia="楷体" w:cs="Times New Roman"/>
          <w:b/>
          <w:bCs/>
        </w:rPr>
        <w:t>(A)</w:t>
      </w:r>
      <w:r>
        <w:rPr>
          <w:rFonts w:ascii="Times New Roman" w:hAnsi="Times New Roman" w:eastAsia="楷体"/>
          <w:b/>
          <w:bCs/>
        </w:rPr>
        <w:t xml:space="preserve">. </w:t>
      </w:r>
      <w:r>
        <w:rPr>
          <w:rFonts w:ascii="Times New Roman" w:hAnsi="Times New Roman" w:eastAsia="楷体" w:cs="Times New Roman"/>
        </w:rPr>
        <w:t xml:space="preserve">The </w:t>
      </w:r>
      <w:r>
        <w:rPr>
          <w:rFonts w:hint="eastAsia" w:ascii="Times New Roman" w:hAnsi="Times New Roman" w:eastAsia="楷体" w:cs="Times New Roman"/>
        </w:rPr>
        <w:t>IHC</w:t>
      </w:r>
      <w:r>
        <w:rPr>
          <w:rFonts w:ascii="Times New Roman" w:hAnsi="Times New Roman" w:eastAsia="楷体" w:cs="Times New Roman"/>
        </w:rPr>
        <w:t xml:space="preserve"> staining of the </w:t>
      </w:r>
      <w:r>
        <w:rPr>
          <w:rFonts w:hint="eastAsia" w:ascii="Times New Roman" w:hAnsi="Times New Roman" w:eastAsia="楷体" w:cs="Times New Roman"/>
        </w:rPr>
        <w:t>tumors</w:t>
      </w:r>
      <w:r>
        <w:rPr>
          <w:rFonts w:ascii="Times New Roman" w:hAnsi="Times New Roman" w:eastAsia="楷体" w:cs="Times New Roman"/>
        </w:rPr>
        <w:t xml:space="preserve">. </w:t>
      </w:r>
    </w:p>
    <w:p w14:paraId="2A60727A">
      <w:pPr>
        <w:jc w:val="both"/>
        <w:rPr>
          <w:rFonts w:ascii="Times New Roman" w:hAnsi="Times New Roman" w:eastAsia="楷体"/>
        </w:rPr>
      </w:pPr>
    </w:p>
    <w:p w14:paraId="51148BDC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sz w:val="24"/>
          <w:szCs w:val="24"/>
        </w:rPr>
        <w:t xml:space="preserve">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hint="eastAsia" w:ascii="Times New Roman" w:hAnsi="Times New Roman" w:cs="Times New Roman"/>
          <w:b/>
          <w:sz w:val="24"/>
          <w:szCs w:val="24"/>
        </w:rPr>
        <w:t>3</w:t>
      </w:r>
    </w:p>
    <w:p w14:paraId="1C465316">
      <w:pPr>
        <w:spacing w:line="220" w:lineRule="atLeast"/>
        <w:rPr>
          <w:rFonts w:ascii="Times New Roman" w:hAnsi="Times New Roman" w:eastAsia="楷体"/>
        </w:rPr>
      </w:pPr>
      <w:r>
        <w:rPr>
          <w:rFonts w:ascii="Times New Roman" w:hAnsi="Times New Roman" w:eastAsia="楷体"/>
          <w:b/>
          <w:bCs/>
        </w:rPr>
        <w:t xml:space="preserve">(A). </w:t>
      </w:r>
      <w:r>
        <w:rPr>
          <w:rFonts w:ascii="Times New Roman" w:hAnsi="Times New Roman" w:eastAsia="楷体" w:cs="Times New Roman"/>
        </w:rPr>
        <w:t>TEM micrographs revealing morphological variations in samples with different Na2S concentrations</w:t>
      </w:r>
      <w:r>
        <w:rPr>
          <w:rFonts w:hint="eastAsia" w:ascii="Times New Roman" w:hAnsi="Times New Roman" w:eastAsia="楷体" w:cs="Times New Roman"/>
        </w:rPr>
        <w:t>.</w:t>
      </w:r>
    </w:p>
    <w:p w14:paraId="50EE3680">
      <w:pPr>
        <w:spacing w:line="220" w:lineRule="atLeast"/>
        <w:rPr>
          <w:rFonts w:ascii="Times New Roman" w:hAnsi="Times New Roman" w:eastAsia="楷体"/>
        </w:rPr>
      </w:pPr>
      <w:r>
        <w:rPr>
          <w:rFonts w:ascii="Times New Roman" w:hAnsi="Times New Roman" w:eastAsia="楷体"/>
          <w:b/>
          <w:bCs/>
        </w:rPr>
        <w:t xml:space="preserve">(B). </w:t>
      </w:r>
      <w:r>
        <w:rPr>
          <w:rFonts w:ascii="Times New Roman" w:hAnsi="Times New Roman" w:eastAsia="楷体" w:cs="Times New Roman"/>
        </w:rPr>
        <w:t xml:space="preserve">TEM micrographs </w:t>
      </w:r>
      <w:r>
        <w:rPr>
          <w:rFonts w:hint="eastAsia" w:ascii="Times New Roman" w:hAnsi="Times New Roman" w:eastAsia="楷体"/>
          <w:bCs/>
        </w:rPr>
        <w:t xml:space="preserve">elucidating the </w:t>
      </w:r>
      <w:r>
        <w:rPr>
          <w:rFonts w:ascii="Times New Roman" w:hAnsi="Times New Roman" w:eastAsia="楷体" w:cs="Times New Roman"/>
        </w:rPr>
        <w:t>morphological variations</w:t>
      </w:r>
      <w:r>
        <w:rPr>
          <w:rFonts w:hint="eastAsia" w:ascii="Times New Roman" w:hAnsi="Times New Roman" w:eastAsia="楷体"/>
          <w:bCs/>
        </w:rPr>
        <w:t xml:space="preserve"> in</w:t>
      </w:r>
      <w:r>
        <w:rPr>
          <w:rFonts w:hint="eastAsia" w:ascii="Times New Roman" w:hAnsi="Times New Roman" w:eastAsia="楷体" w:cs="Times New Roman"/>
        </w:rPr>
        <w:t xml:space="preserve"> NCSH-3.</w:t>
      </w:r>
    </w:p>
    <w:p w14:paraId="5DADBF97">
      <w:pPr>
        <w:spacing w:line="220" w:lineRule="atLeast"/>
        <w:rPr>
          <w:rFonts w:ascii="Times New Roman" w:hAnsi="Times New Roman" w:eastAsia="楷体"/>
        </w:rPr>
      </w:pPr>
      <w:r>
        <w:rPr>
          <w:rFonts w:ascii="Times New Roman" w:hAnsi="Times New Roman" w:eastAsia="楷体"/>
          <w:b/>
          <w:bCs/>
        </w:rPr>
        <w:t xml:space="preserve">(C). </w:t>
      </w:r>
      <w:r>
        <w:rPr>
          <w:rFonts w:ascii="Times New Roman" w:hAnsi="Times New Roman" w:eastAsia="楷体"/>
          <w:bCs/>
        </w:rPr>
        <w:t xml:space="preserve">The XRD pattern of </w:t>
      </w:r>
      <w:r>
        <w:rPr>
          <w:rFonts w:hint="eastAsia" w:ascii="Times New Roman" w:hAnsi="Times New Roman" w:eastAsia="楷体" w:cs="Times New Roman"/>
        </w:rPr>
        <w:t>NCSH-3</w:t>
      </w:r>
      <w:r>
        <w:rPr>
          <w:rFonts w:ascii="Times New Roman" w:hAnsi="Times New Roman" w:eastAsia="楷体"/>
          <w:bCs/>
        </w:rPr>
        <w:t xml:space="preserve">. </w:t>
      </w:r>
    </w:p>
    <w:p w14:paraId="6D9BDDB1">
      <w:pPr>
        <w:spacing w:line="220" w:lineRule="atLeast"/>
        <w:rPr>
          <w:rFonts w:ascii="Times New Roman" w:hAnsi="Times New Roman" w:eastAsia="楷体"/>
        </w:rPr>
      </w:pPr>
      <w:r>
        <w:rPr>
          <w:rFonts w:ascii="Times New Roman" w:hAnsi="Times New Roman" w:eastAsia="楷体"/>
          <w:b/>
          <w:bCs/>
        </w:rPr>
        <w:t xml:space="preserve">(D). </w:t>
      </w:r>
      <w:r>
        <w:rPr>
          <w:rFonts w:ascii="Times New Roman" w:hAnsi="Times New Roman" w:eastAsia="楷体"/>
          <w:bCs/>
        </w:rPr>
        <w:t>XPS spectra of NCSH-3.</w:t>
      </w:r>
    </w:p>
    <w:p w14:paraId="0F94C757">
      <w:pPr>
        <w:spacing w:line="220" w:lineRule="atLeast"/>
        <w:rPr>
          <w:rFonts w:ascii="Times New Roman" w:hAnsi="Times New Roman" w:eastAsia="楷体"/>
        </w:rPr>
      </w:pPr>
      <w:r>
        <w:rPr>
          <w:rFonts w:ascii="Times New Roman" w:hAnsi="Times New Roman" w:eastAsia="楷体"/>
          <w:b/>
          <w:bCs/>
        </w:rPr>
        <w:t xml:space="preserve">(E). </w:t>
      </w:r>
      <w:r>
        <w:rPr>
          <w:rFonts w:ascii="Times New Roman" w:hAnsi="Times New Roman" w:eastAsia="楷体"/>
        </w:rPr>
        <w:t xml:space="preserve">FTIR spectra of </w:t>
      </w:r>
      <w:r>
        <w:rPr>
          <w:rFonts w:hint="eastAsia" w:ascii="Times New Roman" w:hAnsi="Times New Roman" w:eastAsia="楷体" w:cs="Times New Roman"/>
        </w:rPr>
        <w:t>NCSH-3.</w:t>
      </w:r>
    </w:p>
    <w:p w14:paraId="59B007C8">
      <w:pPr>
        <w:spacing w:line="220" w:lineRule="atLeast"/>
        <w:rPr>
          <w:rFonts w:ascii="Times New Roman" w:hAnsi="Times New Roman" w:eastAsia="楷体"/>
        </w:rPr>
      </w:pPr>
      <w:r>
        <w:rPr>
          <w:rFonts w:ascii="Times New Roman" w:hAnsi="Times New Roman" w:eastAsia="楷体"/>
          <w:b/>
          <w:bCs/>
        </w:rPr>
        <w:t xml:space="preserve">(F). </w:t>
      </w:r>
      <w:r>
        <w:rPr>
          <w:rFonts w:ascii="Times New Roman" w:hAnsi="Times New Roman" w:eastAsia="楷体"/>
        </w:rPr>
        <w:t>Four s</w:t>
      </w:r>
      <w:r>
        <w:rPr>
          <w:rFonts w:hint="eastAsia" w:ascii="Times New Roman" w:hAnsi="Times New Roman" w:eastAsia="楷体"/>
        </w:rPr>
        <w:t>i</w:t>
      </w:r>
      <w:r>
        <w:rPr>
          <w:rFonts w:ascii="Times New Roman" w:hAnsi="Times New Roman" w:eastAsia="楷体"/>
        </w:rPr>
        <w:t xml:space="preserve">RNAs targeting </w:t>
      </w:r>
      <w:r>
        <w:rPr>
          <w:rFonts w:hint="eastAsia" w:ascii="Times New Roman" w:hAnsi="Times New Roman" w:eastAsia="楷体"/>
        </w:rPr>
        <w:t>CAD</w:t>
      </w:r>
      <w:r>
        <w:rPr>
          <w:rFonts w:ascii="Times New Roman" w:hAnsi="Times New Roman" w:eastAsia="楷体"/>
        </w:rPr>
        <w:t xml:space="preserve"> and s</w:t>
      </w:r>
      <w:r>
        <w:rPr>
          <w:rFonts w:hint="eastAsia" w:ascii="Times New Roman" w:hAnsi="Times New Roman" w:eastAsia="楷体"/>
        </w:rPr>
        <w:t>i</w:t>
      </w:r>
      <w:r>
        <w:rPr>
          <w:rFonts w:ascii="Times New Roman" w:hAnsi="Times New Roman" w:eastAsia="楷体"/>
        </w:rPr>
        <w:t xml:space="preserve">NC were packaged into </w:t>
      </w:r>
      <w:r>
        <w:rPr>
          <w:rFonts w:hint="eastAsia" w:ascii="Times New Roman" w:hAnsi="Times New Roman" w:eastAsia="楷体"/>
        </w:rPr>
        <w:t>the</w:t>
      </w:r>
      <w:r>
        <w:rPr>
          <w:rFonts w:ascii="Times New Roman" w:hAnsi="Times New Roman" w:eastAsia="楷体"/>
        </w:rPr>
        <w:t xml:space="preserve"> lentivirus and transduced into </w:t>
      </w:r>
      <w:r>
        <w:rPr>
          <w:rFonts w:hint="eastAsia" w:ascii="Times New Roman" w:hAnsi="Times New Roman" w:eastAsia="楷体"/>
        </w:rPr>
        <w:t xml:space="preserve">HCT116 </w:t>
      </w:r>
      <w:r>
        <w:rPr>
          <w:rFonts w:ascii="Times New Roman" w:hAnsi="Times New Roman" w:eastAsia="楷体"/>
        </w:rPr>
        <w:t>cells, respectively</w:t>
      </w:r>
      <w:r>
        <w:rPr>
          <w:rFonts w:hint="eastAsia" w:ascii="Times New Roman" w:hAnsi="Times New Roman" w:eastAsia="楷体"/>
        </w:rPr>
        <w:t>.</w:t>
      </w:r>
      <w:r>
        <w:rPr>
          <w:rFonts w:ascii="Times New Roman" w:hAnsi="Times New Roman" w:eastAsia="楷体"/>
        </w:rPr>
        <w:t xml:space="preserve"> The </w:t>
      </w:r>
      <w:r>
        <w:rPr>
          <w:rFonts w:hint="eastAsia" w:ascii="Times New Roman" w:hAnsi="Times New Roman" w:eastAsia="楷体"/>
        </w:rPr>
        <w:t>CAD</w:t>
      </w:r>
      <w:r>
        <w:rPr>
          <w:rFonts w:ascii="Times New Roman" w:hAnsi="Times New Roman" w:eastAsia="楷体"/>
        </w:rPr>
        <w:t xml:space="preserve"> protein levels was detected by immunoblotting.</w:t>
      </w:r>
    </w:p>
    <w:p w14:paraId="51275FD1">
      <w:pPr>
        <w:spacing w:line="220" w:lineRule="atLeast"/>
        <w:rPr>
          <w:rFonts w:ascii="Times New Roman" w:hAnsi="Times New Roman" w:eastAsia="楷体"/>
        </w:rPr>
      </w:pPr>
      <w:r>
        <w:rPr>
          <w:rFonts w:ascii="Times New Roman" w:hAnsi="Times New Roman" w:eastAsia="楷体"/>
          <w:b/>
          <w:bCs/>
        </w:rPr>
        <w:t xml:space="preserve">(G). </w:t>
      </w:r>
      <w:r>
        <w:rPr>
          <w:rFonts w:ascii="Times New Roman" w:hAnsi="Times New Roman" w:eastAsia="楷体" w:cs="Times New Roman"/>
        </w:rPr>
        <w:t xml:space="preserve">UV-Vis </w:t>
      </w:r>
      <w:r>
        <w:rPr>
          <w:rFonts w:hint="eastAsia" w:ascii="Times New Roman" w:hAnsi="Times New Roman" w:eastAsia="楷体" w:cs="Times New Roman"/>
        </w:rPr>
        <w:t>a</w:t>
      </w:r>
      <w:r>
        <w:rPr>
          <w:rFonts w:ascii="Times New Roman" w:hAnsi="Times New Roman" w:eastAsia="楷体" w:cs="Times New Roman"/>
        </w:rPr>
        <w:t xml:space="preserve">bsorption </w:t>
      </w:r>
      <w:r>
        <w:rPr>
          <w:rFonts w:hint="eastAsia" w:ascii="Times New Roman" w:hAnsi="Times New Roman" w:eastAsia="楷体" w:cs="Times New Roman"/>
        </w:rPr>
        <w:t>s</w:t>
      </w:r>
      <w:r>
        <w:rPr>
          <w:rFonts w:ascii="Times New Roman" w:hAnsi="Times New Roman" w:eastAsia="楷体" w:cs="Times New Roman"/>
        </w:rPr>
        <w:t xml:space="preserve">pectra and </w:t>
      </w:r>
      <w:r>
        <w:rPr>
          <w:rFonts w:hint="eastAsia" w:ascii="Times New Roman" w:hAnsi="Times New Roman" w:eastAsia="楷体" w:cs="Times New Roman"/>
        </w:rPr>
        <w:t>s</w:t>
      </w:r>
      <w:r>
        <w:rPr>
          <w:rFonts w:ascii="Times New Roman" w:hAnsi="Times New Roman" w:eastAsia="楷体" w:cs="Times New Roman"/>
        </w:rPr>
        <w:t xml:space="preserve">tandard </w:t>
      </w:r>
      <w:r>
        <w:rPr>
          <w:rFonts w:hint="eastAsia" w:ascii="Times New Roman" w:hAnsi="Times New Roman" w:eastAsia="楷体" w:cs="Times New Roman"/>
        </w:rPr>
        <w:t>c</w:t>
      </w:r>
      <w:r>
        <w:rPr>
          <w:rFonts w:ascii="Times New Roman" w:hAnsi="Times New Roman" w:eastAsia="楷体" w:cs="Times New Roman"/>
        </w:rPr>
        <w:t xml:space="preserve">urve </w:t>
      </w:r>
      <w:r>
        <w:rPr>
          <w:rFonts w:hint="eastAsia" w:ascii="Times New Roman" w:hAnsi="Times New Roman" w:eastAsia="楷体" w:cs="Times New Roman"/>
        </w:rPr>
        <w:t>a</w:t>
      </w:r>
      <w:r>
        <w:rPr>
          <w:rFonts w:ascii="Times New Roman" w:hAnsi="Times New Roman" w:eastAsia="楷体" w:cs="Times New Roman"/>
        </w:rPr>
        <w:t>nalysis of NCSH@AVT-18A</w:t>
      </w:r>
      <w:r>
        <w:rPr>
          <w:rFonts w:hint="eastAsia" w:ascii="Times New Roman" w:hAnsi="Times New Roman" w:eastAsia="楷体" w:cs="Times New Roman"/>
        </w:rPr>
        <w:t>&amp;</w:t>
      </w:r>
      <w:r>
        <w:rPr>
          <w:rFonts w:ascii="Times New Roman" w:hAnsi="Times New Roman" w:eastAsia="楷体" w:cs="Times New Roman"/>
        </w:rPr>
        <w:t xml:space="preserve">siRNA for </w:t>
      </w:r>
      <w:r>
        <w:rPr>
          <w:rFonts w:hint="eastAsia" w:ascii="Times New Roman" w:hAnsi="Times New Roman" w:eastAsia="楷体" w:cs="Times New Roman"/>
        </w:rPr>
        <w:t>d</w:t>
      </w:r>
      <w:r>
        <w:rPr>
          <w:rFonts w:ascii="Times New Roman" w:hAnsi="Times New Roman" w:eastAsia="楷体" w:cs="Times New Roman"/>
        </w:rPr>
        <w:t xml:space="preserve">etermining </w:t>
      </w:r>
      <w:r>
        <w:rPr>
          <w:rFonts w:hint="eastAsia" w:ascii="Times New Roman" w:hAnsi="Times New Roman" w:eastAsia="楷体" w:cs="Times New Roman"/>
        </w:rPr>
        <w:t>e</w:t>
      </w:r>
      <w:r>
        <w:rPr>
          <w:rFonts w:ascii="Times New Roman" w:hAnsi="Times New Roman" w:eastAsia="楷体" w:cs="Times New Roman"/>
        </w:rPr>
        <w:t xml:space="preserve">ncapsulation </w:t>
      </w:r>
      <w:r>
        <w:rPr>
          <w:rFonts w:hint="eastAsia" w:ascii="Times New Roman" w:hAnsi="Times New Roman" w:eastAsia="楷体" w:cs="Times New Roman"/>
        </w:rPr>
        <w:t>r</w:t>
      </w:r>
      <w:r>
        <w:rPr>
          <w:rFonts w:ascii="Times New Roman" w:hAnsi="Times New Roman" w:eastAsia="楷体" w:cs="Times New Roman"/>
        </w:rPr>
        <w:t>atios of AVT-18A and siRNA</w:t>
      </w:r>
      <w:r>
        <w:rPr>
          <w:rFonts w:hint="eastAsia" w:ascii="Times New Roman" w:hAnsi="Times New Roman" w:eastAsia="楷体" w:cs="Times New Roman"/>
        </w:rPr>
        <w:t>.</w:t>
      </w:r>
    </w:p>
    <w:p w14:paraId="6E93BECC">
      <w:pPr>
        <w:spacing w:line="220" w:lineRule="atLeast"/>
        <w:rPr>
          <w:rFonts w:ascii="Times New Roman" w:hAnsi="Times New Roman" w:eastAsia="楷体"/>
        </w:rPr>
      </w:pPr>
      <w:r>
        <w:rPr>
          <w:rFonts w:ascii="Times New Roman" w:hAnsi="Times New Roman" w:eastAsia="楷体"/>
          <w:b/>
          <w:bCs/>
        </w:rPr>
        <w:t xml:space="preserve">(H). </w:t>
      </w:r>
      <w:r>
        <w:rPr>
          <w:rFonts w:ascii="Times New Roman" w:hAnsi="Times New Roman" w:eastAsia="楷体" w:cs="Times New Roman"/>
        </w:rPr>
        <w:t xml:space="preserve">TEM micrographs </w:t>
      </w:r>
      <w:r>
        <w:rPr>
          <w:rFonts w:hint="eastAsia" w:ascii="Times New Roman" w:hAnsi="Times New Roman" w:eastAsia="楷体" w:cs="Times New Roman"/>
        </w:rPr>
        <w:t xml:space="preserve">elucidating the </w:t>
      </w:r>
      <w:r>
        <w:rPr>
          <w:rFonts w:ascii="Times New Roman" w:hAnsi="Times New Roman" w:eastAsia="楷体" w:cs="Times New Roman"/>
        </w:rPr>
        <w:t>morphological variations</w:t>
      </w:r>
      <w:r>
        <w:rPr>
          <w:rFonts w:hint="eastAsia" w:ascii="Times New Roman" w:hAnsi="Times New Roman" w:eastAsia="楷体" w:cs="Times New Roman"/>
        </w:rPr>
        <w:t xml:space="preserve"> in t</w:t>
      </w:r>
      <w:r>
        <w:rPr>
          <w:rFonts w:ascii="Times New Roman" w:hAnsi="Times New Roman" w:eastAsia="楷体" w:cs="Times New Roman"/>
        </w:rPr>
        <w:t>he mimetic CRC TME-triggered bio-decomposition of NCSH@AVT-18A</w:t>
      </w:r>
      <w:r>
        <w:rPr>
          <w:rFonts w:hint="eastAsia" w:ascii="Times New Roman" w:hAnsi="Times New Roman" w:eastAsia="楷体" w:cs="Times New Roman"/>
        </w:rPr>
        <w:t>&amp;</w:t>
      </w:r>
      <w:r>
        <w:rPr>
          <w:rFonts w:ascii="Times New Roman" w:hAnsi="Times New Roman" w:eastAsia="楷体" w:cs="Times New Roman"/>
        </w:rPr>
        <w:t xml:space="preserve">siRNA at different </w:t>
      </w:r>
      <w:r>
        <w:rPr>
          <w:rFonts w:hint="eastAsia" w:ascii="Times New Roman" w:hAnsi="Times New Roman" w:eastAsia="楷体" w:cs="Times New Roman"/>
        </w:rPr>
        <w:t>pH</w:t>
      </w:r>
      <w:r>
        <w:rPr>
          <w:rFonts w:ascii="Times New Roman" w:hAnsi="Times New Roman" w:eastAsia="楷体" w:cs="Times New Roman"/>
        </w:rPr>
        <w:t xml:space="preserve">. </w:t>
      </w:r>
    </w:p>
    <w:p w14:paraId="350B8B33">
      <w:pPr>
        <w:spacing w:line="220" w:lineRule="atLeast"/>
        <w:rPr>
          <w:rFonts w:ascii="Times New Roman" w:hAnsi="Times New Roman" w:eastAsia="楷体"/>
        </w:rPr>
      </w:pPr>
      <w:r>
        <w:rPr>
          <w:rFonts w:ascii="Times New Roman" w:hAnsi="Times New Roman" w:eastAsia="楷体"/>
          <w:b/>
          <w:bCs/>
        </w:rPr>
        <w:t xml:space="preserve">(I). </w:t>
      </w:r>
      <w:r>
        <w:rPr>
          <w:rFonts w:ascii="Times New Roman" w:hAnsi="Times New Roman" w:eastAsia="楷体"/>
        </w:rPr>
        <w:t>Fluorescence images of H2S in HCT116 cells</w:t>
      </w:r>
      <w:r>
        <w:rPr>
          <w:rFonts w:hint="eastAsia" w:ascii="Times New Roman" w:hAnsi="Times New Roman" w:eastAsia="楷体"/>
        </w:rPr>
        <w:t xml:space="preserve"> in different treatment groups</w:t>
      </w:r>
      <w:r>
        <w:rPr>
          <w:rFonts w:ascii="Times New Roman" w:hAnsi="Times New Roman" w:eastAsia="楷体"/>
        </w:rPr>
        <w:t xml:space="preserve"> using WSP-1</w:t>
      </w:r>
      <w:r>
        <w:rPr>
          <w:rFonts w:hint="eastAsia" w:ascii="Times New Roman" w:hAnsi="Times New Roman" w:eastAsia="楷体"/>
        </w:rPr>
        <w:t xml:space="preserve"> </w:t>
      </w:r>
      <w:r>
        <w:rPr>
          <w:rFonts w:ascii="Times New Roman" w:hAnsi="Times New Roman" w:eastAsia="楷体"/>
        </w:rPr>
        <w:t>.</w:t>
      </w:r>
    </w:p>
    <w:p w14:paraId="5CEFD0D2">
      <w:pPr>
        <w:numPr>
          <w:ilvl w:val="0"/>
          <w:numId w:val="0"/>
        </w:numPr>
        <w:jc w:val="both"/>
        <w:rPr>
          <w:rFonts w:ascii="Times New Roman" w:hAnsi="Times New Roman" w:eastAsia="楷体" w:cs="Times New Roman"/>
        </w:rPr>
      </w:pPr>
      <w:r>
        <w:rPr>
          <w:rFonts w:hint="eastAsia" w:ascii="Times New Roman" w:hAnsi="Times New Roman" w:eastAsia="楷体"/>
        </w:rPr>
        <w:t>Data are presented as mean ± SD n.s. for nonsignificances, *P &lt; 0.05, **P &lt; 0.01, ***P &lt; 0.001.</w:t>
      </w:r>
    </w:p>
    <w:p w14:paraId="772AE1AD"/>
    <w:p w14:paraId="43209E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sz w:val="24"/>
          <w:szCs w:val="24"/>
        </w:rPr>
        <w:t xml:space="preserve">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hint="eastAsia" w:ascii="Times New Roman" w:hAnsi="Times New Roman" w:cs="Times New Roman"/>
          <w:b/>
          <w:sz w:val="24"/>
          <w:szCs w:val="24"/>
        </w:rPr>
        <w:t>4</w:t>
      </w:r>
    </w:p>
    <w:p w14:paraId="556AFA70">
      <w:pPr>
        <w:numPr>
          <w:ilvl w:val="0"/>
          <w:numId w:val="2"/>
        </w:numPr>
        <w:spacing w:line="220" w:lineRule="atLeast"/>
        <w:rPr>
          <w:rFonts w:ascii="Times New Roman" w:hAnsi="Times New Roman" w:eastAsia="楷体" w:cs="Times New Roman"/>
        </w:rPr>
      </w:pPr>
      <w:r>
        <w:rPr>
          <w:rFonts w:ascii="Times New Roman" w:hAnsi="Times New Roman" w:eastAsia="楷体"/>
          <w:b/>
          <w:bCs/>
        </w:rPr>
        <w:t xml:space="preserve">. </w:t>
      </w:r>
      <w:r>
        <w:rPr>
          <w:rFonts w:hint="eastAsia" w:ascii="Times New Roman" w:hAnsi="Times New Roman" w:eastAsia="楷体"/>
        </w:rPr>
        <w:t>Tumor volume were measured.</w:t>
      </w:r>
    </w:p>
    <w:p w14:paraId="04168D08">
      <w:pPr>
        <w:numPr>
          <w:ilvl w:val="0"/>
          <w:numId w:val="2"/>
        </w:numPr>
        <w:spacing w:line="220" w:lineRule="atLeast"/>
        <w:rPr>
          <w:rFonts w:ascii="Times New Roman" w:hAnsi="Times New Roman" w:eastAsia="楷体" w:cs="Times New Roman"/>
        </w:rPr>
      </w:pPr>
      <w:r>
        <w:rPr>
          <w:rFonts w:ascii="Times New Roman" w:hAnsi="Times New Roman" w:eastAsia="楷体"/>
          <w:b/>
          <w:bCs/>
        </w:rPr>
        <w:t xml:space="preserve">. </w:t>
      </w:r>
      <w:r>
        <w:rPr>
          <w:rFonts w:hint="eastAsia" w:ascii="Times New Roman" w:hAnsi="Times New Roman" w:eastAsia="楷体" w:cs="Times New Roman"/>
        </w:rPr>
        <w:t xml:space="preserve">H&amp;E, FDX1, cleaved caspase-3 and Ki67 staining of </w:t>
      </w:r>
      <w:r>
        <w:rPr>
          <w:rFonts w:hint="eastAsia" w:ascii="Times New Roman" w:hAnsi="Times New Roman" w:eastAsia="楷体"/>
        </w:rPr>
        <w:t>subcutaneous tumors</w:t>
      </w:r>
      <w:r>
        <w:rPr>
          <w:rFonts w:hint="eastAsia" w:ascii="Times New Roman" w:hAnsi="Times New Roman" w:eastAsia="楷体" w:cs="Times New Roman"/>
        </w:rPr>
        <w:t xml:space="preserve"> tissues on day 16 post </w:t>
      </w:r>
      <w:r>
        <w:rPr>
          <w:rFonts w:ascii="Times New Roman" w:hAnsi="Times New Roman" w:eastAsia="楷体" w:cs="Times New Roman"/>
        </w:rPr>
        <w:t>various treatments</w:t>
      </w:r>
      <w:r>
        <w:rPr>
          <w:rFonts w:hint="eastAsia" w:ascii="Times New Roman" w:hAnsi="Times New Roman" w:eastAsia="楷体" w:cs="Times New Roman"/>
        </w:rPr>
        <w:t xml:space="preserve">. </w:t>
      </w:r>
    </w:p>
    <w:p w14:paraId="702D266C">
      <w:pPr>
        <w:spacing w:line="220" w:lineRule="atLeast"/>
        <w:rPr>
          <w:rFonts w:ascii="Times New Roman" w:hAnsi="Times New Roman" w:eastAsia="楷体" w:cs="Times New Roman"/>
        </w:rPr>
      </w:pPr>
      <w:r>
        <w:rPr>
          <w:rFonts w:hint="eastAsia" w:ascii="Times New Roman" w:hAnsi="Times New Roman" w:eastAsia="楷体" w:cs="Times New Roman"/>
        </w:rPr>
        <w:t>Values are expressed as mean ± SD. (vs N.C. group, ns: p &gt; 0.05; *: p &lt; 0.05; **: p &lt; 0.01; ***: p &lt; 0.001; ****: p &lt; 0.0001 determined using one-way ANOVA followed by Turkey's test). Kaplan-Meier method followed by a log-rank test was used for survival analysis.</w:t>
      </w:r>
    </w:p>
    <w:p w14:paraId="0F27F81F">
      <w:pPr>
        <w:spacing w:line="220" w:lineRule="atLeast"/>
        <w:rPr>
          <w:rFonts w:ascii="Times New Roman" w:hAnsi="Times New Roman" w:eastAsia="楷体" w:cs="Times New Roman"/>
        </w:rPr>
      </w:pPr>
    </w:p>
    <w:p w14:paraId="0B666C8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sz w:val="24"/>
          <w:szCs w:val="24"/>
        </w:rPr>
        <w:t xml:space="preserve">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hint="eastAsia" w:ascii="Times New Roman" w:hAnsi="Times New Roman" w:cs="Times New Roman"/>
          <w:b/>
          <w:sz w:val="24"/>
          <w:szCs w:val="24"/>
        </w:rPr>
        <w:t>5</w:t>
      </w:r>
    </w:p>
    <w:p w14:paraId="735EDB92">
      <w:pPr>
        <w:spacing w:line="220" w:lineRule="atLeast"/>
        <w:rPr>
          <w:rFonts w:ascii="Times New Roman" w:hAnsi="Times New Roman" w:eastAsia="楷体" w:cs="Times New Roman"/>
        </w:rPr>
      </w:pPr>
      <w:r>
        <w:rPr>
          <w:rFonts w:ascii="Times New Roman" w:hAnsi="Times New Roman" w:eastAsia="楷体" w:cs="Times New Roman"/>
          <w:b/>
          <w:bCs/>
        </w:rPr>
        <w:t>(</w:t>
      </w:r>
      <w:r>
        <w:rPr>
          <w:rFonts w:hint="eastAsia" w:ascii="Times New Roman" w:hAnsi="Times New Roman" w:eastAsia="楷体" w:cs="Times New Roman"/>
          <w:b/>
          <w:bCs/>
          <w:lang w:val="en-US" w:eastAsia="zh-CN"/>
        </w:rPr>
        <w:t>A</w:t>
      </w:r>
      <w:r>
        <w:rPr>
          <w:rFonts w:ascii="Times New Roman" w:hAnsi="Times New Roman" w:eastAsia="楷体" w:cs="Times New Roman"/>
          <w:b/>
          <w:bCs/>
        </w:rPr>
        <w:t>)</w:t>
      </w:r>
      <w:r>
        <w:rPr>
          <w:rFonts w:ascii="Times New Roman" w:hAnsi="Times New Roman" w:eastAsia="楷体"/>
          <w:b/>
          <w:bCs/>
        </w:rPr>
        <w:t xml:space="preserve">. </w:t>
      </w:r>
      <w:r>
        <w:rPr>
          <w:rFonts w:ascii="Times New Roman" w:hAnsi="Times New Roman" w:eastAsia="楷体" w:cs="Times New Roman"/>
        </w:rPr>
        <w:t xml:space="preserve">The H&amp;E staining of the organs. </w:t>
      </w:r>
    </w:p>
    <w:p w14:paraId="191A7065">
      <w:pPr>
        <w:spacing w:line="220" w:lineRule="atLeast"/>
        <w:rPr>
          <w:rFonts w:ascii="Times New Roman" w:hAnsi="Times New Roman" w:cs="Times New Roman"/>
          <w:color w:val="000033"/>
        </w:rPr>
      </w:pPr>
      <w:r>
        <w:rPr>
          <w:rFonts w:ascii="Times New Roman" w:hAnsi="Times New Roman" w:cs="Times New Roman"/>
          <w:b/>
          <w:bCs/>
          <w:color w:val="000033"/>
        </w:rPr>
        <w:t>(</w:t>
      </w:r>
      <w:r>
        <w:rPr>
          <w:rFonts w:hint="eastAsia" w:ascii="Times New Roman" w:hAnsi="Times New Roman" w:cs="Times New Roman"/>
          <w:b/>
          <w:bCs/>
          <w:color w:val="000033"/>
          <w:lang w:val="en-US" w:eastAsia="zh-CN"/>
        </w:rPr>
        <w:t>B</w:t>
      </w:r>
      <w:r>
        <w:rPr>
          <w:rFonts w:ascii="Times New Roman" w:hAnsi="Times New Roman" w:cs="Times New Roman"/>
          <w:b/>
          <w:bCs/>
          <w:color w:val="000033"/>
        </w:rPr>
        <w:t>)</w:t>
      </w:r>
      <w:r>
        <w:rPr>
          <w:rFonts w:ascii="Times New Roman" w:hAnsi="Times New Roman" w:eastAsia="楷体"/>
          <w:b/>
          <w:bCs/>
        </w:rPr>
        <w:t xml:space="preserve">. </w:t>
      </w:r>
      <w:r>
        <w:rPr>
          <w:rFonts w:ascii="Times New Roman" w:hAnsi="Times New Roman" w:eastAsia="楷体" w:cs="Times New Roman"/>
        </w:rPr>
        <w:t>The peripheral blood</w:t>
      </w:r>
      <w:r>
        <w:rPr>
          <w:rFonts w:hint="eastAsia" w:ascii="Times New Roman" w:hAnsi="Times New Roman" w:eastAsia="楷体" w:cs="Times New Roman"/>
        </w:rPr>
        <w:t xml:space="preserve"> of</w:t>
      </w:r>
      <w:r>
        <w:rPr>
          <w:rFonts w:ascii="Times New Roman" w:hAnsi="Times New Roman" w:eastAsia="楷体" w:cs="Times New Roman"/>
        </w:rPr>
        <w:t xml:space="preserve"> </w:t>
      </w:r>
      <w:r>
        <w:rPr>
          <w:rFonts w:hint="eastAsia" w:ascii="Times New Roman" w:hAnsi="Times New Roman" w:eastAsia="楷体" w:cs="Times New Roman"/>
        </w:rPr>
        <w:t>the</w:t>
      </w:r>
      <w:r>
        <w:rPr>
          <w:rFonts w:ascii="Times New Roman" w:hAnsi="Times New Roman" w:eastAsia="楷体" w:cs="Times New Roman"/>
        </w:rPr>
        <w:t xml:space="preserve"> mice </w:t>
      </w:r>
      <w:r>
        <w:rPr>
          <w:rFonts w:hint="eastAsia" w:ascii="Times New Roman" w:hAnsi="Times New Roman" w:eastAsia="楷体" w:cs="Times New Roman"/>
        </w:rPr>
        <w:t>with</w:t>
      </w:r>
      <w:r>
        <w:rPr>
          <w:rFonts w:ascii="Times New Roman" w:hAnsi="Times New Roman" w:eastAsia="楷体" w:cs="Times New Roman"/>
        </w:rPr>
        <w:t xml:space="preserve"> different </w:t>
      </w:r>
      <w:r>
        <w:rPr>
          <w:rFonts w:hint="eastAsia" w:ascii="Times New Roman" w:hAnsi="Times New Roman" w:eastAsia="楷体" w:cs="Times New Roman"/>
        </w:rPr>
        <w:t>treatment</w:t>
      </w:r>
      <w:r>
        <w:rPr>
          <w:rFonts w:ascii="Times New Roman" w:hAnsi="Times New Roman" w:eastAsia="楷体" w:cs="Times New Roman"/>
        </w:rPr>
        <w:t xml:space="preserve"> were collected </w:t>
      </w:r>
      <w:r>
        <w:rPr>
          <w:rFonts w:hint="eastAsia" w:ascii="Times New Roman" w:hAnsi="Times New Roman" w:eastAsia="楷体" w:cs="Times New Roman"/>
        </w:rPr>
        <w:t>on</w:t>
      </w:r>
      <w:r>
        <w:rPr>
          <w:rFonts w:ascii="Times New Roman" w:hAnsi="Times New Roman" w:eastAsia="楷体" w:cs="Times New Roman"/>
        </w:rPr>
        <w:t xml:space="preserve"> </w:t>
      </w:r>
      <w:r>
        <w:rPr>
          <w:rFonts w:hint="eastAsia" w:ascii="Times New Roman" w:hAnsi="Times New Roman" w:eastAsia="楷体" w:cs="Times New Roman"/>
        </w:rPr>
        <w:t>day</w:t>
      </w:r>
      <w:r>
        <w:rPr>
          <w:rFonts w:ascii="Times New Roman" w:hAnsi="Times New Roman" w:eastAsia="楷体" w:cs="Times New Roman"/>
        </w:rPr>
        <w:t xml:space="preserve"> 1</w:t>
      </w:r>
      <w:r>
        <w:rPr>
          <w:rFonts w:hint="eastAsia" w:ascii="Times New Roman" w:hAnsi="Times New Roman" w:eastAsia="楷体" w:cs="Times New Roman"/>
        </w:rPr>
        <w:t>6</w:t>
      </w:r>
      <w:r>
        <w:rPr>
          <w:rFonts w:ascii="Times New Roman" w:hAnsi="Times New Roman" w:eastAsia="楷体" w:cs="Times New Roman"/>
        </w:rPr>
        <w:t xml:space="preserve"> to analyze the </w:t>
      </w:r>
      <w:r>
        <w:rPr>
          <w:rFonts w:ascii="Times New Roman" w:hAnsi="Times New Roman" w:cs="Times New Roman"/>
          <w:color w:val="000033"/>
        </w:rPr>
        <w:t>regular physiological</w:t>
      </w:r>
      <w:r>
        <w:rPr>
          <w:rFonts w:hint="eastAsia" w:ascii="Times New Roman" w:hAnsi="Times New Roman" w:cs="Times New Roman"/>
          <w:color w:val="000033"/>
        </w:rPr>
        <w:t xml:space="preserve"> </w:t>
      </w:r>
      <w:r>
        <w:rPr>
          <w:rFonts w:ascii="Times New Roman" w:hAnsi="Times New Roman" w:cs="Times New Roman"/>
          <w:color w:val="000033"/>
        </w:rPr>
        <w:t xml:space="preserve">indexes, including </w:t>
      </w:r>
      <w:r>
        <w:rPr>
          <w:rFonts w:hint="eastAsia" w:ascii="Times New Roman" w:hAnsi="Times New Roman" w:cs="Times New Roman"/>
          <w:color w:val="000033"/>
        </w:rPr>
        <w:t>ALT, AST, BUN and CRE</w:t>
      </w:r>
      <w:r>
        <w:rPr>
          <w:rFonts w:ascii="Times New Roman" w:hAnsi="Times New Roman" w:eastAsia="楷体"/>
        </w:rPr>
        <w:t>(n=3 independent experiments)</w:t>
      </w:r>
      <w:r>
        <w:rPr>
          <w:rFonts w:hint="eastAsia" w:ascii="Times New Roman" w:hAnsi="Times New Roman" w:cs="Times New Roman"/>
          <w:color w:val="000033"/>
        </w:rPr>
        <w:t>.</w:t>
      </w:r>
    </w:p>
    <w:p w14:paraId="5EC82B07">
      <w:pPr>
        <w:numPr>
          <w:ilvl w:val="0"/>
          <w:numId w:val="0"/>
        </w:numPr>
        <w:jc w:val="both"/>
        <w:rPr>
          <w:rFonts w:hint="eastAsia" w:ascii="Times New Roman" w:hAnsi="Times New Roman" w:eastAsia="楷体"/>
        </w:rPr>
      </w:pPr>
      <w:r>
        <w:rPr>
          <w:rFonts w:hint="eastAsia" w:ascii="Times New Roman" w:hAnsi="Times New Roman" w:eastAsia="楷体"/>
        </w:rPr>
        <w:t>Data are presented as mean ± SD n.s. for nonsignificances, *P &lt; 0.05, **P &lt; 0.01, ***P &lt; 0.001.</w:t>
      </w:r>
    </w:p>
    <w:p w14:paraId="187A7ACC">
      <w:pPr>
        <w:numPr>
          <w:ilvl w:val="0"/>
          <w:numId w:val="0"/>
        </w:numPr>
        <w:jc w:val="both"/>
        <w:rPr>
          <w:rFonts w:hint="eastAsia" w:ascii="Times New Roman" w:hAnsi="Times New Roman" w:eastAsia="楷体"/>
        </w:rPr>
      </w:pPr>
    </w:p>
    <w:p w14:paraId="6F18DCFF">
      <w:pP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sz w:val="24"/>
          <w:szCs w:val="24"/>
        </w:rPr>
        <w:t xml:space="preserve">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6</w:t>
      </w:r>
    </w:p>
    <w:p w14:paraId="296E94C4">
      <w:pPr>
        <w:spacing w:line="220" w:lineRule="atLeast"/>
        <w:rPr>
          <w:rFonts w:ascii="Arial" w:hAnsi="Arial" w:eastAsia="宋体" w:cs="Arial"/>
          <w:i w:val="0"/>
          <w:iCs w:val="0"/>
          <w:caps w:val="0"/>
          <w:color w:val="111111"/>
          <w:spacing w:val="0"/>
          <w:sz w:val="13"/>
          <w:szCs w:val="13"/>
          <w:shd w:val="clear" w:fill="F7F7F7"/>
        </w:rPr>
      </w:pPr>
      <w:r>
        <w:rPr>
          <w:rFonts w:ascii="Times New Roman" w:hAnsi="Times New Roman" w:eastAsia="楷体" w:cs="Times New Roman"/>
          <w:b/>
          <w:bCs/>
        </w:rPr>
        <w:t>(</w:t>
      </w:r>
      <w:r>
        <w:rPr>
          <w:rFonts w:hint="eastAsia" w:ascii="Times New Roman" w:hAnsi="Times New Roman" w:eastAsia="楷体" w:cs="Times New Roman"/>
          <w:b/>
          <w:bCs/>
          <w:lang w:val="en-US" w:eastAsia="zh-CN"/>
        </w:rPr>
        <w:t>A</w:t>
      </w:r>
      <w:r>
        <w:rPr>
          <w:rFonts w:ascii="Times New Roman" w:hAnsi="Times New Roman" w:eastAsia="楷体" w:cs="Times New Roman"/>
          <w:b/>
          <w:bCs/>
        </w:rPr>
        <w:t>)</w:t>
      </w:r>
      <w:r>
        <w:rPr>
          <w:rFonts w:ascii="Times New Roman" w:hAnsi="Times New Roman" w:eastAsia="楷体"/>
          <w:b/>
          <w:bCs/>
        </w:rPr>
        <w:t xml:space="preserve">. </w:t>
      </w:r>
      <w:r>
        <w:rPr>
          <w:rFonts w:hint="eastAsia" w:ascii="Times New Roman" w:hAnsi="Times New Roman" w:cs="Times New Roman"/>
          <w:color w:val="000033"/>
          <w:lang w:val="en-US" w:eastAsia="zh-CN"/>
        </w:rPr>
        <w:t xml:space="preserve">In vivo Blood routine examination of mouse subject to intravenous </w:t>
      </w:r>
      <w:r>
        <w:rPr>
          <w:rFonts w:hint="eastAsia" w:ascii="Times New Roman" w:hAnsi="Times New Roman" w:eastAsia="楷体"/>
          <w:b w:val="0"/>
          <w:bCs/>
          <w:lang w:val="en-US" w:eastAsia="zh-CN"/>
        </w:rPr>
        <w:t>NCSH@AVT-18A&amp;siCAD</w:t>
      </w:r>
      <w:r>
        <w:rPr>
          <w:rFonts w:hint="eastAsia" w:ascii="Times New Roman" w:hAnsi="Times New Roman" w:cs="Times New Roman"/>
          <w:color w:val="000033"/>
          <w:lang w:val="en-US" w:eastAsia="zh-CN"/>
        </w:rPr>
        <w:t xml:space="preserve"> injection (n=3 independent experiments).</w:t>
      </w:r>
    </w:p>
    <w:p w14:paraId="33810B41">
      <w:pPr>
        <w:spacing w:line="220" w:lineRule="atLeast"/>
        <w:jc w:val="left"/>
        <w:rPr>
          <w:rFonts w:hint="eastAsia" w:ascii="Times New Roman" w:hAnsi="Times New Roman" w:cs="Times New Roman"/>
          <w:color w:val="000033"/>
          <w:lang w:val="en-US" w:eastAsia="zh-CN"/>
        </w:rPr>
      </w:pPr>
      <w:r>
        <w:rPr>
          <w:rFonts w:ascii="Times New Roman" w:hAnsi="Times New Roman" w:cs="Times New Roman"/>
          <w:b/>
          <w:bCs/>
          <w:color w:val="000033"/>
        </w:rPr>
        <w:t>(</w:t>
      </w:r>
      <w:r>
        <w:rPr>
          <w:rFonts w:hint="eastAsia" w:ascii="Times New Roman" w:hAnsi="Times New Roman" w:cs="Times New Roman"/>
          <w:b/>
          <w:bCs/>
          <w:color w:val="000033"/>
          <w:lang w:val="en-US" w:eastAsia="zh-CN"/>
        </w:rPr>
        <w:t>B</w:t>
      </w:r>
      <w:r>
        <w:rPr>
          <w:rFonts w:ascii="Times New Roman" w:hAnsi="Times New Roman" w:cs="Times New Roman"/>
          <w:b/>
          <w:bCs/>
          <w:color w:val="000033"/>
        </w:rPr>
        <w:t>)</w:t>
      </w:r>
      <w:r>
        <w:rPr>
          <w:rFonts w:ascii="Times New Roman" w:hAnsi="Times New Roman" w:eastAsia="楷体"/>
          <w:b/>
          <w:bCs/>
        </w:rPr>
        <w:t>.</w:t>
      </w:r>
      <w:r>
        <w:rPr>
          <w:rFonts w:hint="eastAsia" w:ascii="Times New Roman" w:hAnsi="Times New Roman" w:eastAsia="楷体"/>
          <w:b/>
          <w:bCs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000033"/>
          <w:lang w:val="en-US" w:eastAsia="zh-CN"/>
        </w:rPr>
        <w:t xml:space="preserve">In vivo blood biochemical assay of mouse subject to intravenous </w:t>
      </w:r>
      <w:r>
        <w:rPr>
          <w:rFonts w:hint="eastAsia" w:ascii="Times New Roman" w:hAnsi="Times New Roman" w:eastAsia="楷体"/>
          <w:b w:val="0"/>
          <w:bCs/>
          <w:lang w:val="en-US" w:eastAsia="zh-CN"/>
        </w:rPr>
        <w:t>NCSH@AVT-18A&amp;siCAD</w:t>
      </w:r>
      <w:r>
        <w:rPr>
          <w:rFonts w:hint="eastAsia" w:ascii="Times New Roman" w:hAnsi="Times New Roman" w:cs="Times New Roman"/>
          <w:color w:val="000033"/>
          <w:lang w:val="en-US" w:eastAsia="zh-CN"/>
        </w:rPr>
        <w:t xml:space="preserve"> injection (n=3 independent experiments).</w:t>
      </w:r>
    </w:p>
    <w:p w14:paraId="76C5AF8F">
      <w:pPr>
        <w:numPr>
          <w:ilvl w:val="0"/>
          <w:numId w:val="0"/>
        </w:numPr>
        <w:jc w:val="both"/>
        <w:rPr>
          <w:rFonts w:hint="eastAsia" w:ascii="Times New Roman" w:hAnsi="Times New Roman" w:eastAsia="楷体"/>
        </w:rPr>
      </w:pPr>
      <w:r>
        <w:rPr>
          <w:rFonts w:hint="eastAsia" w:ascii="Times New Roman" w:hAnsi="Times New Roman" w:eastAsia="楷体"/>
        </w:rPr>
        <w:t>Data are presented as mean ± SD n.s. for nonsignificances, *P &lt; 0.05, **P &lt; 0.01, ***P &lt; 0.001.</w:t>
      </w:r>
    </w:p>
    <w:p w14:paraId="0AAB403D">
      <w:pPr>
        <w:spacing w:line="220" w:lineRule="atLeast"/>
        <w:rPr>
          <w:rFonts w:hint="eastAsia" w:ascii="Times New Roman" w:hAnsi="Times New Roman" w:cs="Times New Roman"/>
          <w:color w:val="000033"/>
          <w:lang w:val="en-US" w:eastAsia="zh-CN"/>
        </w:rPr>
      </w:pPr>
    </w:p>
    <w:p w14:paraId="5B5AE71B">
      <w:pPr>
        <w:spacing w:line="220" w:lineRule="atLeast"/>
        <w:rPr>
          <w:rFonts w:ascii="Times New Roman" w:hAnsi="Times New Roman" w:eastAsia="楷体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sz w:val="24"/>
          <w:szCs w:val="24"/>
        </w:rPr>
        <w:t xml:space="preserve">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7</w:t>
      </w:r>
      <w:r>
        <w:rPr>
          <w:rFonts w:hint="eastAsia" w:ascii="Times New Roman" w:hAnsi="Times New Roman" w:eastAsia="楷体" w:cs="Times New Roman"/>
          <w:b/>
          <w:bCs/>
          <w:lang w:val="en-US" w:eastAsia="zh-CN"/>
        </w:rPr>
        <w:t xml:space="preserve">  </w:t>
      </w:r>
      <w:r>
        <w:rPr>
          <w:rFonts w:ascii="Times New Roman" w:hAnsi="Times New Roman" w:eastAsia="楷体" w:cs="Times New Roman"/>
        </w:rPr>
        <w:t xml:space="preserve">The H&amp;E staining of the organs. </w:t>
      </w:r>
    </w:p>
    <w:p w14:paraId="50DC5DD9">
      <w:pPr>
        <w:spacing w:line="220" w:lineRule="atLeast"/>
        <w:rPr>
          <w:rFonts w:ascii="Times New Roman" w:hAnsi="Times New Roman" w:eastAsia="楷体" w:cs="Times New Roman"/>
        </w:rPr>
      </w:pPr>
    </w:p>
    <w:p w14:paraId="43A51352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sz w:val="24"/>
          <w:szCs w:val="24"/>
        </w:rPr>
        <w:t xml:space="preserve">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8</w:t>
      </w:r>
      <w:r>
        <w:rPr>
          <w:rFonts w:hint="eastAsia" w:ascii="Times New Roman" w:hAnsi="Times New Roman" w:eastAsia="楷体" w:cs="Times New Roman"/>
          <w:b/>
          <w:bCs/>
          <w:lang w:val="en-US" w:eastAsia="zh-CN"/>
        </w:rPr>
        <w:t xml:space="preserve">  </w:t>
      </w:r>
      <w:r>
        <w:rPr>
          <w:rFonts w:ascii="Times New Roman" w:hAnsi="Times New Roman" w:eastAsia="楷体" w:cs="Times New Roman"/>
        </w:rPr>
        <w:t xml:space="preserve">The </w:t>
      </w:r>
      <w:r>
        <w:rPr>
          <w:rFonts w:hint="eastAsia" w:ascii="Times New Roman" w:hAnsi="Times New Roman" w:eastAsia="楷体" w:cs="Times New Roman"/>
          <w:lang w:val="en-US" w:eastAsia="zh-CN"/>
        </w:rPr>
        <w:t>ICP-MS</w:t>
      </w:r>
      <w:r>
        <w:rPr>
          <w:rFonts w:ascii="Times New Roman" w:hAnsi="Times New Roman" w:eastAsia="楷体" w:cs="Times New Roman"/>
        </w:rPr>
        <w:t xml:space="preserve"> of the </w:t>
      </w:r>
      <w:r>
        <w:rPr>
          <w:rFonts w:hint="eastAsia" w:ascii="Times New Roman" w:hAnsi="Times New Roman" w:eastAsia="楷体" w:cs="Times New Roman"/>
          <w:lang w:val="en-US" w:eastAsia="zh-CN"/>
        </w:rPr>
        <w:t>blood</w:t>
      </w:r>
      <w:r>
        <w:rPr>
          <w:rFonts w:ascii="Times New Roman" w:hAnsi="Times New Roman" w:eastAsia="楷体" w:cs="Times New Roman"/>
        </w:rPr>
        <w:t xml:space="preserve">. </w:t>
      </w:r>
    </w:p>
    <w:p w14:paraId="7AFB71CE">
      <w:pPr>
        <w:spacing w:line="220" w:lineRule="atLeast"/>
        <w:rPr>
          <w:rFonts w:ascii="Times New Roman" w:hAnsi="Times New Roman" w:eastAsia="楷体" w:cs="Times New Roman"/>
        </w:rPr>
      </w:pPr>
    </w:p>
    <w:sectPr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6E218B"/>
    <w:multiLevelType w:val="singleLevel"/>
    <w:tmpl w:val="826E218B"/>
    <w:lvl w:ilvl="0" w:tentative="0">
      <w:start w:val="1"/>
      <w:numFmt w:val="upperLetter"/>
      <w:lvlText w:val="(%1)"/>
      <w:lvlJc w:val="left"/>
      <w:pPr>
        <w:tabs>
          <w:tab w:val="left" w:pos="312"/>
        </w:tabs>
      </w:pPr>
      <w:rPr>
        <w:rFonts w:hint="default"/>
        <w:b/>
        <w:bCs/>
      </w:rPr>
    </w:lvl>
  </w:abstractNum>
  <w:abstractNum w:abstractNumId="1">
    <w:nsid w:val="CDFB0E38"/>
    <w:multiLevelType w:val="singleLevel"/>
    <w:tmpl w:val="CDFB0E38"/>
    <w:lvl w:ilvl="0" w:tentative="0">
      <w:start w:val="1"/>
      <w:numFmt w:val="upperLetter"/>
      <w:lvlText w:val="(%1)"/>
      <w:lvlJc w:val="left"/>
      <w:pPr>
        <w:tabs>
          <w:tab w:val="left" w:pos="312"/>
        </w:tabs>
      </w:pPr>
      <w:rPr>
        <w:rFonts w:hint="default"/>
        <w:b/>
        <w:bCs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5DD"/>
    <w:rsid w:val="00440F8C"/>
    <w:rsid w:val="004561DB"/>
    <w:rsid w:val="00460BBF"/>
    <w:rsid w:val="005E7D6D"/>
    <w:rsid w:val="00862B36"/>
    <w:rsid w:val="008914B7"/>
    <w:rsid w:val="008A1C91"/>
    <w:rsid w:val="008B1A5F"/>
    <w:rsid w:val="00B455DD"/>
    <w:rsid w:val="00E46FCC"/>
    <w:rsid w:val="02F96EB4"/>
    <w:rsid w:val="0DB91580"/>
    <w:rsid w:val="11BE502B"/>
    <w:rsid w:val="16D3483C"/>
    <w:rsid w:val="170064C5"/>
    <w:rsid w:val="1ACE14D0"/>
    <w:rsid w:val="21BA41E2"/>
    <w:rsid w:val="26846379"/>
    <w:rsid w:val="29AE2A80"/>
    <w:rsid w:val="2F1321AD"/>
    <w:rsid w:val="33883169"/>
    <w:rsid w:val="39935A25"/>
    <w:rsid w:val="42EA45CF"/>
    <w:rsid w:val="45422DD2"/>
    <w:rsid w:val="459D5A49"/>
    <w:rsid w:val="46D36999"/>
    <w:rsid w:val="46D36B9E"/>
    <w:rsid w:val="4BE92E51"/>
    <w:rsid w:val="4CC103F0"/>
    <w:rsid w:val="4CD727A3"/>
    <w:rsid w:val="517A47F7"/>
    <w:rsid w:val="521B6C41"/>
    <w:rsid w:val="523130EB"/>
    <w:rsid w:val="560756CF"/>
    <w:rsid w:val="5CDA0C6F"/>
    <w:rsid w:val="631E4E79"/>
    <w:rsid w:val="6AE45508"/>
    <w:rsid w:val="70CF72A0"/>
    <w:rsid w:val="76A71125"/>
    <w:rsid w:val="7EF2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="0" w:afterAutospacing="1"/>
      <w:outlineLvl w:val="1"/>
    </w:pPr>
    <w:rPr>
      <w:rFonts w:hint="eastAsia" w:ascii="宋体" w:hAnsi="宋体" w:eastAsia="宋体" w:cs="Times New Roman"/>
      <w:b/>
      <w:bCs/>
      <w:sz w:val="36"/>
      <w:szCs w:val="36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Autospacing="1" w:after="0" w:afterAutospacing="1"/>
      <w:outlineLvl w:val="3"/>
    </w:pPr>
    <w:rPr>
      <w:rFonts w:hint="eastAsia" w:ascii="宋体" w:hAnsi="宋体" w:eastAsia="宋体" w:cs="Times New Roman"/>
      <w:b/>
      <w:bCs/>
      <w:sz w:val="24"/>
      <w:szCs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character" w:customStyle="1" w:styleId="12">
    <w:name w:val="页眉 字符"/>
    <w:basedOn w:val="10"/>
    <w:link w:val="6"/>
    <w:qFormat/>
    <w:uiPriority w:val="0"/>
    <w:rPr>
      <w:rFonts w:ascii="Tahoma" w:hAnsi="Tahoma" w:eastAsia="微软雅黑" w:cstheme="minorBidi"/>
      <w:sz w:val="18"/>
      <w:szCs w:val="18"/>
    </w:rPr>
  </w:style>
  <w:style w:type="character" w:customStyle="1" w:styleId="13">
    <w:name w:val="页脚 字符"/>
    <w:basedOn w:val="10"/>
    <w:link w:val="5"/>
    <w:qFormat/>
    <w:uiPriority w:val="0"/>
    <w:rPr>
      <w:rFonts w:ascii="Tahoma" w:hAnsi="Tahoma" w:eastAsia="微软雅黑" w:cstheme="minorBidi"/>
      <w:sz w:val="18"/>
      <w:szCs w:val="18"/>
    </w:rPr>
  </w:style>
  <w:style w:type="paragraph" w:customStyle="1" w:styleId="14">
    <w:name w:val="paragraph"/>
    <w:basedOn w:val="1"/>
    <w:qFormat/>
    <w:uiPriority w:val="0"/>
    <w:pPr>
      <w:spacing w:before="100" w:beforeAutospacing="1" w:after="100" w:afterAutospacing="1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1103</Words>
  <Characters>5616</Characters>
  <Lines>595</Lines>
  <Paragraphs>360</Paragraphs>
  <TotalTime>7</TotalTime>
  <ScaleCrop>false</ScaleCrop>
  <LinksUpToDate>false</LinksUpToDate>
  <CharactersWithSpaces>6440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2025-07-12T13:14:00Z</dcterms:created>
  <dc:creator>yujie</dc:creator>
  <cp:lastModifiedBy>yujie</cp:lastModifiedBy>
  <dcterms:modified xsi:type="dcterms:W3CDTF">2025-11-18T15:22:54Z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F4F39E0E97674BBCA04635210A0AD5C9_13</vt:lpwstr>
  </property>
  <property fmtid="{D5CDD505-2E9C-101B-9397-08002B2CF9AE}" pid="4" name="KSOTemplateDocerSaveRecord">
    <vt:lpwstr>eyJoZGlkIjoiYjExNTczN2E4OTU4ZDJkYTQwMTIwMzRkYjM4ZjJmMWIiLCJ1c2VySWQiOiIzMjUxNTk4OTkifQ==</vt:lpwstr>
  </property>
</Properties>
</file>