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tiff" ContentType="image/tif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4C0977">
      <w:pPr>
        <w:pStyle w:val="11"/>
        <w:spacing w:line="360" w:lineRule="auto"/>
        <w:rPr>
          <w:rFonts w:ascii="Times New Roman" w:hAnsi="Times New Roman" w:cs="Times New Roman"/>
          <w:b w:val="0"/>
          <w:bCs/>
          <w:color w:val="auto"/>
          <w:sz w:val="32"/>
          <w:szCs w:val="32"/>
        </w:rPr>
      </w:pPr>
      <w:r>
        <w:rPr>
          <w:rFonts w:ascii="Times New Roman" w:hAnsi="Times New Roman" w:cs="Times New Roman"/>
          <w:b w:val="0"/>
          <w:bCs/>
          <w:color w:val="auto"/>
          <w:sz w:val="32"/>
          <w:szCs w:val="32"/>
        </w:rPr>
        <w:t>Supporting Information</w:t>
      </w:r>
    </w:p>
    <w:p w14:paraId="3F13E53C">
      <w:pPr>
        <w:spacing w:line="36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</w:rPr>
        <w:t>A Novel Biomimetic Nanoplatform Amplifies Ferroptosis for Specific cGAS-STING Pathway Activation to Enhance Hepatocellular Carcinoma Chemo-Immunotherapy</w:t>
      </w:r>
    </w:p>
    <w:p w14:paraId="794E01D0">
      <w:pPr>
        <w:spacing w:line="360" w:lineRule="auto"/>
        <w:rPr>
          <w:rFonts w:ascii="Times New Roman" w:hAnsi="Times New Roman" w:cs="Times New Roman"/>
          <w:color w:val="auto"/>
          <w:sz w:val="24"/>
        </w:rPr>
      </w:pPr>
    </w:p>
    <w:p w14:paraId="3372EF12">
      <w:pPr>
        <w:spacing w:line="360" w:lineRule="auto"/>
        <w:rPr>
          <w:rFonts w:ascii="Times New Roman" w:hAnsi="Times New Roman" w:cs="Times New Roman"/>
          <w:b/>
          <w:bCs/>
          <w:color w:val="auto"/>
          <w:sz w:val="24"/>
        </w:rPr>
      </w:pPr>
      <w:bookmarkStart w:id="0" w:name="OLE_LINK10"/>
      <w:r>
        <w:rPr>
          <w:rFonts w:ascii="Times New Roman" w:hAnsi="Times New Roman" w:cs="Times New Roman"/>
          <w:color w:val="auto"/>
          <w:sz w:val="24"/>
        </w:rPr>
        <w:t>Hulinyue Peng</w:t>
      </w:r>
      <w:r>
        <w:rPr>
          <w:rFonts w:hint="eastAsia" w:ascii="Times New Roman" w:hAnsi="Times New Roman" w:cs="Times New Roman"/>
          <w:color w:val="auto"/>
          <w:sz w:val="24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vertAlign w:val="superscript"/>
        </w:rPr>
        <w:t>a</w:t>
      </w:r>
      <w:r>
        <w:rPr>
          <w:rFonts w:hint="eastAsia" w:ascii="Times New Roman" w:hAnsi="Times New Roman" w:cs="Times New Roman"/>
          <w:color w:val="auto"/>
          <w:sz w:val="24"/>
        </w:rPr>
        <w:t>,</w:t>
      </w:r>
      <w:r>
        <w:rPr>
          <w:rFonts w:ascii="Times New Roman" w:hAnsi="Times New Roman" w:cs="Times New Roman"/>
          <w:color w:val="auto"/>
          <w:sz w:val="24"/>
        </w:rPr>
        <w:t xml:space="preserve"> AQian Chang</w:t>
      </w:r>
      <w:r>
        <w:rPr>
          <w:rFonts w:hint="eastAsia" w:ascii="Times New Roman" w:hAnsi="Times New Roman" w:cs="Times New Roman"/>
          <w:color w:val="auto"/>
          <w:sz w:val="24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vertAlign w:val="superscript"/>
        </w:rPr>
        <w:t>a</w:t>
      </w:r>
      <w:r>
        <w:rPr>
          <w:rFonts w:hint="eastAsia" w:ascii="Times New Roman" w:hAnsi="Times New Roman" w:cs="Times New Roman"/>
          <w:color w:val="auto"/>
          <w:sz w:val="24"/>
        </w:rPr>
        <w:t xml:space="preserve">, </w:t>
      </w:r>
      <w:r>
        <w:rPr>
          <w:rFonts w:ascii="Times New Roman" w:hAnsi="Times New Roman" w:cs="Times New Roman"/>
          <w:color w:val="auto"/>
          <w:sz w:val="24"/>
        </w:rPr>
        <w:t>Huizhong Zhang</w:t>
      </w:r>
      <w:r>
        <w:rPr>
          <w:rFonts w:hint="eastAsia" w:ascii="Times New Roman" w:hAnsi="Times New Roman" w:cs="Times New Roman"/>
          <w:color w:val="auto"/>
          <w:sz w:val="24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vertAlign w:val="superscript"/>
        </w:rPr>
        <w:t>a</w:t>
      </w:r>
      <w:r>
        <w:rPr>
          <w:rFonts w:hint="eastAsia" w:ascii="Times New Roman" w:hAnsi="Times New Roman" w:cs="Times New Roman"/>
          <w:color w:val="auto"/>
          <w:sz w:val="24"/>
        </w:rPr>
        <w:t xml:space="preserve">, </w:t>
      </w:r>
      <w:r>
        <w:rPr>
          <w:rFonts w:ascii="Times New Roman" w:hAnsi="Times New Roman" w:cs="Times New Roman"/>
          <w:color w:val="auto"/>
          <w:sz w:val="24"/>
        </w:rPr>
        <w:t>Xiaohan Xu</w:t>
      </w:r>
      <w:r>
        <w:rPr>
          <w:rFonts w:hint="eastAsia" w:ascii="Times New Roman" w:hAnsi="Times New Roman" w:cs="Times New Roman"/>
          <w:color w:val="auto"/>
          <w:sz w:val="24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vertAlign w:val="superscript"/>
        </w:rPr>
        <w:t>a</w:t>
      </w:r>
      <w:r>
        <w:rPr>
          <w:rFonts w:hint="eastAsia" w:ascii="Times New Roman" w:hAnsi="Times New Roman" w:cs="Times New Roman"/>
          <w:color w:val="auto"/>
          <w:sz w:val="24"/>
        </w:rPr>
        <w:t xml:space="preserve">, Wenqi Wang </w:t>
      </w:r>
      <w:r>
        <w:rPr>
          <w:rFonts w:hint="eastAsia" w:ascii="Times New Roman" w:hAnsi="Times New Roman" w:cs="Times New Roman"/>
          <w:color w:val="auto"/>
          <w:sz w:val="24"/>
          <w:vertAlign w:val="superscript"/>
        </w:rPr>
        <w:t>a</w:t>
      </w:r>
      <w:r>
        <w:rPr>
          <w:rFonts w:hint="eastAsia" w:ascii="Times New Roman" w:hAnsi="Times New Roman" w:cs="Times New Roman"/>
          <w:color w:val="auto"/>
          <w:sz w:val="24"/>
        </w:rPr>
        <w:t xml:space="preserve">, Ke Zhang </w:t>
      </w:r>
      <w:r>
        <w:rPr>
          <w:rFonts w:hint="eastAsia" w:ascii="Times New Roman" w:hAnsi="Times New Roman" w:cs="Times New Roman"/>
          <w:color w:val="auto"/>
          <w:sz w:val="24"/>
          <w:vertAlign w:val="superscript"/>
        </w:rPr>
        <w:t>a</w:t>
      </w:r>
      <w:r>
        <w:rPr>
          <w:rFonts w:hint="eastAsia" w:ascii="Times New Roman" w:hAnsi="Times New Roman" w:cs="Times New Roman"/>
          <w:color w:val="auto"/>
          <w:sz w:val="24"/>
        </w:rPr>
        <w:t xml:space="preserve">, Jingwen Yang </w:t>
      </w:r>
      <w:r>
        <w:rPr>
          <w:rFonts w:hint="eastAsia" w:ascii="Times New Roman" w:hAnsi="Times New Roman" w:cs="Times New Roman"/>
          <w:color w:val="auto"/>
          <w:sz w:val="24"/>
          <w:vertAlign w:val="superscript"/>
        </w:rPr>
        <w:t>a</w:t>
      </w:r>
      <w:r>
        <w:rPr>
          <w:rFonts w:hint="eastAsia" w:ascii="Times New Roman" w:hAnsi="Times New Roman" w:cs="Times New Roman"/>
          <w:color w:val="auto"/>
          <w:sz w:val="24"/>
        </w:rPr>
        <w:t xml:space="preserve">, Sha Xie </w:t>
      </w:r>
      <w:r>
        <w:rPr>
          <w:rFonts w:hint="eastAsia" w:ascii="Times New Roman" w:hAnsi="Times New Roman" w:cs="Times New Roman"/>
          <w:color w:val="auto"/>
          <w:sz w:val="24"/>
          <w:vertAlign w:val="superscript"/>
        </w:rPr>
        <w:t>a</w:t>
      </w:r>
      <w:r>
        <w:rPr>
          <w:rFonts w:hint="eastAsia" w:ascii="Times New Roman" w:hAnsi="Times New Roman" w:cs="Times New Roman"/>
          <w:color w:val="auto"/>
          <w:sz w:val="24"/>
        </w:rPr>
        <w:t xml:space="preserve">, Xiaoyu Peng </w:t>
      </w:r>
      <w:r>
        <w:rPr>
          <w:rFonts w:hint="eastAsia" w:ascii="Times New Roman" w:hAnsi="Times New Roman" w:cs="Times New Roman"/>
          <w:color w:val="auto"/>
          <w:sz w:val="24"/>
          <w:vertAlign w:val="superscript"/>
        </w:rPr>
        <w:t>a</w:t>
      </w:r>
      <w:r>
        <w:rPr>
          <w:rFonts w:hint="eastAsia" w:ascii="Times New Roman" w:hAnsi="Times New Roman" w:cs="Times New Roman"/>
          <w:color w:val="auto"/>
          <w:sz w:val="24"/>
        </w:rPr>
        <w:t xml:space="preserve">, Xingbin Yin </w:t>
      </w:r>
      <w:bookmarkStart w:id="1" w:name="OLE_LINK13"/>
      <w:r>
        <w:rPr>
          <w:rFonts w:hint="eastAsia" w:ascii="Times New Roman" w:hAnsi="Times New Roman" w:cs="Times New Roman"/>
          <w:color w:val="auto"/>
          <w:sz w:val="24"/>
          <w:vertAlign w:val="superscript"/>
        </w:rPr>
        <w:t>a</w:t>
      </w:r>
      <w:bookmarkEnd w:id="1"/>
      <w:r>
        <w:rPr>
          <w:rFonts w:hint="eastAsia" w:ascii="Times New Roman" w:hAnsi="Times New Roman" w:cs="Times New Roman"/>
          <w:color w:val="auto"/>
          <w:sz w:val="24"/>
        </w:rPr>
        <w:t xml:space="preserve">, Changhai Qu </w:t>
      </w:r>
      <w:r>
        <w:rPr>
          <w:rFonts w:hint="eastAsia" w:ascii="Times New Roman" w:hAnsi="Times New Roman" w:cs="Times New Roman"/>
          <w:color w:val="auto"/>
          <w:sz w:val="24"/>
          <w:vertAlign w:val="superscript"/>
        </w:rPr>
        <w:t>a</w:t>
      </w:r>
      <w:r>
        <w:rPr>
          <w:rFonts w:hint="eastAsia" w:ascii="Times New Roman" w:hAnsi="Times New Roman" w:cs="Times New Roman"/>
          <w:color w:val="auto"/>
          <w:sz w:val="24"/>
        </w:rPr>
        <w:t xml:space="preserve">, Jing Fu </w:t>
      </w:r>
      <w:r>
        <w:rPr>
          <w:rFonts w:hint="eastAsia" w:ascii="Times New Roman" w:hAnsi="Times New Roman" w:cs="Times New Roman"/>
          <w:color w:val="auto"/>
          <w:sz w:val="24"/>
          <w:vertAlign w:val="superscript"/>
        </w:rPr>
        <w:t>b, *</w:t>
      </w:r>
      <w:r>
        <w:rPr>
          <w:rFonts w:hint="eastAsia" w:ascii="Times New Roman" w:hAnsi="Times New Roman" w:cs="Times New Roman"/>
          <w:color w:val="auto"/>
          <w:sz w:val="24"/>
        </w:rPr>
        <w:t xml:space="preserve">, </w:t>
      </w:r>
      <w:r>
        <w:rPr>
          <w:rFonts w:ascii="Times New Roman" w:hAnsi="Times New Roman" w:cs="Times New Roman"/>
          <w:color w:val="auto"/>
          <w:sz w:val="24"/>
        </w:rPr>
        <w:t>Jian Ni</w:t>
      </w:r>
      <w:r>
        <w:rPr>
          <w:rFonts w:hint="eastAsia" w:ascii="Times New Roman" w:hAnsi="Times New Roman" w:cs="Times New Roman"/>
          <w:color w:val="auto"/>
          <w:sz w:val="24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vertAlign w:val="superscript"/>
        </w:rPr>
        <w:t>a, *</w:t>
      </w:r>
      <w:r>
        <w:rPr>
          <w:rFonts w:hint="eastAsia" w:ascii="Times New Roman" w:hAnsi="Times New Roman" w:cs="Times New Roman"/>
          <w:color w:val="auto"/>
          <w:sz w:val="24"/>
        </w:rPr>
        <w:t xml:space="preserve">, </w:t>
      </w:r>
      <w:r>
        <w:rPr>
          <w:rFonts w:ascii="Times New Roman" w:hAnsi="Times New Roman" w:cs="Times New Roman"/>
          <w:color w:val="auto"/>
          <w:sz w:val="24"/>
        </w:rPr>
        <w:t>Xiaoxv Dong</w:t>
      </w:r>
      <w:r>
        <w:rPr>
          <w:rFonts w:hint="eastAsia" w:ascii="Times New Roman" w:hAnsi="Times New Roman" w:cs="Times New Roman"/>
          <w:color w:val="auto"/>
          <w:sz w:val="24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vertAlign w:val="superscript"/>
        </w:rPr>
        <w:t>a, *</w:t>
      </w:r>
      <w:r>
        <w:rPr>
          <w:rFonts w:hint="eastAsia" w:ascii="Times New Roman" w:hAnsi="Times New Roman" w:cs="Times New Roman"/>
          <w:color w:val="auto"/>
          <w:sz w:val="24"/>
        </w:rPr>
        <w:t xml:space="preserve"> </w:t>
      </w:r>
    </w:p>
    <w:bookmarkEnd w:id="0"/>
    <w:p w14:paraId="1E0F07E2">
      <w:pPr>
        <w:rPr>
          <w:rFonts w:ascii="Times New Roman" w:hAnsi="Times New Roman" w:cs="Times New Roman"/>
          <w:color w:val="auto"/>
          <w:sz w:val="24"/>
        </w:rPr>
      </w:pPr>
    </w:p>
    <w:p w14:paraId="41AE1C34">
      <w:pPr>
        <w:rPr>
          <w:rFonts w:ascii="Times New Roman" w:hAnsi="Times New Roman" w:cs="Times New Roman"/>
          <w:color w:val="auto"/>
          <w:sz w:val="24"/>
        </w:rPr>
      </w:pPr>
    </w:p>
    <w:p w14:paraId="4F7CCC15">
      <w:pPr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  <w:vertAlign w:val="superscript"/>
        </w:rPr>
        <w:t xml:space="preserve">a </w:t>
      </w:r>
      <w:r>
        <w:rPr>
          <w:rFonts w:ascii="Times New Roman" w:hAnsi="Times New Roman" w:cs="Times New Roman"/>
          <w:i/>
          <w:color w:val="auto"/>
          <w:sz w:val="24"/>
        </w:rPr>
        <w:t>School of Chinese Material Medica, Beijing University of Chinese Medicine, Beijing 102488, China</w:t>
      </w:r>
    </w:p>
    <w:p w14:paraId="01AE2FA1">
      <w:pPr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  <w:vertAlign w:val="superscript"/>
        </w:rPr>
        <w:t xml:space="preserve">b </w:t>
      </w:r>
      <w:r>
        <w:rPr>
          <w:rFonts w:ascii="Times New Roman" w:hAnsi="Times New Roman" w:cs="Times New Roman"/>
          <w:i/>
          <w:color w:val="auto"/>
          <w:sz w:val="24"/>
        </w:rPr>
        <w:t>Beijing Institute of Traditional Chinese Medicine, Beijing Hospital of Traditional Chinese Medicine, Capital Medical University, Beijing 100010, China</w:t>
      </w:r>
    </w:p>
    <w:p w14:paraId="1265D97B">
      <w:pPr>
        <w:rPr>
          <w:rFonts w:ascii="Times New Roman" w:hAnsi="Times New Roman" w:cs="Times New Roman"/>
          <w:color w:val="auto"/>
          <w:sz w:val="24"/>
        </w:rPr>
      </w:pPr>
    </w:p>
    <w:p w14:paraId="6854FAAE">
      <w:pPr>
        <w:rPr>
          <w:rFonts w:ascii="Times New Roman" w:hAnsi="Times New Roman" w:cs="Times New Roman"/>
          <w:color w:val="auto"/>
          <w:sz w:val="24"/>
        </w:rPr>
      </w:pPr>
    </w:p>
    <w:p w14:paraId="1F21E27E">
      <w:pPr>
        <w:rPr>
          <w:rFonts w:ascii="Times New Roman" w:hAnsi="Times New Roman" w:cs="Times New Roman"/>
          <w:color w:val="auto"/>
          <w:sz w:val="24"/>
        </w:rPr>
      </w:pPr>
    </w:p>
    <w:p w14:paraId="71FACA38">
      <w:pPr>
        <w:rPr>
          <w:rFonts w:ascii="Times New Roman" w:hAnsi="Times New Roman" w:cs="Times New Roman"/>
          <w:color w:val="auto"/>
          <w:sz w:val="24"/>
        </w:rPr>
      </w:pPr>
    </w:p>
    <w:p w14:paraId="3D2CCD5D">
      <w:pPr>
        <w:rPr>
          <w:rFonts w:ascii="Times New Roman" w:hAnsi="Times New Roman" w:cs="Times New Roman"/>
          <w:color w:val="auto"/>
          <w:sz w:val="24"/>
        </w:rPr>
      </w:pPr>
    </w:p>
    <w:p w14:paraId="7ACF4EE9">
      <w:pPr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 xml:space="preserve">*Correspondence: 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"mailto:fujing922@163.com(Jing" </w:instrText>
      </w:r>
      <w:r>
        <w:rPr>
          <w:color w:val="auto"/>
        </w:rPr>
        <w:fldChar w:fldCharType="separate"/>
      </w:r>
      <w:r>
        <w:rPr>
          <w:rFonts w:hint="eastAsia" w:ascii="Times New Roman" w:hAnsi="Times New Roman" w:cs="Times New Roman"/>
          <w:iCs/>
          <w:color w:val="auto"/>
          <w:sz w:val="24"/>
        </w:rPr>
        <w:t>fujing922@163.com(Jing</w:t>
      </w:r>
      <w:r>
        <w:rPr>
          <w:rFonts w:hint="eastAsia" w:ascii="Times New Roman" w:hAnsi="Times New Roman" w:cs="Times New Roman"/>
          <w:iCs/>
          <w:color w:val="auto"/>
          <w:sz w:val="24"/>
        </w:rPr>
        <w:fldChar w:fldCharType="end"/>
      </w:r>
      <w:r>
        <w:rPr>
          <w:rFonts w:ascii="Times New Roman" w:hAnsi="Times New Roman" w:cs="Times New Roman"/>
          <w:iCs/>
          <w:color w:val="auto"/>
          <w:sz w:val="24"/>
        </w:rPr>
        <w:t xml:space="preserve"> Fu)</w:t>
      </w:r>
      <w:r>
        <w:rPr>
          <w:rFonts w:hint="eastAsia" w:ascii="Times New Roman" w:hAnsi="Times New Roman" w:cs="Times New Roman"/>
          <w:iCs/>
          <w:color w:val="auto"/>
          <w:sz w:val="24"/>
        </w:rPr>
        <w:t>,</w:t>
      </w:r>
      <w:r>
        <w:rPr>
          <w:rFonts w:ascii="Times New Roman" w:hAnsi="Times New Roman" w:cs="Times New Roman"/>
          <w:iCs/>
          <w:color w:val="auto"/>
          <w:sz w:val="24"/>
        </w:rPr>
        <w:t xml:space="preserve"> 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"mailto:njtcm@263.net" </w:instrText>
      </w:r>
      <w:r>
        <w:rPr>
          <w:color w:val="auto"/>
        </w:rPr>
        <w:fldChar w:fldCharType="separate"/>
      </w:r>
      <w:r>
        <w:rPr>
          <w:rFonts w:ascii="Times New Roman" w:hAnsi="Times New Roman" w:cs="Times New Roman"/>
          <w:color w:val="auto"/>
          <w:sz w:val="24"/>
        </w:rPr>
        <w:t>njtcm@263.net</w:t>
      </w:r>
      <w:r>
        <w:rPr>
          <w:rFonts w:ascii="Times New Roman" w:hAnsi="Times New Roman" w:cs="Times New Roman"/>
          <w:color w:val="auto"/>
          <w:sz w:val="24"/>
        </w:rPr>
        <w:fldChar w:fldCharType="end"/>
      </w:r>
      <w:r>
        <w:rPr>
          <w:rFonts w:ascii="Times New Roman" w:hAnsi="Times New Roman" w:cs="Times New Roman"/>
          <w:color w:val="auto"/>
          <w:sz w:val="24"/>
        </w:rPr>
        <w:t xml:space="preserve"> (Jian Ni), dxiaoxv@163.com (Xiaoxv Dong)</w:t>
      </w:r>
    </w:p>
    <w:p w14:paraId="7E133095">
      <w:pPr>
        <w:rPr>
          <w:rFonts w:ascii="Times New Roman" w:hAnsi="Times New Roman" w:cs="Times New Roman"/>
          <w:color w:val="auto"/>
          <w:sz w:val="24"/>
        </w:rPr>
      </w:pPr>
    </w:p>
    <w:p w14:paraId="413BD2B8">
      <w:pPr>
        <w:rPr>
          <w:rFonts w:ascii="Times New Roman" w:hAnsi="Times New Roman" w:cs="Times New Roman"/>
          <w:color w:val="auto"/>
          <w:sz w:val="36"/>
          <w:szCs w:val="36"/>
        </w:rPr>
      </w:pPr>
    </w:p>
    <w:p w14:paraId="2F0FA9CC">
      <w:pPr>
        <w:rPr>
          <w:rFonts w:ascii="Times New Roman" w:hAnsi="Times New Roman" w:cs="Times New Roman"/>
          <w:color w:val="auto"/>
          <w:sz w:val="36"/>
          <w:szCs w:val="36"/>
        </w:rPr>
      </w:pPr>
      <w:r>
        <w:rPr>
          <w:rFonts w:ascii="Times New Roman" w:hAnsi="Times New Roman" w:cs="Times New Roman"/>
          <w:color w:val="auto"/>
          <w:sz w:val="36"/>
          <w:szCs w:val="36"/>
        </w:rPr>
        <w:br w:type="page"/>
      </w:r>
      <w:bookmarkStart w:id="4" w:name="_GoBack"/>
      <w:bookmarkEnd w:id="4"/>
    </w:p>
    <w:p w14:paraId="172BA225">
      <w:pPr>
        <w:spacing w:line="360" w:lineRule="auto"/>
        <w:ind w:firstLine="482" w:firstLineChars="200"/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b/>
          <w:bCs/>
          <w:i/>
          <w:iCs/>
          <w:color w:val="auto"/>
          <w:sz w:val="24"/>
        </w:rPr>
        <w:t>Characterizations of TA-ZIF-8</w:t>
      </w:r>
      <w:r>
        <w:rPr>
          <w:rFonts w:hint="eastAsia" w:ascii="Times New Roman" w:hAnsi="Times New Roman" w:cs="Times New Roman"/>
          <w:b/>
          <w:bCs/>
          <w:color w:val="auto"/>
          <w:sz w:val="24"/>
        </w:rPr>
        <w:t>:</w:t>
      </w:r>
      <w:r>
        <w:rPr>
          <w:rFonts w:hint="eastAsia" w:ascii="Times New Roman" w:hAnsi="Times New Roman" w:cs="Times New Roman"/>
          <w:color w:val="auto"/>
          <w:sz w:val="24"/>
        </w:rPr>
        <w:t xml:space="preserve"> The X-ray diffraction (XRD, D8 advance, Bruker, Germany) was used to record the XRD spectra of ZIF-8 and TA-ZIF-8. The Fourier Transform Infrared Spectroscopy (FT-IR, Nicolet iS50, Thermo Fisher, USA) was used to record the FTIR spectra of ZIF-8, TA and TA-ZIF-8. The physical adsorption curve was recorded used the BET surface area analyzer (ASAP2460, Micromeritics, USA).</w:t>
      </w:r>
    </w:p>
    <w:p w14:paraId="7FF8291A">
      <w:pPr>
        <w:spacing w:line="360" w:lineRule="auto"/>
        <w:ind w:firstLine="482" w:firstLineChars="200"/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b/>
          <w:bCs/>
          <w:i/>
          <w:iCs/>
          <w:color w:val="auto"/>
          <w:sz w:val="24"/>
        </w:rPr>
        <w:t>Determination of the incubation concentration of N</w:t>
      </w:r>
      <w:r>
        <w:rPr>
          <w:rFonts w:hint="eastAsia" w:ascii="Times New Roman" w:hAnsi="Times New Roman" w:cs="Times New Roman"/>
          <w:b/>
          <w:bCs/>
          <w:i/>
          <w:iCs/>
          <w:color w:val="auto"/>
          <w:sz w:val="24"/>
          <w:vertAlign w:val="subscript"/>
        </w:rPr>
        <w:t>3</w:t>
      </w:r>
      <w:r>
        <w:rPr>
          <w:rFonts w:hint="eastAsia" w:ascii="Times New Roman" w:hAnsi="Times New Roman" w:cs="Times New Roman"/>
          <w:b/>
          <w:bCs/>
          <w:color w:val="auto"/>
          <w:sz w:val="24"/>
        </w:rPr>
        <w:t>:</w:t>
      </w:r>
      <w:r>
        <w:rPr>
          <w:rFonts w:hint="eastAsia" w:ascii="Times New Roman" w:hAnsi="Times New Roman" w:cs="Times New Roman"/>
          <w:color w:val="auto"/>
          <w:sz w:val="24"/>
        </w:rPr>
        <w:t xml:space="preserve"> MSC</w:t>
      </w:r>
      <w:r>
        <w:rPr>
          <w:rFonts w:ascii="Times New Roman" w:hAnsi="Times New Roman" w:cs="Times New Roman"/>
          <w:color w:val="auto"/>
          <w:sz w:val="24"/>
        </w:rPr>
        <w:t xml:space="preserve"> cells</w:t>
      </w:r>
      <w:r>
        <w:rPr>
          <w:rFonts w:hint="eastAsia" w:ascii="Times New Roman" w:hAnsi="Times New Roman" w:cs="Times New Roman"/>
          <w:color w:val="auto"/>
          <w:sz w:val="24"/>
        </w:rPr>
        <w:t xml:space="preserve"> were seeded in 96-well plates at a density of 1 </w:t>
      </w:r>
      <w:r>
        <w:rPr>
          <w:rFonts w:ascii="Times New Roman" w:hAnsi="Times New Roman" w:cs="Times New Roman"/>
          <w:color w:val="auto"/>
          <w:sz w:val="24"/>
        </w:rPr>
        <w:t>× 10</w:t>
      </w:r>
      <w:r>
        <w:rPr>
          <w:rFonts w:hint="eastAsia" w:ascii="Times New Roman" w:hAnsi="Times New Roman" w:cs="Times New Roman"/>
          <w:color w:val="auto"/>
          <w:sz w:val="24"/>
          <w:vertAlign w:val="superscript"/>
        </w:rPr>
        <w:t xml:space="preserve">4 </w:t>
      </w:r>
      <w:r>
        <w:rPr>
          <w:rFonts w:hint="eastAsia" w:ascii="Times New Roman" w:hAnsi="Times New Roman" w:cs="Times New Roman"/>
          <w:color w:val="auto"/>
          <w:sz w:val="24"/>
        </w:rPr>
        <w:t xml:space="preserve">cells//well overnight, and then 5, 10, 20, 30, 40, 50 and 60 </w:t>
      </w:r>
      <w:r>
        <w:rPr>
          <w:rFonts w:ascii="Times New Roman" w:hAnsi="Times New Roman" w:cs="Times New Roman"/>
          <w:color w:val="auto"/>
          <w:sz w:val="24"/>
        </w:rPr>
        <w:t>μg/mL</w:t>
      </w:r>
      <w:r>
        <w:rPr>
          <w:rFonts w:hint="eastAsia" w:ascii="Times New Roman" w:hAnsi="Times New Roman" w:cs="Times New Roman"/>
          <w:color w:val="auto"/>
          <w:sz w:val="24"/>
        </w:rPr>
        <w:t xml:space="preserve"> of N</w:t>
      </w:r>
      <w:r>
        <w:rPr>
          <w:rFonts w:hint="eastAsia" w:ascii="Times New Roman" w:hAnsi="Times New Roman" w:cs="Times New Roman"/>
          <w:color w:val="auto"/>
          <w:sz w:val="24"/>
          <w:vertAlign w:val="subscript"/>
        </w:rPr>
        <w:t>3</w:t>
      </w:r>
      <w:r>
        <w:rPr>
          <w:rFonts w:hint="eastAsia" w:ascii="Times New Roman" w:hAnsi="Times New Roman" w:cs="Times New Roman"/>
          <w:color w:val="auto"/>
          <w:sz w:val="24"/>
        </w:rPr>
        <w:t xml:space="preserve"> were cocultured with MSC</w:t>
      </w:r>
      <w:r>
        <w:rPr>
          <w:rFonts w:ascii="Times New Roman" w:hAnsi="Times New Roman" w:cs="Times New Roman"/>
          <w:color w:val="auto"/>
          <w:sz w:val="24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</w:rPr>
        <w:t xml:space="preserve">cells for 24 h. Subsequently, </w:t>
      </w:r>
      <w:r>
        <w:rPr>
          <w:rFonts w:ascii="Times New Roman" w:hAnsi="Times New Roman" w:cs="Times New Roman"/>
          <w:color w:val="auto"/>
          <w:sz w:val="24"/>
        </w:rPr>
        <w:t xml:space="preserve">10 μL of </w:t>
      </w:r>
      <w:r>
        <w:rPr>
          <w:rFonts w:hint="eastAsia" w:ascii="Times New Roman" w:hAnsi="Times New Roman" w:cs="Times New Roman"/>
          <w:color w:val="auto"/>
          <w:sz w:val="24"/>
        </w:rPr>
        <w:t>CCK-8 was added to each well, and incubated for 1 h. Finally, the cell viability was determined using a microplate reader at 450 nm.</w:t>
      </w:r>
    </w:p>
    <w:p w14:paraId="6E4DBC1C">
      <w:pPr>
        <w:spacing w:line="360" w:lineRule="auto"/>
        <w:ind w:firstLine="482" w:firstLineChars="200"/>
        <w:rPr>
          <w:rFonts w:ascii="Times New Roman" w:hAnsi="Times New Roman" w:cs="Times New Roman"/>
          <w:i/>
          <w:iCs/>
          <w:color w:val="auto"/>
          <w:sz w:val="24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4"/>
        </w:rPr>
        <w:t xml:space="preserve">Verification of the labeling of the cell membrane by </w:t>
      </w:r>
      <w:r>
        <w:rPr>
          <w:rFonts w:hint="eastAsia" w:ascii="Times New Roman" w:hAnsi="Times New Roman" w:cs="Times New Roman"/>
          <w:b/>
          <w:bCs/>
          <w:i/>
          <w:iCs/>
          <w:color w:val="auto"/>
          <w:sz w:val="24"/>
        </w:rPr>
        <w:t>N</w:t>
      </w:r>
      <w:r>
        <w:rPr>
          <w:rFonts w:hint="eastAsia" w:ascii="Times New Roman" w:hAnsi="Times New Roman" w:cs="Times New Roman"/>
          <w:b/>
          <w:bCs/>
          <w:i/>
          <w:iCs/>
          <w:color w:val="auto"/>
          <w:sz w:val="24"/>
          <w:vertAlign w:val="subscript"/>
        </w:rPr>
        <w:t>3</w:t>
      </w:r>
      <w:r>
        <w:rPr>
          <w:rFonts w:hint="eastAsia" w:ascii="Times New Roman" w:hAnsi="Times New Roman" w:cs="Times New Roman"/>
          <w:b/>
          <w:bCs/>
          <w:color w:val="auto"/>
          <w:sz w:val="24"/>
        </w:rPr>
        <w:t>:</w:t>
      </w:r>
      <w:r>
        <w:rPr>
          <w:rFonts w:hint="eastAsia" w:ascii="Times New Roman" w:hAnsi="Times New Roman" w:cs="Times New Roman"/>
          <w:color w:val="auto"/>
          <w:sz w:val="24"/>
        </w:rPr>
        <w:t xml:space="preserve"> Proliferating MSCs were seeded at a density of 2 </w:t>
      </w:r>
      <w:r>
        <w:rPr>
          <w:rFonts w:ascii="Times New Roman" w:hAnsi="Times New Roman" w:cs="Times New Roman"/>
          <w:color w:val="auto"/>
          <w:sz w:val="24"/>
        </w:rPr>
        <w:t>× 10</w:t>
      </w:r>
      <w:r>
        <w:rPr>
          <w:rFonts w:hint="eastAsia" w:ascii="Times New Roman" w:hAnsi="Times New Roman" w:cs="Times New Roman"/>
          <w:color w:val="auto"/>
          <w:sz w:val="24"/>
          <w:vertAlign w:val="superscript"/>
        </w:rPr>
        <w:t>5</w:t>
      </w:r>
      <w:r>
        <w:rPr>
          <w:rFonts w:hint="eastAsia" w:ascii="Times New Roman" w:hAnsi="Times New Roman" w:cs="Times New Roman"/>
          <w:color w:val="auto"/>
          <w:sz w:val="24"/>
        </w:rPr>
        <w:t xml:space="preserve"> cells/well in a 6-well plate. After cell </w:t>
      </w:r>
      <w:r>
        <w:rPr>
          <w:rFonts w:ascii="Times New Roman" w:hAnsi="Times New Roman" w:cs="Times New Roman"/>
          <w:color w:val="auto"/>
          <w:sz w:val="24"/>
        </w:rPr>
        <w:t>attachment</w:t>
      </w:r>
      <w:r>
        <w:rPr>
          <w:rFonts w:hint="eastAsia" w:ascii="Times New Roman" w:hAnsi="Times New Roman" w:cs="Times New Roman"/>
          <w:color w:val="auto"/>
          <w:sz w:val="24"/>
        </w:rPr>
        <w:t xml:space="preserve">, 2 mL of complete culture medium (containing 30 </w:t>
      </w:r>
      <w:r>
        <w:rPr>
          <w:rFonts w:ascii="Times New Roman" w:hAnsi="Times New Roman" w:cs="Times New Roman"/>
          <w:color w:val="auto"/>
          <w:sz w:val="24"/>
        </w:rPr>
        <w:t>μ</w:t>
      </w:r>
      <w:r>
        <w:rPr>
          <w:rFonts w:hint="eastAsia" w:ascii="Times New Roman" w:hAnsi="Times New Roman" w:cs="Times New Roman"/>
          <w:color w:val="auto"/>
          <w:sz w:val="24"/>
        </w:rPr>
        <w:t>g/mL of N</w:t>
      </w:r>
      <w:r>
        <w:rPr>
          <w:rFonts w:hint="eastAsia" w:ascii="Times New Roman" w:hAnsi="Times New Roman" w:cs="Times New Roman"/>
          <w:color w:val="auto"/>
          <w:sz w:val="24"/>
          <w:vertAlign w:val="subscript"/>
        </w:rPr>
        <w:t>3</w:t>
      </w:r>
      <w:r>
        <w:rPr>
          <w:rFonts w:hint="eastAsia" w:ascii="Times New Roman" w:hAnsi="Times New Roman" w:cs="Times New Roman"/>
          <w:color w:val="auto"/>
          <w:sz w:val="24"/>
        </w:rPr>
        <w:t xml:space="preserve">) was added and the cells were cultured for 72 h. After washing with PBS, the cells were incubated with 70 </w:t>
      </w:r>
      <w:r>
        <w:rPr>
          <w:rFonts w:ascii="Times New Roman" w:hAnsi="Times New Roman" w:cs="Times New Roman"/>
          <w:color w:val="auto"/>
          <w:sz w:val="24"/>
        </w:rPr>
        <w:t>μ</w:t>
      </w:r>
      <w:r>
        <w:rPr>
          <w:rFonts w:hint="eastAsia" w:ascii="Times New Roman" w:hAnsi="Times New Roman" w:cs="Times New Roman"/>
          <w:color w:val="auto"/>
          <w:sz w:val="24"/>
        </w:rPr>
        <w:t xml:space="preserve">M DBCO-FITC for 1 h, followed by fixation with 4% paraformaldehyde at room temperature for 10 min. </w:t>
      </w:r>
      <w:r>
        <w:rPr>
          <w:rFonts w:ascii="Times New Roman" w:hAnsi="Times New Roman" w:cs="Times New Roman"/>
          <w:color w:val="auto"/>
          <w:sz w:val="24"/>
        </w:rPr>
        <w:t xml:space="preserve">The cells were stained with DAPI staining solution for 8 min, washed </w:t>
      </w:r>
      <w:r>
        <w:rPr>
          <w:rFonts w:hint="eastAsia" w:ascii="Times New Roman" w:hAnsi="Times New Roman" w:cs="Times New Roman"/>
          <w:color w:val="auto"/>
          <w:sz w:val="24"/>
        </w:rPr>
        <w:t>twice</w:t>
      </w:r>
      <w:r>
        <w:rPr>
          <w:rFonts w:ascii="Times New Roman" w:hAnsi="Times New Roman" w:cs="Times New Roman"/>
          <w:color w:val="auto"/>
          <w:sz w:val="24"/>
        </w:rPr>
        <w:t xml:space="preserve"> with PBS, and observed under an inverted fluorescence </w:t>
      </w:r>
      <w:r>
        <w:rPr>
          <w:rFonts w:hint="eastAsia" w:ascii="Times New Roman" w:hAnsi="Times New Roman" w:cs="Times New Roman"/>
          <w:color w:val="auto"/>
          <w:sz w:val="24"/>
        </w:rPr>
        <w:t>microscopy.</w:t>
      </w:r>
    </w:p>
    <w:p w14:paraId="37366D24">
      <w:pPr>
        <w:spacing w:line="360" w:lineRule="auto"/>
        <w:ind w:firstLine="482" w:firstLineChars="200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4"/>
        </w:rPr>
        <w:t>HPLC Analysis Conditions</w:t>
      </w:r>
      <w:r>
        <w:rPr>
          <w:rFonts w:ascii="Times New Roman" w:hAnsi="Times New Roman" w:cs="Times New Roman"/>
          <w:b/>
          <w:bCs/>
          <w:color w:val="auto"/>
          <w:sz w:val="24"/>
        </w:rPr>
        <w:t xml:space="preserve">: </w:t>
      </w:r>
      <w:r>
        <w:rPr>
          <w:rFonts w:ascii="Times New Roman" w:hAnsi="Times New Roman" w:cs="Times New Roman"/>
          <w:color w:val="auto"/>
          <w:sz w:val="24"/>
        </w:rPr>
        <w:t>The mobile phase was acetonitrile and water</w:t>
      </w:r>
      <w:r>
        <w:rPr>
          <w:rFonts w:hint="eastAsia" w:ascii="Times New Roman" w:hAnsi="Times New Roman" w:cs="Times New Roman"/>
          <w:color w:val="auto"/>
          <w:sz w:val="24"/>
        </w:rPr>
        <w:t xml:space="preserve"> in a ratio of 50:50.</w:t>
      </w:r>
      <w:r>
        <w:rPr>
          <w:rFonts w:ascii="Times New Roman" w:hAnsi="Times New Roman" w:cs="Times New Roman"/>
          <w:color w:val="auto"/>
          <w:sz w:val="24"/>
        </w:rPr>
        <w:t xml:space="preserve"> The flow rate was 1 mL/min. The column temperature was 30℃. The detection wavelength was 2</w:t>
      </w:r>
      <w:r>
        <w:rPr>
          <w:rFonts w:hint="eastAsia" w:ascii="Times New Roman" w:hAnsi="Times New Roman" w:cs="Times New Roman"/>
          <w:color w:val="auto"/>
          <w:sz w:val="24"/>
        </w:rPr>
        <w:t>03</w:t>
      </w:r>
      <w:r>
        <w:rPr>
          <w:rFonts w:ascii="Times New Roman" w:hAnsi="Times New Roman" w:cs="Times New Roman"/>
          <w:color w:val="auto"/>
          <w:sz w:val="24"/>
        </w:rPr>
        <w:t xml:space="preserve"> nm</w:t>
      </w:r>
      <w:r>
        <w:rPr>
          <w:rFonts w:hint="eastAsia" w:ascii="Times New Roman" w:hAnsi="Times New Roman" w:cs="Times New Roman"/>
          <w:color w:val="auto"/>
          <w:sz w:val="24"/>
        </w:rPr>
        <w:t>.</w:t>
      </w:r>
    </w:p>
    <w:p w14:paraId="3E05D85E">
      <w:pPr>
        <w:spacing w:line="360" w:lineRule="auto"/>
        <w:ind w:firstLine="482" w:firstLineChars="200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4"/>
        </w:rPr>
        <w:t>Evaluation of the in vitro safety of TA-ZIF</w:t>
      </w:r>
      <w:r>
        <w:rPr>
          <w:rFonts w:hint="eastAsia" w:ascii="Times New Roman" w:hAnsi="Times New Roman" w:cs="Times New Roman"/>
          <w:b/>
          <w:bCs/>
          <w:i/>
          <w:iCs/>
          <w:color w:val="auto"/>
          <w:sz w:val="24"/>
        </w:rPr>
        <w:t>-8</w:t>
      </w:r>
      <w:r>
        <w:rPr>
          <w:rFonts w:ascii="Times New Roman" w:hAnsi="Times New Roman" w:cs="Times New Roman"/>
          <w:b/>
          <w:bCs/>
          <w:i/>
          <w:iCs/>
          <w:color w:val="auto"/>
          <w:sz w:val="24"/>
        </w:rPr>
        <w:t xml:space="preserve"> </w:t>
      </w:r>
      <w:r>
        <w:rPr>
          <w:rFonts w:hint="eastAsia" w:ascii="Times New Roman" w:hAnsi="Times New Roman" w:cs="Times New Roman"/>
          <w:b/>
          <w:bCs/>
          <w:i/>
          <w:iCs/>
          <w:color w:val="auto"/>
          <w:sz w:val="24"/>
        </w:rPr>
        <w:t>by</w:t>
      </w:r>
      <w:r>
        <w:rPr>
          <w:rFonts w:ascii="Times New Roman" w:hAnsi="Times New Roman" w:cs="Times New Roman"/>
          <w:b/>
          <w:bCs/>
          <w:i/>
          <w:iCs/>
          <w:color w:val="auto"/>
          <w:sz w:val="24"/>
        </w:rPr>
        <w:t xml:space="preserve"> the CCK8</w:t>
      </w:r>
      <w:r>
        <w:rPr>
          <w:rFonts w:hint="eastAsia" w:ascii="Times New Roman" w:hAnsi="Times New Roman" w:cs="Times New Roman"/>
          <w:b/>
          <w:bCs/>
          <w:i/>
          <w:iCs/>
          <w:color w:val="auto"/>
          <w:sz w:val="24"/>
        </w:rPr>
        <w:t xml:space="preserve"> assay</w:t>
      </w:r>
      <w:r>
        <w:rPr>
          <w:rFonts w:hint="eastAsia" w:ascii="Times New Roman" w:hAnsi="Times New Roman" w:cs="Times New Roman"/>
          <w:b/>
          <w:bCs/>
          <w:color w:val="auto"/>
          <w:sz w:val="24"/>
        </w:rPr>
        <w:t xml:space="preserve">: </w:t>
      </w:r>
      <w:r>
        <w:rPr>
          <w:rFonts w:hint="eastAsia" w:ascii="Times New Roman" w:hAnsi="Times New Roman" w:cs="Times New Roman"/>
          <w:color w:val="auto"/>
          <w:sz w:val="24"/>
        </w:rPr>
        <w:t>HepG2</w:t>
      </w:r>
      <w:r>
        <w:rPr>
          <w:rFonts w:ascii="Times New Roman" w:hAnsi="Times New Roman" w:cs="Times New Roman"/>
          <w:color w:val="auto"/>
          <w:sz w:val="24"/>
        </w:rPr>
        <w:t xml:space="preserve"> cells</w:t>
      </w:r>
      <w:r>
        <w:rPr>
          <w:rFonts w:hint="eastAsia" w:ascii="Times New Roman" w:hAnsi="Times New Roman" w:cs="Times New Roman"/>
          <w:color w:val="auto"/>
          <w:sz w:val="24"/>
        </w:rPr>
        <w:t xml:space="preserve"> were seeded in 96-well plates at a density of 8 </w:t>
      </w:r>
      <w:r>
        <w:rPr>
          <w:rFonts w:ascii="Times New Roman" w:hAnsi="Times New Roman" w:cs="Times New Roman"/>
          <w:color w:val="auto"/>
          <w:sz w:val="24"/>
        </w:rPr>
        <w:t>× 10</w:t>
      </w:r>
      <w:r>
        <w:rPr>
          <w:rFonts w:hint="eastAsia" w:ascii="Times New Roman" w:hAnsi="Times New Roman" w:cs="Times New Roman"/>
          <w:color w:val="auto"/>
          <w:sz w:val="24"/>
          <w:vertAlign w:val="superscript"/>
        </w:rPr>
        <w:t xml:space="preserve">3 </w:t>
      </w:r>
      <w:r>
        <w:rPr>
          <w:rFonts w:hint="eastAsia" w:ascii="Times New Roman" w:hAnsi="Times New Roman" w:cs="Times New Roman"/>
          <w:color w:val="auto"/>
          <w:sz w:val="24"/>
        </w:rPr>
        <w:t xml:space="preserve">cells/well overnight, and then 1, 10, 20, 30, 40 and 50 </w:t>
      </w:r>
      <w:r>
        <w:rPr>
          <w:rFonts w:ascii="Times New Roman" w:hAnsi="Times New Roman" w:cs="Times New Roman"/>
          <w:color w:val="auto"/>
          <w:sz w:val="24"/>
        </w:rPr>
        <w:t>μg/mL</w:t>
      </w:r>
      <w:r>
        <w:rPr>
          <w:rFonts w:hint="eastAsia" w:ascii="Times New Roman" w:hAnsi="Times New Roman" w:cs="Times New Roman"/>
          <w:color w:val="auto"/>
          <w:sz w:val="24"/>
        </w:rPr>
        <w:t xml:space="preserve"> of </w:t>
      </w:r>
      <w:r>
        <w:rPr>
          <w:rFonts w:ascii="Times New Roman" w:hAnsi="Times New Roman" w:cs="Times New Roman"/>
          <w:color w:val="auto"/>
          <w:sz w:val="24"/>
        </w:rPr>
        <w:t>TA-ZIF</w:t>
      </w:r>
      <w:r>
        <w:rPr>
          <w:rFonts w:hint="eastAsia" w:ascii="Times New Roman" w:hAnsi="Times New Roman" w:cs="Times New Roman"/>
          <w:color w:val="auto"/>
          <w:sz w:val="24"/>
        </w:rPr>
        <w:t xml:space="preserve">-8 were cocultured with HepG2 cells for 24 h. Subsequently, </w:t>
      </w:r>
      <w:r>
        <w:rPr>
          <w:rFonts w:ascii="Times New Roman" w:hAnsi="Times New Roman" w:cs="Times New Roman"/>
          <w:color w:val="auto"/>
          <w:sz w:val="24"/>
        </w:rPr>
        <w:t xml:space="preserve">10 μL of </w:t>
      </w:r>
      <w:r>
        <w:rPr>
          <w:rFonts w:hint="eastAsia" w:ascii="Times New Roman" w:hAnsi="Times New Roman" w:cs="Times New Roman"/>
          <w:color w:val="auto"/>
          <w:sz w:val="24"/>
        </w:rPr>
        <w:t>CCK-8 was added to each well, and incubated for 2 h. Finally, the cell viability was determined using a microplate reader at 450 nm.</w:t>
      </w:r>
    </w:p>
    <w:p w14:paraId="3F9E3A45">
      <w:pPr>
        <w:spacing w:line="360" w:lineRule="auto"/>
        <w:ind w:firstLine="241" w:firstLineChars="100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4"/>
        </w:rPr>
        <w:t>Detection of cytochrome c:</w:t>
      </w:r>
      <w:r>
        <w:rPr>
          <w:rFonts w:ascii="Times New Roman" w:hAnsi="Times New Roman" w:cs="Times New Roman"/>
          <w:color w:val="auto"/>
          <w:sz w:val="24"/>
        </w:rPr>
        <w:t xml:space="preserve"> HepG2 cells were seeded in 6-well plates overnight and pretreated with </w:t>
      </w:r>
      <w:r>
        <w:rPr>
          <w:rFonts w:ascii="Times New Roman" w:hAnsi="Times New Roman" w:eastAsia="宋体" w:cs="Times New Roman"/>
          <w:color w:val="auto"/>
          <w:sz w:val="24"/>
        </w:rPr>
        <w:t xml:space="preserve">Z-VAD-FMK (20 </w:t>
      </w:r>
      <w:r>
        <w:rPr>
          <w:rFonts w:ascii="Times New Roman" w:hAnsi="Times New Roman" w:cs="Times New Roman"/>
          <w:color w:val="auto"/>
          <w:sz w:val="24"/>
        </w:rPr>
        <w:t>μM</w:t>
      </w:r>
      <w:r>
        <w:rPr>
          <w:rFonts w:ascii="Times New Roman" w:hAnsi="Times New Roman" w:eastAsia="宋体" w:cs="Times New Roman"/>
          <w:color w:val="auto"/>
          <w:sz w:val="24"/>
        </w:rPr>
        <w:t xml:space="preserve">) and Ferrostatin-1 (1 </w:t>
      </w:r>
      <w:r>
        <w:rPr>
          <w:rFonts w:ascii="Times New Roman" w:hAnsi="Times New Roman" w:cs="Times New Roman"/>
          <w:color w:val="auto"/>
          <w:sz w:val="24"/>
        </w:rPr>
        <w:t>μM</w:t>
      </w:r>
      <w:r>
        <w:rPr>
          <w:rFonts w:ascii="Times New Roman" w:hAnsi="Times New Roman" w:eastAsia="宋体" w:cs="Times New Roman"/>
          <w:color w:val="auto"/>
          <w:sz w:val="24"/>
        </w:rPr>
        <w:t xml:space="preserve">) for 4 h, followed by treatment with </w:t>
      </w:r>
      <w:r>
        <w:rPr>
          <w:rFonts w:ascii="Times New Roman" w:hAnsi="Times New Roman" w:cs="Times New Roman"/>
          <w:color w:val="auto"/>
          <w:sz w:val="24"/>
        </w:rPr>
        <w:t>PZ@M-T</w:t>
      </w:r>
      <w:r>
        <w:rPr>
          <w:rFonts w:ascii="Times New Roman" w:hAnsi="Times New Roman" w:eastAsia="宋体" w:cs="Times New Roman"/>
          <w:color w:val="auto"/>
          <w:sz w:val="24"/>
        </w:rPr>
        <w:t xml:space="preserve"> for 24 h.</w:t>
      </w:r>
      <w:r>
        <w:rPr>
          <w:rFonts w:hint="eastAsia" w:ascii="Times New Roman" w:hAnsi="Times New Roman" w:eastAsia="宋体" w:cs="Times New Roman"/>
          <w:color w:val="auto"/>
          <w:sz w:val="24"/>
        </w:rPr>
        <w:t xml:space="preserve"> Subsequently, the content of cytochrome c in the cell lysate was detected in accordance with the introduction of </w:t>
      </w:r>
      <w:r>
        <w:rPr>
          <w:rFonts w:hint="eastAsia" w:ascii="Times New Roman" w:hAnsi="Times New Roman" w:cs="Times New Roman"/>
          <w:color w:val="auto"/>
          <w:sz w:val="24"/>
        </w:rPr>
        <w:t>Cyt-C ELISA Kit</w:t>
      </w:r>
      <w:r>
        <w:rPr>
          <w:rFonts w:hint="eastAsia" w:ascii="Times New Roman" w:hAnsi="Times New Roman" w:eastAsia="宋体" w:cs="Times New Roman"/>
          <w:color w:val="auto"/>
          <w:sz w:val="24"/>
        </w:rPr>
        <w:t>.</w:t>
      </w:r>
      <w:r>
        <w:rPr>
          <w:rFonts w:hint="eastAsia" w:ascii="Times New Roman" w:hAnsi="Times New Roman" w:cs="Times New Roman"/>
          <w:color w:val="auto"/>
          <w:sz w:val="24"/>
        </w:rPr>
        <w:br w:type="page"/>
      </w:r>
    </w:p>
    <w:p w14:paraId="342E3B27">
      <w:pPr>
        <w:spacing w:line="360" w:lineRule="auto"/>
        <w:jc w:val="center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drawing>
          <wp:inline distT="0" distB="0" distL="114300" distR="114300">
            <wp:extent cx="3873500" cy="1855470"/>
            <wp:effectExtent l="0" t="0" r="12700" b="11430"/>
            <wp:docPr id="24" name="图片 24" descr="013399fb21f64c3210be1779b47f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013399fb21f64c3210be1779b47f98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73500" cy="185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00D4C">
      <w:pPr>
        <w:spacing w:line="360" w:lineRule="auto"/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t xml:space="preserve">Fig. S1. </w:t>
      </w:r>
      <w:r>
        <w:rPr>
          <w:rFonts w:ascii="Times New Roman" w:hAnsi="Times New Roman" w:cs="Times New Roman"/>
          <w:color w:val="auto"/>
          <w:sz w:val="24"/>
        </w:rPr>
        <w:t>The chemical structure of PPⅡ</w:t>
      </w:r>
      <w:r>
        <w:rPr>
          <w:rFonts w:hint="eastAsia" w:ascii="Times New Roman" w:hAnsi="Times New Roman" w:cs="Times New Roman"/>
          <w:color w:val="auto"/>
          <w:sz w:val="24"/>
        </w:rPr>
        <w:t>.</w:t>
      </w:r>
    </w:p>
    <w:p w14:paraId="532B1D69">
      <w:pPr>
        <w:spacing w:line="360" w:lineRule="auto"/>
        <w:jc w:val="center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3190240" cy="5445125"/>
            <wp:effectExtent l="0" t="0" r="10160" b="3175"/>
            <wp:docPr id="3" name="图片 3" descr="粒径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粒径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90240" cy="544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42847">
      <w:pPr>
        <w:spacing w:line="360" w:lineRule="auto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>Fig</w:t>
      </w:r>
      <w:r>
        <w:rPr>
          <w:rFonts w:hint="eastAsia" w:ascii="Times New Roman" w:hAnsi="Times New Roman" w:cs="Times New Roman"/>
          <w:color w:val="auto"/>
          <w:sz w:val="24"/>
        </w:rPr>
        <w:t>. S2. Particle size of ZIF-8, TA-ZIF-8 and PZ@M-T.</w:t>
      </w:r>
    </w:p>
    <w:p w14:paraId="7859EB2E">
      <w:pPr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br w:type="page"/>
      </w:r>
    </w:p>
    <w:p w14:paraId="2CA0372D">
      <w:pPr>
        <w:spacing w:line="360" w:lineRule="auto"/>
        <w:jc w:val="center"/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drawing>
          <wp:inline distT="0" distB="0" distL="114300" distR="114300">
            <wp:extent cx="4140835" cy="3439795"/>
            <wp:effectExtent l="0" t="0" r="12065" b="8255"/>
            <wp:docPr id="17" name="图片 17" descr="Fig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Fig 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40835" cy="343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18FBE">
      <w:pPr>
        <w:spacing w:line="360" w:lineRule="auto"/>
        <w:rPr>
          <w:color w:val="auto"/>
        </w:rPr>
      </w:pPr>
      <w:r>
        <w:rPr>
          <w:rFonts w:hint="eastAsia" w:ascii="Times New Roman" w:hAnsi="Times New Roman" w:cs="Times New Roman"/>
          <w:color w:val="auto"/>
          <w:sz w:val="24"/>
        </w:rPr>
        <w:t>Fig. S3. The cell viability of MSC cells after being treated with different concentrations of N</w:t>
      </w:r>
      <w:r>
        <w:rPr>
          <w:rFonts w:hint="eastAsia" w:ascii="Times New Roman" w:hAnsi="Times New Roman" w:cs="Times New Roman"/>
          <w:color w:val="auto"/>
          <w:sz w:val="24"/>
          <w:vertAlign w:val="subscript"/>
        </w:rPr>
        <w:t>3</w:t>
      </w:r>
      <w:r>
        <w:rPr>
          <w:rFonts w:hint="eastAsia" w:ascii="Times New Roman" w:hAnsi="Times New Roman" w:cs="Times New Roman"/>
          <w:color w:val="auto"/>
          <w:sz w:val="24"/>
        </w:rPr>
        <w:t xml:space="preserve"> for 72 h (</w:t>
      </w:r>
      <w:r>
        <w:rPr>
          <w:rFonts w:hint="eastAsia" w:ascii="Times New Roman" w:hAnsi="Times New Roman" w:cs="Times New Roman"/>
          <w:i/>
          <w:iCs/>
          <w:color w:val="auto"/>
          <w:sz w:val="24"/>
        </w:rPr>
        <w:t>n</w:t>
      </w:r>
      <w:r>
        <w:rPr>
          <w:rFonts w:hint="eastAsia" w:ascii="Times New Roman" w:hAnsi="Times New Roman" w:cs="Times New Roman"/>
          <w:color w:val="auto"/>
          <w:sz w:val="24"/>
        </w:rPr>
        <w:t xml:space="preserve"> = 6; compared with the control group, </w:t>
      </w:r>
      <w:r>
        <w:rPr>
          <w:rFonts w:hint="eastAsia" w:ascii="Times New Roman" w:hAnsi="Times New Roman" w:cs="Times New Roman"/>
          <w:color w:val="auto"/>
          <w:sz w:val="24"/>
          <w:vertAlign w:val="superscript"/>
        </w:rPr>
        <w:t>*</w:t>
      </w:r>
      <w:r>
        <w:rPr>
          <w:rFonts w:hint="eastAsia" w:ascii="Times New Roman" w:hAnsi="Times New Roman" w:cs="Times New Roman"/>
          <w:i/>
          <w:iCs/>
          <w:color w:val="auto"/>
          <w:sz w:val="24"/>
        </w:rPr>
        <w:t>P</w:t>
      </w:r>
      <w:r>
        <w:rPr>
          <w:rFonts w:hint="eastAsia" w:ascii="Times New Roman" w:hAnsi="Times New Roman" w:cs="Times New Roman"/>
          <w:color w:val="auto"/>
          <w:sz w:val="24"/>
        </w:rPr>
        <w:t xml:space="preserve"> &lt; 0.05, </w:t>
      </w:r>
      <w:r>
        <w:rPr>
          <w:rFonts w:hint="eastAsia" w:ascii="Times New Roman" w:hAnsi="Times New Roman" w:cs="Times New Roman"/>
          <w:color w:val="auto"/>
          <w:sz w:val="24"/>
          <w:vertAlign w:val="superscript"/>
        </w:rPr>
        <w:t>**</w:t>
      </w:r>
      <w:r>
        <w:rPr>
          <w:rFonts w:hint="eastAsia" w:ascii="Times New Roman" w:hAnsi="Times New Roman" w:cs="Times New Roman"/>
          <w:i/>
          <w:iCs/>
          <w:color w:val="auto"/>
          <w:sz w:val="24"/>
        </w:rPr>
        <w:t>P</w:t>
      </w:r>
      <w:r>
        <w:rPr>
          <w:rFonts w:hint="eastAsia" w:ascii="Times New Roman" w:hAnsi="Times New Roman" w:cs="Times New Roman"/>
          <w:color w:val="auto"/>
          <w:sz w:val="24"/>
        </w:rPr>
        <w:t xml:space="preserve"> &lt; 0.01, </w:t>
      </w:r>
      <w:r>
        <w:rPr>
          <w:rFonts w:hint="eastAsia" w:ascii="Times New Roman" w:hAnsi="Times New Roman" w:cs="Times New Roman"/>
          <w:color w:val="auto"/>
          <w:sz w:val="24"/>
          <w:vertAlign w:val="superscript"/>
        </w:rPr>
        <w:t>***</w:t>
      </w:r>
      <w:r>
        <w:rPr>
          <w:rFonts w:hint="eastAsia" w:ascii="Times New Roman" w:hAnsi="Times New Roman" w:cs="Times New Roman"/>
          <w:i/>
          <w:iCs/>
          <w:color w:val="auto"/>
          <w:sz w:val="24"/>
        </w:rPr>
        <w:t>P</w:t>
      </w:r>
      <w:r>
        <w:rPr>
          <w:rFonts w:hint="eastAsia" w:ascii="Times New Roman" w:hAnsi="Times New Roman" w:cs="Times New Roman"/>
          <w:color w:val="auto"/>
          <w:sz w:val="24"/>
        </w:rPr>
        <w:t>&lt; 0.001).</w:t>
      </w:r>
    </w:p>
    <w:p w14:paraId="34A4300F">
      <w:pPr>
        <w:spacing w:line="360" w:lineRule="auto"/>
        <w:jc w:val="center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drawing>
          <wp:inline distT="0" distB="0" distL="114300" distR="114300">
            <wp:extent cx="5374005" cy="3454400"/>
            <wp:effectExtent l="0" t="0" r="17145" b="12700"/>
            <wp:docPr id="10" name="图片 10" descr="N3标记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N3标记_画板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74005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48698">
      <w:pPr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>Fig</w:t>
      </w:r>
      <w:r>
        <w:rPr>
          <w:rFonts w:hint="eastAsia" w:ascii="Times New Roman" w:hAnsi="Times New Roman" w:cs="Times New Roman"/>
          <w:color w:val="auto"/>
          <w:sz w:val="24"/>
        </w:rPr>
        <w:t>. S4. Evaluation of the labeling situation of N</w:t>
      </w:r>
      <w:r>
        <w:rPr>
          <w:rFonts w:hint="eastAsia" w:ascii="Times New Roman" w:hAnsi="Times New Roman" w:cs="Times New Roman"/>
          <w:color w:val="auto"/>
          <w:sz w:val="24"/>
          <w:vertAlign w:val="subscript"/>
        </w:rPr>
        <w:t>3</w:t>
      </w:r>
      <w:r>
        <w:rPr>
          <w:rFonts w:hint="eastAsia" w:ascii="Times New Roman" w:hAnsi="Times New Roman" w:cs="Times New Roman"/>
          <w:color w:val="auto"/>
          <w:sz w:val="24"/>
        </w:rPr>
        <w:t xml:space="preserve"> on the MSCm by the fluorescence images of DBCO-FITC.</w:t>
      </w:r>
    </w:p>
    <w:p w14:paraId="093C3237">
      <w:pPr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t>.</w:t>
      </w:r>
      <w:r>
        <w:rPr>
          <w:rFonts w:hint="eastAsia" w:ascii="Times New Roman" w:hAnsi="Times New Roman" w:cs="Times New Roman"/>
          <w:color w:val="auto"/>
          <w:sz w:val="24"/>
        </w:rPr>
        <w:br w:type="page"/>
      </w:r>
    </w:p>
    <w:p w14:paraId="655F15E9">
      <w:pPr>
        <w:spacing w:line="360" w:lineRule="auto"/>
        <w:jc w:val="center"/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drawing>
          <wp:inline distT="0" distB="0" distL="114300" distR="114300">
            <wp:extent cx="3860800" cy="3308985"/>
            <wp:effectExtent l="0" t="0" r="0" b="0"/>
            <wp:docPr id="5" name="图片 5" descr="蛋白验证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蛋白验证_画板 1"/>
                    <pic:cNvPicPr>
                      <a:picLocks noChangeAspect="1"/>
                    </pic:cNvPicPr>
                  </pic:nvPicPr>
                  <pic:blipFill>
                    <a:blip r:embed="rId8"/>
                    <a:srcRect r="8351" b="19459"/>
                    <a:stretch>
                      <a:fillRect/>
                    </a:stretch>
                  </pic:blipFill>
                  <pic:spPr>
                    <a:xfrm>
                      <a:off x="0" y="0"/>
                      <a:ext cx="3860800" cy="330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872C0">
      <w:pPr>
        <w:spacing w:line="360" w:lineRule="auto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>Fig</w:t>
      </w:r>
      <w:r>
        <w:rPr>
          <w:rFonts w:hint="eastAsia" w:ascii="Times New Roman" w:hAnsi="Times New Roman" w:cs="Times New Roman"/>
          <w:color w:val="auto"/>
          <w:sz w:val="24"/>
        </w:rPr>
        <w:t>. S5. Western blot analysis of cell membrane markers (CD44, CD90 and CD105) in MSC lysate, MSC membrane (MSCm), PZ@M, and PZ@M-T.</w:t>
      </w:r>
    </w:p>
    <w:p w14:paraId="09B6E0D5">
      <w:pPr>
        <w:spacing w:line="360" w:lineRule="auto"/>
        <w:jc w:val="center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4473575" cy="3597910"/>
            <wp:effectExtent l="0" t="0" r="3175" b="2540"/>
            <wp:docPr id="1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73575" cy="359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BFDE1">
      <w:pPr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t>Fig. S6. FT-IR spectra of ZIF-8, TA and TA-ZIF-8.</w:t>
      </w:r>
    </w:p>
    <w:p w14:paraId="5DA78AE9">
      <w:pPr>
        <w:jc w:val="center"/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drawing>
          <wp:inline distT="0" distB="0" distL="114300" distR="114300">
            <wp:extent cx="3848100" cy="3468370"/>
            <wp:effectExtent l="0" t="0" r="0" b="17780"/>
            <wp:docPr id="25" name="图片 25" descr="副图-红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副图-红外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346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8F53E">
      <w:pPr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t>Fig. S7. FT-IR spectra of TA-ZIF-8, PP</w:t>
      </w:r>
      <w:r>
        <w:rPr>
          <w:rFonts w:ascii="Times New Roman" w:hAnsi="Times New Roman" w:cs="Times New Roman"/>
          <w:color w:val="auto"/>
          <w:sz w:val="24"/>
        </w:rPr>
        <w:t>Ⅱ</w:t>
      </w:r>
      <w:r>
        <w:rPr>
          <w:rFonts w:hint="eastAsia" w:ascii="Times New Roman" w:hAnsi="Times New Roman" w:cs="Times New Roman"/>
          <w:color w:val="auto"/>
          <w:sz w:val="24"/>
        </w:rPr>
        <w:t xml:space="preserve"> and PZ.</w:t>
      </w:r>
    </w:p>
    <w:p w14:paraId="44353B3E">
      <w:pPr>
        <w:spacing w:line="360" w:lineRule="auto"/>
        <w:jc w:val="center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4445635" cy="3486785"/>
            <wp:effectExtent l="0" t="0" r="12065" b="18415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45635" cy="348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E8CC5">
      <w:pPr>
        <w:widowControl/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t xml:space="preserve">Fig. S8. </w:t>
      </w:r>
      <w:r>
        <w:rPr>
          <w:rFonts w:ascii="Times New Roman" w:hAnsi="Times New Roman" w:cs="Times New Roman"/>
          <w:color w:val="auto"/>
          <w:sz w:val="24"/>
        </w:rPr>
        <w:t>The XRD spectra</w:t>
      </w:r>
      <w:r>
        <w:rPr>
          <w:rFonts w:hint="eastAsia" w:ascii="Times New Roman" w:hAnsi="Times New Roman" w:cs="Times New Roman"/>
          <w:color w:val="auto"/>
          <w:sz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</w:rPr>
        <w:t xml:space="preserve">of </w:t>
      </w:r>
      <w:r>
        <w:rPr>
          <w:rFonts w:hint="eastAsia" w:ascii="Times New Roman" w:hAnsi="Times New Roman" w:cs="Times New Roman"/>
          <w:color w:val="auto"/>
          <w:sz w:val="24"/>
        </w:rPr>
        <w:t>ZIF-8 and TA-ZIF-8.</w:t>
      </w:r>
    </w:p>
    <w:p w14:paraId="19DB33D7">
      <w:pPr>
        <w:spacing w:line="360" w:lineRule="auto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102225" cy="4134485"/>
            <wp:effectExtent l="0" t="0" r="3175" b="18415"/>
            <wp:docPr id="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02225" cy="413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08385">
      <w:pPr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>Fig</w:t>
      </w:r>
      <w:r>
        <w:rPr>
          <w:rFonts w:hint="eastAsia" w:ascii="Times New Roman" w:hAnsi="Times New Roman" w:cs="Times New Roman"/>
          <w:color w:val="auto"/>
          <w:sz w:val="24"/>
        </w:rPr>
        <w:t>. S9. XRD spectra of PZ@M-T.</w:t>
      </w:r>
    </w:p>
    <w:p w14:paraId="56A23292">
      <w:pPr>
        <w:spacing w:line="360" w:lineRule="auto"/>
        <w:jc w:val="center"/>
        <w:rPr>
          <w:color w:val="auto"/>
        </w:rPr>
      </w:pPr>
      <w:r>
        <w:rPr>
          <w:rFonts w:hint="eastAsia"/>
          <w:color w:val="auto"/>
        </w:rPr>
        <w:drawing>
          <wp:inline distT="0" distB="0" distL="114300" distR="114300">
            <wp:extent cx="4915535" cy="3762375"/>
            <wp:effectExtent l="0" t="0" r="18415" b="9525"/>
            <wp:docPr id="22" name="图片 22" descr="吸附脱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吸附脱附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15535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B0027">
      <w:pPr>
        <w:spacing w:line="360" w:lineRule="auto"/>
        <w:rPr>
          <w:color w:val="auto"/>
        </w:rPr>
      </w:pPr>
      <w:r>
        <w:rPr>
          <w:rFonts w:hint="eastAsia" w:ascii="Times New Roman" w:hAnsi="Times New Roman" w:cs="Times New Roman"/>
          <w:color w:val="auto"/>
          <w:sz w:val="24"/>
        </w:rPr>
        <w:t>Fig. S10. Adsorption and desorption curves of TA-ZIF-8.</w:t>
      </w:r>
    </w:p>
    <w:p w14:paraId="34C1AE56">
      <w:pPr>
        <w:spacing w:line="360" w:lineRule="auto"/>
        <w:jc w:val="center"/>
        <w:rPr>
          <w:color w:val="auto"/>
        </w:rPr>
      </w:pPr>
      <w:r>
        <w:rPr>
          <w:rFonts w:hint="eastAsia"/>
          <w:color w:val="auto"/>
        </w:rPr>
        <w:drawing>
          <wp:inline distT="0" distB="0" distL="114300" distR="114300">
            <wp:extent cx="5189220" cy="3971290"/>
            <wp:effectExtent l="0" t="0" r="11430" b="10160"/>
            <wp:docPr id="23" name="图片 23" descr="孔径孔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孔径孔容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89220" cy="397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9EEBD">
      <w:pPr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t>Fig. S11. Pore diameter distribution of TA-ZIF-8.</w:t>
      </w:r>
    </w:p>
    <w:p w14:paraId="005885CE">
      <w:pPr>
        <w:spacing w:line="360" w:lineRule="auto"/>
        <w:jc w:val="center"/>
        <w:rPr>
          <w:color w:val="auto"/>
        </w:rPr>
      </w:pPr>
      <w:r>
        <w:rPr>
          <w:rFonts w:hint="eastAsia"/>
          <w:color w:val="auto"/>
        </w:rPr>
        <w:drawing>
          <wp:inline distT="0" distB="0" distL="114300" distR="114300">
            <wp:extent cx="4398645" cy="3366770"/>
            <wp:effectExtent l="0" t="0" r="1905" b="5080"/>
            <wp:docPr id="18" name="图片 18" descr="热重-组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热重-组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98645" cy="336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1EBB4">
      <w:pPr>
        <w:spacing w:line="360" w:lineRule="auto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>Fig</w:t>
      </w:r>
      <w:r>
        <w:rPr>
          <w:rFonts w:hint="eastAsia" w:ascii="Times New Roman" w:hAnsi="Times New Roman" w:cs="Times New Roman"/>
          <w:color w:val="auto"/>
          <w:sz w:val="24"/>
        </w:rPr>
        <w:t xml:space="preserve">. S12. TGA curves of TA-ZIF-8 and PZ@M-T. </w:t>
      </w:r>
    </w:p>
    <w:p w14:paraId="4D8C3740">
      <w:pPr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br w:type="page"/>
      </w:r>
    </w:p>
    <w:p w14:paraId="173078D4">
      <w:pPr>
        <w:spacing w:line="360" w:lineRule="auto"/>
        <w:jc w:val="center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drawing>
          <wp:inline distT="0" distB="0" distL="114300" distR="114300">
            <wp:extent cx="2896235" cy="3834765"/>
            <wp:effectExtent l="0" t="0" r="12065" b="635"/>
            <wp:docPr id="11" name="图片 11" descr="专属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专属性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96235" cy="383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82A0B">
      <w:pPr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t>Fig. S13. HPLC chromatograms of PP</w:t>
      </w:r>
      <w:r>
        <w:rPr>
          <w:rFonts w:ascii="Times New Roman" w:hAnsi="Times New Roman" w:cs="Times New Roman"/>
          <w:color w:val="auto"/>
          <w:sz w:val="24"/>
        </w:rPr>
        <w:t xml:space="preserve">Ⅱ </w:t>
      </w:r>
      <w:r>
        <w:rPr>
          <w:rFonts w:hint="eastAsia" w:ascii="Times New Roman" w:hAnsi="Times New Roman" w:cs="Times New Roman"/>
          <w:color w:val="auto"/>
          <w:sz w:val="24"/>
        </w:rPr>
        <w:t xml:space="preserve">(A), PZ@M-T(B) and TA-ZIF-8 (C). </w:t>
      </w:r>
    </w:p>
    <w:p w14:paraId="1D91B759">
      <w:pPr>
        <w:spacing w:line="360" w:lineRule="auto"/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drawing>
          <wp:inline distT="0" distB="0" distL="114300" distR="114300">
            <wp:extent cx="5530850" cy="3451860"/>
            <wp:effectExtent l="0" t="0" r="12700" b="15240"/>
            <wp:docPr id="2" name="图片 2" descr="摄取 照片+流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摄取 照片+流式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30850" cy="345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39284">
      <w:pPr>
        <w:spacing w:line="360" w:lineRule="auto"/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t xml:space="preserve">Fig. S14. The uptake of nanoparticles by HepG2 cells. (A) The uptake of different nanoparticles was observed by CLSM. (B-C) Flow cytometry quantitatively analyzed the uptake of different nanoparticles </w:t>
      </w:r>
      <w:r>
        <w:rPr>
          <w:rFonts w:ascii="Times New Roman" w:hAnsi="Times New Roman" w:cs="Times New Roman"/>
          <w:color w:val="auto"/>
          <w:sz w:val="24"/>
        </w:rPr>
        <w:t>(</w:t>
      </w:r>
      <w:r>
        <w:rPr>
          <w:rFonts w:ascii="Times New Roman" w:hAnsi="Times New Roman" w:cs="Times New Roman"/>
          <w:i/>
          <w:iCs/>
          <w:color w:val="auto"/>
          <w:sz w:val="24"/>
        </w:rPr>
        <w:t>n</w:t>
      </w:r>
      <w:r>
        <w:rPr>
          <w:rFonts w:ascii="Times New Roman" w:hAnsi="Times New Roman" w:cs="Times New Roman"/>
          <w:color w:val="auto"/>
          <w:sz w:val="24"/>
        </w:rPr>
        <w:t xml:space="preserve"> = 3</w:t>
      </w:r>
      <w:r>
        <w:rPr>
          <w:rFonts w:hint="eastAsia" w:ascii="Times New Roman" w:hAnsi="Times New Roman" w:cs="Times New Roman"/>
          <w:color w:val="auto"/>
          <w:sz w:val="24"/>
        </w:rPr>
        <w:t>).</w:t>
      </w:r>
    </w:p>
    <w:p w14:paraId="2788D335">
      <w:pPr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br w:type="page"/>
      </w:r>
    </w:p>
    <w:p w14:paraId="471B5878">
      <w:pPr>
        <w:spacing w:line="360" w:lineRule="auto"/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drawing>
          <wp:inline distT="0" distB="0" distL="114300" distR="114300">
            <wp:extent cx="5271135" cy="3702685"/>
            <wp:effectExtent l="0" t="0" r="5715" b="12065"/>
            <wp:docPr id="9" name="图片 9" descr="副图-正常肝细胞 不同组别的摄取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副图-正常肝细胞 不同组别的摄取_画板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0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DC09E">
      <w:pPr>
        <w:spacing w:line="360" w:lineRule="auto"/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t>Fig. S15. The uptake of nanoparticles in THLE-2 cells was observed by CLSM.</w:t>
      </w:r>
    </w:p>
    <w:p w14:paraId="3373631D">
      <w:pPr>
        <w:spacing w:line="360" w:lineRule="auto"/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drawing>
          <wp:inline distT="0" distB="0" distL="114300" distR="114300">
            <wp:extent cx="5271770" cy="1973580"/>
            <wp:effectExtent l="0" t="0" r="5080" b="7620"/>
            <wp:docPr id="8" name="图片 8" descr="摄取抑制剂作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摄取抑制剂作图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97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E10CC">
      <w:pPr>
        <w:spacing w:line="360" w:lineRule="auto"/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t xml:space="preserve">Fig. S16. Investigation of the cellular internalization pathway of PZ@M-T. (A) Flow cytometry quantitatively </w:t>
      </w:r>
      <w:bookmarkStart w:id="2" w:name="OLE_LINK29"/>
      <w:r>
        <w:rPr>
          <w:rFonts w:hint="eastAsia" w:ascii="Times New Roman" w:hAnsi="Times New Roman" w:cs="Times New Roman"/>
          <w:color w:val="auto"/>
          <w:sz w:val="24"/>
        </w:rPr>
        <w:t>analysis</w:t>
      </w:r>
      <w:bookmarkEnd w:id="2"/>
      <w:r>
        <w:rPr>
          <w:rFonts w:hint="eastAsia" w:ascii="Times New Roman" w:hAnsi="Times New Roman" w:cs="Times New Roman"/>
          <w:color w:val="auto"/>
          <w:sz w:val="24"/>
        </w:rPr>
        <w:t>. (B) The relative uptake efficiency of different inhibitors. (</w:t>
      </w:r>
      <w:r>
        <w:rPr>
          <w:rFonts w:ascii="Times New Roman" w:hAnsi="Times New Roman" w:cs="Times New Roman"/>
          <w:i/>
          <w:iCs/>
          <w:color w:val="auto"/>
          <w:sz w:val="24"/>
        </w:rPr>
        <w:t>n</w:t>
      </w:r>
      <w:r>
        <w:rPr>
          <w:rFonts w:ascii="Times New Roman" w:hAnsi="Times New Roman" w:cs="Times New Roman"/>
          <w:color w:val="auto"/>
          <w:sz w:val="24"/>
        </w:rPr>
        <w:t xml:space="preserve"> = 3</w:t>
      </w:r>
      <w:r>
        <w:rPr>
          <w:rFonts w:hint="eastAsia" w:ascii="Times New Roman" w:hAnsi="Times New Roman" w:cs="Times New Roman"/>
          <w:color w:val="auto"/>
          <w:sz w:val="24"/>
        </w:rPr>
        <w:t xml:space="preserve">) </w:t>
      </w:r>
    </w:p>
    <w:p w14:paraId="6CC743F7">
      <w:pPr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br w:type="page"/>
      </w:r>
    </w:p>
    <w:p w14:paraId="33873D43">
      <w:pPr>
        <w:spacing w:line="360" w:lineRule="auto"/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drawing>
          <wp:inline distT="0" distB="0" distL="114300" distR="114300">
            <wp:extent cx="4978400" cy="4219575"/>
            <wp:effectExtent l="0" t="0" r="0" b="9525"/>
            <wp:docPr id="13" name="图片 13" descr="溶酶体逃逸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溶酶体逃逸_画板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7840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607C8">
      <w:pPr>
        <w:spacing w:line="360" w:lineRule="auto"/>
        <w:rPr>
          <w:rFonts w:hint="eastAsia"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t>Fig. S17. Lysosome escape of PZ@M-T visualized by CLSM.</w:t>
      </w:r>
    </w:p>
    <w:p w14:paraId="6F7454EA">
      <w:pPr>
        <w:spacing w:line="360" w:lineRule="auto"/>
        <w:jc w:val="center"/>
        <w:rPr>
          <w:rFonts w:hint="eastAsia" w:ascii="Times New Roman" w:hAnsi="Times New Roman" w:cs="Times New Roman" w:eastAsiaTheme="minorEastAsia"/>
          <w:color w:val="auto"/>
          <w:sz w:val="24"/>
          <w:lang w:eastAsia="zh-CN"/>
        </w:rPr>
      </w:pPr>
      <w:r>
        <w:rPr>
          <w:rFonts w:hint="eastAsia" w:ascii="Times New Roman" w:hAnsi="Times New Roman" w:cs="Times New Roman" w:eastAsiaTheme="minorEastAsia"/>
          <w:color w:val="auto"/>
          <w:sz w:val="24"/>
          <w:lang w:eastAsia="zh-CN"/>
        </w:rPr>
        <w:drawing>
          <wp:inline distT="0" distB="0" distL="114300" distR="114300">
            <wp:extent cx="3955415" cy="3259455"/>
            <wp:effectExtent l="0" t="0" r="6985" b="17145"/>
            <wp:docPr id="1" name="图片 1" descr="Fig S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 S1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55415" cy="325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578B2">
      <w:pPr>
        <w:spacing w:line="360" w:lineRule="auto"/>
        <w:jc w:val="center"/>
        <w:rPr>
          <w:color w:val="auto"/>
        </w:rPr>
      </w:pPr>
    </w:p>
    <w:p w14:paraId="274ADEE7">
      <w:pPr>
        <w:spacing w:line="360" w:lineRule="auto"/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t>Fig. S18. The cell viability of HepG2 cells after being treated with different concentrations of TA-ZIF-8 for 24 h (</w:t>
      </w:r>
      <w:r>
        <w:rPr>
          <w:rFonts w:hint="eastAsia" w:ascii="Times New Roman" w:hAnsi="Times New Roman" w:cs="Times New Roman"/>
          <w:i/>
          <w:iCs/>
          <w:color w:val="auto"/>
          <w:sz w:val="24"/>
        </w:rPr>
        <w:t>n</w:t>
      </w:r>
      <w:r>
        <w:rPr>
          <w:rFonts w:hint="eastAsia" w:ascii="Times New Roman" w:hAnsi="Times New Roman" w:cs="Times New Roman"/>
          <w:color w:val="auto"/>
          <w:sz w:val="24"/>
        </w:rPr>
        <w:t xml:space="preserve"> = 6).</w:t>
      </w:r>
      <w:r>
        <w:rPr>
          <w:rFonts w:hint="eastAsia" w:ascii="Times New Roman" w:hAnsi="Times New Roman" w:cs="Times New Roman"/>
          <w:color w:val="auto"/>
          <w:sz w:val="24"/>
        </w:rPr>
        <w:br w:type="page"/>
      </w:r>
    </w:p>
    <w:p w14:paraId="7E5600AE">
      <w:pPr>
        <w:spacing w:line="360" w:lineRule="auto"/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drawing>
          <wp:inline distT="0" distB="0" distL="114300" distR="114300">
            <wp:extent cx="5269230" cy="2846070"/>
            <wp:effectExtent l="0" t="0" r="7620" b="11430"/>
            <wp:docPr id="4" name="图片 4" descr="cck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ck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4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51F54">
      <w:pPr>
        <w:spacing w:line="360" w:lineRule="auto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>Fig. S19. Cell viability of HepG2 cells treated with various concentrations of PP</w:t>
      </w:r>
      <w:r>
        <w:rPr>
          <w:rFonts w:ascii="Times New Roman" w:hAnsi="Times New Roman" w:eastAsia="宋体" w:cs="Times New Roman"/>
          <w:color w:val="auto"/>
          <w:sz w:val="24"/>
        </w:rPr>
        <w:t>Ⅱ</w:t>
      </w:r>
      <w:r>
        <w:rPr>
          <w:rFonts w:ascii="Times New Roman" w:hAnsi="Times New Roman" w:cs="Times New Roman"/>
          <w:color w:val="auto"/>
          <w:sz w:val="24"/>
        </w:rPr>
        <w:t>, PZ, PZ@M, and PZ@M-T (</w:t>
      </w:r>
      <w:r>
        <w:rPr>
          <w:rFonts w:ascii="Times New Roman" w:hAnsi="Times New Roman" w:cs="Times New Roman"/>
          <w:i/>
          <w:iCs/>
          <w:color w:val="auto"/>
          <w:sz w:val="24"/>
        </w:rPr>
        <w:t>n</w:t>
      </w:r>
      <w:r>
        <w:rPr>
          <w:rFonts w:ascii="Times New Roman" w:hAnsi="Times New Roman" w:cs="Times New Roman"/>
          <w:color w:val="auto"/>
          <w:sz w:val="24"/>
        </w:rPr>
        <w:t xml:space="preserve"> = 6).</w:t>
      </w:r>
      <w:r>
        <w:rPr>
          <w:rFonts w:hint="eastAsia" w:ascii="Times New Roman" w:hAnsi="Times New Roman" w:cs="Times New Roman"/>
          <w:color w:val="auto"/>
          <w:sz w:val="24"/>
        </w:rPr>
        <w:t xml:space="preserve"> </w:t>
      </w:r>
      <w:r>
        <w:rPr>
          <w:rFonts w:ascii="Times New Roman" w:hAnsi="Times New Roman" w:eastAsia="宋体" w:cs="Times New Roman"/>
          <w:color w:val="auto"/>
          <w:sz w:val="24"/>
        </w:rPr>
        <w:t>(</w:t>
      </w:r>
      <w:r>
        <w:rPr>
          <w:rFonts w:ascii="Times New Roman" w:hAnsi="Times New Roman" w:cs="Times New Roman"/>
          <w:color w:val="auto"/>
          <w:sz w:val="24"/>
        </w:rPr>
        <w:t>Compared with the P</w:t>
      </w:r>
      <w:r>
        <w:rPr>
          <w:rFonts w:ascii="Times New Roman" w:hAnsi="Times New Roman" w:eastAsia="宋体" w:cs="Times New Roman"/>
          <w:color w:val="auto"/>
          <w:sz w:val="24"/>
        </w:rPr>
        <w:t xml:space="preserve">Z@M-T, </w:t>
      </w:r>
      <w:r>
        <w:rPr>
          <w:rFonts w:ascii="Times New Roman" w:hAnsi="Times New Roman" w:cs="Times New Roman"/>
          <w:color w:val="auto"/>
          <w:sz w:val="24"/>
          <w:vertAlign w:val="superscript"/>
        </w:rPr>
        <w:t>*</w:t>
      </w:r>
      <w:r>
        <w:rPr>
          <w:rFonts w:ascii="Times New Roman" w:hAnsi="Times New Roman" w:cs="Times New Roman"/>
          <w:i/>
          <w:iCs/>
          <w:color w:val="auto"/>
          <w:sz w:val="24"/>
        </w:rPr>
        <w:t>p</w:t>
      </w:r>
      <w:r>
        <w:rPr>
          <w:rFonts w:ascii="Times New Roman" w:hAnsi="Times New Roman" w:cs="Times New Roman"/>
          <w:color w:val="auto"/>
          <w:sz w:val="24"/>
        </w:rPr>
        <w:t xml:space="preserve"> &lt; 0.0</w:t>
      </w:r>
      <w:r>
        <w:rPr>
          <w:rFonts w:ascii="Times New Roman" w:hAnsi="Times New Roman" w:eastAsia="宋体" w:cs="Times New Roman"/>
          <w:color w:val="auto"/>
          <w:sz w:val="24"/>
        </w:rPr>
        <w:t xml:space="preserve">5, </w:t>
      </w:r>
      <w:r>
        <w:rPr>
          <w:rFonts w:ascii="Times New Roman" w:hAnsi="Times New Roman" w:cs="Times New Roman"/>
          <w:color w:val="auto"/>
          <w:sz w:val="24"/>
          <w:vertAlign w:val="superscript"/>
        </w:rPr>
        <w:t>**</w:t>
      </w:r>
      <w:r>
        <w:rPr>
          <w:rFonts w:ascii="Times New Roman" w:hAnsi="Times New Roman" w:cs="Times New Roman"/>
          <w:i/>
          <w:iCs/>
          <w:color w:val="auto"/>
          <w:sz w:val="24"/>
        </w:rPr>
        <w:t>p</w:t>
      </w:r>
      <w:r>
        <w:rPr>
          <w:rFonts w:ascii="Times New Roman" w:hAnsi="Times New Roman" w:cs="Times New Roman"/>
          <w:color w:val="auto"/>
          <w:sz w:val="24"/>
        </w:rPr>
        <w:t xml:space="preserve"> &lt; 0.01</w:t>
      </w:r>
      <w:r>
        <w:rPr>
          <w:rFonts w:ascii="Times New Roman" w:hAnsi="Times New Roman" w:eastAsia="宋体" w:cs="Times New Roman"/>
          <w:color w:val="auto"/>
          <w:sz w:val="24"/>
        </w:rPr>
        <w:t xml:space="preserve">, </w:t>
      </w:r>
      <w:r>
        <w:rPr>
          <w:rFonts w:ascii="Times New Roman" w:hAnsi="Times New Roman" w:cs="Times New Roman"/>
          <w:color w:val="auto"/>
          <w:sz w:val="24"/>
          <w:vertAlign w:val="superscript"/>
        </w:rPr>
        <w:t>***</w:t>
      </w:r>
      <w:r>
        <w:rPr>
          <w:rFonts w:ascii="Times New Roman" w:hAnsi="Times New Roman" w:cs="Times New Roman"/>
          <w:i/>
          <w:iCs/>
          <w:color w:val="auto"/>
          <w:sz w:val="24"/>
        </w:rPr>
        <w:t>p</w:t>
      </w:r>
      <w:r>
        <w:rPr>
          <w:rFonts w:ascii="Times New Roman" w:hAnsi="Times New Roman" w:cs="Times New Roman"/>
          <w:color w:val="auto"/>
          <w:sz w:val="24"/>
        </w:rPr>
        <w:t xml:space="preserve"> &lt; 0.001</w:t>
      </w:r>
      <w:r>
        <w:rPr>
          <w:rFonts w:ascii="Times New Roman" w:hAnsi="Times New Roman" w:eastAsia="宋体" w:cs="Times New Roman"/>
          <w:color w:val="auto"/>
          <w:sz w:val="24"/>
        </w:rPr>
        <w:t>)</w:t>
      </w:r>
      <w:r>
        <w:rPr>
          <w:rFonts w:ascii="Times New Roman" w:hAnsi="Times New Roman" w:cs="Times New Roman"/>
          <w:color w:val="auto"/>
          <w:sz w:val="24"/>
        </w:rPr>
        <w:t>.</w:t>
      </w:r>
    </w:p>
    <w:p w14:paraId="766FA6C4">
      <w:pPr>
        <w:spacing w:line="360" w:lineRule="auto"/>
        <w:jc w:val="center"/>
        <w:rPr>
          <w:rFonts w:ascii="Times New Roman" w:hAnsi="Times New Roman" w:cs="Times New Roman"/>
          <w:color w:val="auto"/>
          <w:sz w:val="24"/>
        </w:rPr>
      </w:pPr>
    </w:p>
    <w:p w14:paraId="345D9175">
      <w:pPr>
        <w:spacing w:line="360" w:lineRule="auto"/>
        <w:jc w:val="center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drawing>
          <wp:inline distT="0" distB="0" distL="114300" distR="114300">
            <wp:extent cx="6155055" cy="2753360"/>
            <wp:effectExtent l="0" t="0" r="17145" b="8890"/>
            <wp:docPr id="21" name="图片 21" descr="Fig S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Fig S1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55055" cy="275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210D8">
      <w:pPr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>Fig</w:t>
      </w:r>
      <w:r>
        <w:rPr>
          <w:rFonts w:hint="eastAsia" w:ascii="Times New Roman" w:hAnsi="Times New Roman" w:cs="Times New Roman"/>
          <w:color w:val="auto"/>
          <w:sz w:val="24"/>
        </w:rPr>
        <w:t>. S20. Fluorescence images of intracellular Fe</w:t>
      </w:r>
      <w:r>
        <w:rPr>
          <w:rFonts w:hint="eastAsia" w:ascii="Times New Roman" w:hAnsi="Times New Roman" w:cs="Times New Roman"/>
          <w:color w:val="auto"/>
          <w:sz w:val="24"/>
          <w:vertAlign w:val="superscript"/>
        </w:rPr>
        <w:t>2+</w:t>
      </w:r>
      <w:r>
        <w:rPr>
          <w:rFonts w:hint="eastAsia" w:ascii="Times New Roman" w:hAnsi="Times New Roman" w:cs="Times New Roman"/>
          <w:color w:val="auto"/>
          <w:sz w:val="24"/>
        </w:rPr>
        <w:t xml:space="preserve"> in HepG2 cells.</w:t>
      </w:r>
    </w:p>
    <w:p w14:paraId="586CF20E">
      <w:pPr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br w:type="page"/>
      </w:r>
    </w:p>
    <w:p w14:paraId="668ED6C7">
      <w:pPr>
        <w:spacing w:line="360" w:lineRule="auto"/>
        <w:jc w:val="center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drawing>
          <wp:inline distT="0" distB="0" distL="114300" distR="114300">
            <wp:extent cx="5269230" cy="3387090"/>
            <wp:effectExtent l="0" t="0" r="7620" b="3810"/>
            <wp:docPr id="28" name="图片 28" descr="Fig S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Fig S1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38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28C61">
      <w:pPr>
        <w:spacing w:line="360" w:lineRule="auto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>Fig</w:t>
      </w:r>
      <w:r>
        <w:rPr>
          <w:rFonts w:hint="eastAsia" w:ascii="Times New Roman" w:hAnsi="Times New Roman" w:cs="Times New Roman"/>
          <w:color w:val="auto"/>
          <w:sz w:val="24"/>
        </w:rPr>
        <w:t>. S21. Fluorescence images of intracellular GSH in HepG2 cells.</w:t>
      </w:r>
    </w:p>
    <w:p w14:paraId="786010EB">
      <w:pPr>
        <w:spacing w:line="360" w:lineRule="auto"/>
        <w:jc w:val="center"/>
        <w:rPr>
          <w:rFonts w:ascii="Times New Roman" w:hAnsi="Times New Roman" w:cs="Times New Roman"/>
          <w:color w:val="auto"/>
          <w:sz w:val="24"/>
        </w:rPr>
      </w:pPr>
    </w:p>
    <w:p w14:paraId="1876039B">
      <w:pPr>
        <w:spacing w:line="360" w:lineRule="auto"/>
        <w:jc w:val="center"/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drawing>
          <wp:inline distT="0" distB="0" distL="114300" distR="114300">
            <wp:extent cx="3364865" cy="2993390"/>
            <wp:effectExtent l="0" t="0" r="6985" b="16510"/>
            <wp:docPr id="30" name="图片 30" descr="Fig S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Fig S1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64865" cy="299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50B15">
      <w:pPr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>Fig</w:t>
      </w:r>
      <w:r>
        <w:rPr>
          <w:rFonts w:hint="eastAsia" w:ascii="Times New Roman" w:hAnsi="Times New Roman" w:cs="Times New Roman"/>
          <w:color w:val="auto"/>
          <w:sz w:val="24"/>
        </w:rPr>
        <w:t xml:space="preserve">. S22. Analysis of intracellular GSH in HepG2 cells </w:t>
      </w:r>
      <w:r>
        <w:rPr>
          <w:rFonts w:ascii="Times New Roman" w:hAnsi="Times New Roman" w:cs="Times New Roman"/>
          <w:color w:val="auto"/>
          <w:sz w:val="24"/>
        </w:rPr>
        <w:t>(</w:t>
      </w:r>
      <w:r>
        <w:rPr>
          <w:rFonts w:ascii="Times New Roman" w:hAnsi="Times New Roman" w:cs="Times New Roman"/>
          <w:i/>
          <w:iCs/>
          <w:color w:val="auto"/>
          <w:sz w:val="24"/>
        </w:rPr>
        <w:t>n</w:t>
      </w:r>
      <w:r>
        <w:rPr>
          <w:rFonts w:ascii="Times New Roman" w:hAnsi="Times New Roman" w:cs="Times New Roman"/>
          <w:color w:val="auto"/>
          <w:sz w:val="24"/>
        </w:rPr>
        <w:t xml:space="preserve"> = </w:t>
      </w:r>
      <w:r>
        <w:rPr>
          <w:rFonts w:hint="eastAsia" w:ascii="Times New Roman" w:hAnsi="Times New Roman" w:cs="Times New Roman"/>
          <w:color w:val="auto"/>
          <w:sz w:val="24"/>
        </w:rPr>
        <w:t>3</w:t>
      </w:r>
      <w:r>
        <w:rPr>
          <w:rFonts w:ascii="Times New Roman" w:hAnsi="Times New Roman" w:cs="Times New Roman"/>
          <w:color w:val="auto"/>
          <w:sz w:val="24"/>
        </w:rPr>
        <w:t>).</w:t>
      </w:r>
      <w:r>
        <w:rPr>
          <w:rFonts w:hint="eastAsia" w:ascii="Times New Roman" w:hAnsi="Times New Roman" w:cs="Times New Roman"/>
          <w:color w:val="auto"/>
          <w:sz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vertAlign w:val="superscript"/>
        </w:rPr>
        <w:t>**</w:t>
      </w:r>
      <w:r>
        <w:rPr>
          <w:rFonts w:ascii="Times New Roman" w:hAnsi="Times New Roman" w:cs="Times New Roman"/>
          <w:i/>
          <w:iCs/>
          <w:color w:val="auto"/>
          <w:sz w:val="24"/>
        </w:rPr>
        <w:t>p</w:t>
      </w:r>
      <w:r>
        <w:rPr>
          <w:rFonts w:ascii="Times New Roman" w:hAnsi="Times New Roman" w:cs="Times New Roman"/>
          <w:color w:val="auto"/>
          <w:sz w:val="24"/>
        </w:rPr>
        <w:t xml:space="preserve"> &lt; 0.0</w:t>
      </w:r>
      <w:r>
        <w:rPr>
          <w:rFonts w:hint="eastAsia" w:ascii="Times New Roman" w:hAnsi="Times New Roman" w:cs="Times New Roman"/>
          <w:color w:val="auto"/>
          <w:sz w:val="24"/>
        </w:rPr>
        <w:t>1,</w:t>
      </w:r>
      <w:r>
        <w:rPr>
          <w:rFonts w:ascii="Times New Roman" w:hAnsi="Times New Roman" w:cs="Times New Roman"/>
          <w:color w:val="auto"/>
          <w:sz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vertAlign w:val="superscript"/>
        </w:rPr>
        <w:t>***</w:t>
      </w:r>
      <w:r>
        <w:rPr>
          <w:rFonts w:ascii="Times New Roman" w:hAnsi="Times New Roman" w:cs="Times New Roman"/>
          <w:i/>
          <w:iCs/>
          <w:color w:val="auto"/>
          <w:sz w:val="24"/>
        </w:rPr>
        <w:t>p</w:t>
      </w:r>
      <w:r>
        <w:rPr>
          <w:rFonts w:ascii="Times New Roman" w:hAnsi="Times New Roman" w:cs="Times New Roman"/>
          <w:color w:val="auto"/>
          <w:sz w:val="24"/>
        </w:rPr>
        <w:t xml:space="preserve"> &lt; 0.0</w:t>
      </w:r>
      <w:r>
        <w:rPr>
          <w:rFonts w:hint="eastAsia" w:ascii="Times New Roman" w:hAnsi="Times New Roman" w:cs="Times New Roman"/>
          <w:color w:val="auto"/>
          <w:sz w:val="24"/>
        </w:rPr>
        <w:t>01.</w:t>
      </w:r>
    </w:p>
    <w:p w14:paraId="5F36D9D4">
      <w:pPr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br w:type="page"/>
      </w:r>
    </w:p>
    <w:p w14:paraId="564F7282">
      <w:pPr>
        <w:spacing w:line="360" w:lineRule="auto"/>
        <w:jc w:val="center"/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drawing>
          <wp:inline distT="0" distB="0" distL="114300" distR="114300">
            <wp:extent cx="3363595" cy="2991485"/>
            <wp:effectExtent l="0" t="0" r="8255" b="18415"/>
            <wp:docPr id="31" name="图片 31" descr="Fig S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Fig S1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363595" cy="299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8C390">
      <w:pPr>
        <w:spacing w:line="360" w:lineRule="auto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>Fig</w:t>
      </w:r>
      <w:r>
        <w:rPr>
          <w:rFonts w:hint="eastAsia" w:ascii="Times New Roman" w:hAnsi="Times New Roman" w:cs="Times New Roman"/>
          <w:color w:val="auto"/>
          <w:sz w:val="24"/>
        </w:rPr>
        <w:t xml:space="preserve">. S23. Analysis of intracellular MDA levels in HepG2 cells </w:t>
      </w:r>
      <w:r>
        <w:rPr>
          <w:rFonts w:ascii="Times New Roman" w:hAnsi="Times New Roman" w:cs="Times New Roman"/>
          <w:color w:val="auto"/>
          <w:sz w:val="24"/>
        </w:rPr>
        <w:t>(</w:t>
      </w:r>
      <w:r>
        <w:rPr>
          <w:rFonts w:ascii="Times New Roman" w:hAnsi="Times New Roman" w:cs="Times New Roman"/>
          <w:i/>
          <w:iCs/>
          <w:color w:val="auto"/>
          <w:sz w:val="24"/>
        </w:rPr>
        <w:t>n</w:t>
      </w:r>
      <w:r>
        <w:rPr>
          <w:rFonts w:ascii="Times New Roman" w:hAnsi="Times New Roman" w:cs="Times New Roman"/>
          <w:color w:val="auto"/>
          <w:sz w:val="24"/>
        </w:rPr>
        <w:t xml:space="preserve"> = </w:t>
      </w:r>
      <w:r>
        <w:rPr>
          <w:rFonts w:hint="eastAsia" w:ascii="Times New Roman" w:hAnsi="Times New Roman" w:cs="Times New Roman"/>
          <w:color w:val="auto"/>
          <w:sz w:val="24"/>
        </w:rPr>
        <w:t>3</w:t>
      </w:r>
      <w:r>
        <w:rPr>
          <w:rFonts w:ascii="Times New Roman" w:hAnsi="Times New Roman" w:cs="Times New Roman"/>
          <w:color w:val="auto"/>
          <w:sz w:val="24"/>
        </w:rPr>
        <w:t xml:space="preserve">). </w:t>
      </w:r>
      <w:r>
        <w:rPr>
          <w:rFonts w:ascii="Times New Roman" w:hAnsi="Times New Roman" w:cs="Times New Roman"/>
          <w:color w:val="auto"/>
          <w:sz w:val="24"/>
          <w:vertAlign w:val="superscript"/>
        </w:rPr>
        <w:t>**</w:t>
      </w:r>
      <w:r>
        <w:rPr>
          <w:rFonts w:ascii="Times New Roman" w:hAnsi="Times New Roman" w:cs="Times New Roman"/>
          <w:i/>
          <w:iCs/>
          <w:color w:val="auto"/>
          <w:sz w:val="24"/>
        </w:rPr>
        <w:t>p</w:t>
      </w:r>
      <w:r>
        <w:rPr>
          <w:rFonts w:ascii="Times New Roman" w:hAnsi="Times New Roman" w:cs="Times New Roman"/>
          <w:color w:val="auto"/>
          <w:sz w:val="24"/>
        </w:rPr>
        <w:t xml:space="preserve"> &lt; 0.0</w:t>
      </w:r>
      <w:r>
        <w:rPr>
          <w:rFonts w:hint="eastAsia" w:ascii="Times New Roman" w:hAnsi="Times New Roman" w:cs="Times New Roman"/>
          <w:color w:val="auto"/>
          <w:sz w:val="24"/>
        </w:rPr>
        <w:t>1,</w:t>
      </w:r>
      <w:r>
        <w:rPr>
          <w:rFonts w:ascii="Times New Roman" w:hAnsi="Times New Roman" w:cs="Times New Roman"/>
          <w:color w:val="auto"/>
          <w:sz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vertAlign w:val="superscript"/>
        </w:rPr>
        <w:t>***</w:t>
      </w:r>
      <w:r>
        <w:rPr>
          <w:rFonts w:ascii="Times New Roman" w:hAnsi="Times New Roman" w:cs="Times New Roman"/>
          <w:i/>
          <w:iCs/>
          <w:color w:val="auto"/>
          <w:sz w:val="24"/>
        </w:rPr>
        <w:t>p</w:t>
      </w:r>
      <w:r>
        <w:rPr>
          <w:rFonts w:ascii="Times New Roman" w:hAnsi="Times New Roman" w:cs="Times New Roman"/>
          <w:color w:val="auto"/>
          <w:sz w:val="24"/>
        </w:rPr>
        <w:t xml:space="preserve"> &lt; 0.0</w:t>
      </w:r>
      <w:r>
        <w:rPr>
          <w:rFonts w:hint="eastAsia" w:ascii="Times New Roman" w:hAnsi="Times New Roman" w:cs="Times New Roman"/>
          <w:color w:val="auto"/>
          <w:sz w:val="24"/>
        </w:rPr>
        <w:t>01.</w:t>
      </w:r>
    </w:p>
    <w:p w14:paraId="3CA33917">
      <w:pPr>
        <w:spacing w:line="360" w:lineRule="auto"/>
        <w:jc w:val="center"/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drawing>
          <wp:inline distT="0" distB="0" distL="114300" distR="114300">
            <wp:extent cx="4736465" cy="3103245"/>
            <wp:effectExtent l="0" t="0" r="6985" b="1905"/>
            <wp:docPr id="6" name="图片 6" descr="副图-蛋白柱状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副图-蛋白柱状图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736465" cy="310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1EFA9">
      <w:pPr>
        <w:spacing w:line="360" w:lineRule="auto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>Fig</w:t>
      </w:r>
      <w:r>
        <w:rPr>
          <w:rFonts w:hint="eastAsia" w:ascii="Times New Roman" w:hAnsi="Times New Roman" w:cs="Times New Roman"/>
          <w:color w:val="auto"/>
          <w:sz w:val="24"/>
        </w:rPr>
        <w:t>. S24. Western blot statistical quantification of cGAS, IFN</w:t>
      </w:r>
      <w:r>
        <w:rPr>
          <w:rFonts w:ascii="Times New Roman" w:hAnsi="Times New Roman" w:cs="Times New Roman"/>
          <w:color w:val="auto"/>
          <w:sz w:val="24"/>
        </w:rPr>
        <w:t>-β</w:t>
      </w:r>
      <w:r>
        <w:rPr>
          <w:rFonts w:hint="eastAsia" w:ascii="Times New Roman" w:hAnsi="Times New Roman" w:cs="Times New Roman"/>
          <w:color w:val="auto"/>
          <w:sz w:val="24"/>
        </w:rPr>
        <w:t xml:space="preserve">, p-IRF3/IRF3, p-STING/STING, and p-TBK1/TBK1. </w:t>
      </w:r>
      <w:r>
        <w:rPr>
          <w:rFonts w:ascii="Times New Roman" w:hAnsi="Times New Roman" w:cs="Times New Roman"/>
          <w:color w:val="auto"/>
          <w:sz w:val="24"/>
        </w:rPr>
        <w:t>(</w:t>
      </w:r>
      <w:r>
        <w:rPr>
          <w:rFonts w:ascii="Times New Roman" w:hAnsi="Times New Roman" w:cs="Times New Roman"/>
          <w:i/>
          <w:iCs/>
          <w:color w:val="auto"/>
          <w:sz w:val="24"/>
        </w:rPr>
        <w:t>n</w:t>
      </w:r>
      <w:r>
        <w:rPr>
          <w:rFonts w:ascii="Times New Roman" w:hAnsi="Times New Roman" w:cs="Times New Roman"/>
          <w:color w:val="auto"/>
          <w:sz w:val="24"/>
        </w:rPr>
        <w:t xml:space="preserve"> = 3). (Compared with the PZ@M-T, </w:t>
      </w:r>
      <w:r>
        <w:rPr>
          <w:rFonts w:ascii="Times New Roman" w:hAnsi="Times New Roman" w:cs="Times New Roman"/>
          <w:color w:val="auto"/>
          <w:sz w:val="24"/>
          <w:vertAlign w:val="superscript"/>
        </w:rPr>
        <w:t>*</w:t>
      </w:r>
      <w:r>
        <w:rPr>
          <w:rFonts w:ascii="Times New Roman" w:hAnsi="Times New Roman" w:cs="Times New Roman"/>
          <w:i/>
          <w:iCs/>
          <w:color w:val="auto"/>
          <w:sz w:val="24"/>
        </w:rPr>
        <w:t>p</w:t>
      </w:r>
      <w:r>
        <w:rPr>
          <w:rFonts w:ascii="Times New Roman" w:hAnsi="Times New Roman" w:cs="Times New Roman"/>
          <w:color w:val="auto"/>
          <w:sz w:val="24"/>
        </w:rPr>
        <w:t xml:space="preserve"> &lt; 0.05, </w:t>
      </w:r>
      <w:r>
        <w:rPr>
          <w:rFonts w:ascii="Times New Roman" w:hAnsi="Times New Roman" w:cs="Times New Roman"/>
          <w:color w:val="auto"/>
          <w:sz w:val="24"/>
          <w:vertAlign w:val="superscript"/>
        </w:rPr>
        <w:t>**</w:t>
      </w:r>
      <w:r>
        <w:rPr>
          <w:rFonts w:ascii="Times New Roman" w:hAnsi="Times New Roman" w:cs="Times New Roman"/>
          <w:i/>
          <w:iCs/>
          <w:color w:val="auto"/>
          <w:sz w:val="24"/>
        </w:rPr>
        <w:t>p</w:t>
      </w:r>
      <w:r>
        <w:rPr>
          <w:rFonts w:ascii="Times New Roman" w:hAnsi="Times New Roman" w:cs="Times New Roman"/>
          <w:color w:val="auto"/>
          <w:sz w:val="24"/>
        </w:rPr>
        <w:t xml:space="preserve"> &lt; 0.01, </w:t>
      </w:r>
      <w:r>
        <w:rPr>
          <w:rFonts w:ascii="Times New Roman" w:hAnsi="Times New Roman" w:cs="Times New Roman"/>
          <w:color w:val="auto"/>
          <w:sz w:val="24"/>
          <w:vertAlign w:val="superscript"/>
        </w:rPr>
        <w:t>***</w:t>
      </w:r>
      <w:r>
        <w:rPr>
          <w:rFonts w:ascii="Times New Roman" w:hAnsi="Times New Roman" w:cs="Times New Roman"/>
          <w:i/>
          <w:iCs/>
          <w:color w:val="auto"/>
          <w:sz w:val="24"/>
        </w:rPr>
        <w:t>p</w:t>
      </w:r>
      <w:r>
        <w:rPr>
          <w:rFonts w:ascii="Times New Roman" w:hAnsi="Times New Roman" w:cs="Times New Roman"/>
          <w:color w:val="auto"/>
          <w:sz w:val="24"/>
        </w:rPr>
        <w:t xml:space="preserve"> &lt; 0.001). </w:t>
      </w:r>
    </w:p>
    <w:p w14:paraId="7CE40B18">
      <w:pPr>
        <w:spacing w:line="360" w:lineRule="auto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drawing>
          <wp:inline distT="0" distB="0" distL="114300" distR="114300">
            <wp:extent cx="5268595" cy="3745865"/>
            <wp:effectExtent l="0" t="0" r="8255" b="6985"/>
            <wp:docPr id="12" name="图片 12" descr="副图-蛋白柱状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副图-蛋白柱状图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74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A9CB7">
      <w:pPr>
        <w:spacing w:line="360" w:lineRule="auto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>Fig</w:t>
      </w:r>
      <w:r>
        <w:rPr>
          <w:rFonts w:hint="eastAsia" w:ascii="Times New Roman" w:hAnsi="Times New Roman" w:cs="Times New Roman"/>
          <w:color w:val="auto"/>
          <w:sz w:val="24"/>
        </w:rPr>
        <w:t>. S25. Western blot statistical quantification of cGAS, IFN</w:t>
      </w:r>
      <w:r>
        <w:rPr>
          <w:rFonts w:ascii="Times New Roman" w:hAnsi="Times New Roman" w:cs="Times New Roman"/>
          <w:color w:val="auto"/>
          <w:sz w:val="24"/>
        </w:rPr>
        <w:t>-β</w:t>
      </w:r>
      <w:r>
        <w:rPr>
          <w:rFonts w:hint="eastAsia" w:ascii="Times New Roman" w:hAnsi="Times New Roman" w:cs="Times New Roman"/>
          <w:color w:val="auto"/>
          <w:sz w:val="24"/>
        </w:rPr>
        <w:t xml:space="preserve">, p-IRF3, p-STING, and p-TBK1. </w:t>
      </w:r>
      <w:r>
        <w:rPr>
          <w:rFonts w:ascii="Times New Roman" w:hAnsi="Times New Roman" w:cs="Times New Roman"/>
          <w:color w:val="auto"/>
          <w:sz w:val="24"/>
        </w:rPr>
        <w:t>(</w:t>
      </w:r>
      <w:r>
        <w:rPr>
          <w:rFonts w:ascii="Times New Roman" w:hAnsi="Times New Roman" w:cs="Times New Roman"/>
          <w:i/>
          <w:iCs/>
          <w:color w:val="auto"/>
          <w:sz w:val="24"/>
        </w:rPr>
        <w:t>n</w:t>
      </w:r>
      <w:r>
        <w:rPr>
          <w:rFonts w:ascii="Times New Roman" w:hAnsi="Times New Roman" w:cs="Times New Roman"/>
          <w:color w:val="auto"/>
          <w:sz w:val="24"/>
        </w:rPr>
        <w:t xml:space="preserve"> = 3).</w:t>
      </w:r>
    </w:p>
    <w:p w14:paraId="07AB0235">
      <w:pPr>
        <w:spacing w:line="360" w:lineRule="auto"/>
        <w:jc w:val="center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drawing>
          <wp:inline distT="0" distB="0" distL="114300" distR="114300">
            <wp:extent cx="5180330" cy="3807460"/>
            <wp:effectExtent l="0" t="0" r="1270" b="2540"/>
            <wp:docPr id="16" name="图片 16" descr="副图-蛋白柱状图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副图-蛋白柱状图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180330" cy="380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06A0B">
      <w:pPr>
        <w:spacing w:line="360" w:lineRule="auto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>Fig</w:t>
      </w:r>
      <w:r>
        <w:rPr>
          <w:rFonts w:hint="eastAsia" w:ascii="Times New Roman" w:hAnsi="Times New Roman" w:cs="Times New Roman"/>
          <w:color w:val="auto"/>
          <w:sz w:val="24"/>
        </w:rPr>
        <w:t>. S26. Western blot statistical quantification of GPX4, cGAS, IFN</w:t>
      </w:r>
      <w:r>
        <w:rPr>
          <w:rFonts w:ascii="Times New Roman" w:hAnsi="Times New Roman" w:cs="Times New Roman"/>
          <w:color w:val="auto"/>
          <w:sz w:val="24"/>
        </w:rPr>
        <w:t>-β</w:t>
      </w:r>
      <w:r>
        <w:rPr>
          <w:rFonts w:hint="eastAsia" w:ascii="Times New Roman" w:hAnsi="Times New Roman" w:cs="Times New Roman"/>
          <w:color w:val="auto"/>
          <w:sz w:val="24"/>
        </w:rPr>
        <w:t xml:space="preserve">, p-IRF3, p-STING, and p-TBK1. </w:t>
      </w:r>
      <w:r>
        <w:rPr>
          <w:rFonts w:ascii="Times New Roman" w:hAnsi="Times New Roman" w:cs="Times New Roman"/>
          <w:color w:val="auto"/>
          <w:sz w:val="24"/>
        </w:rPr>
        <w:t>(</w:t>
      </w:r>
      <w:r>
        <w:rPr>
          <w:rFonts w:ascii="Times New Roman" w:hAnsi="Times New Roman" w:cs="Times New Roman"/>
          <w:i/>
          <w:iCs/>
          <w:color w:val="auto"/>
          <w:sz w:val="24"/>
        </w:rPr>
        <w:t>n</w:t>
      </w:r>
      <w:r>
        <w:rPr>
          <w:rFonts w:ascii="Times New Roman" w:hAnsi="Times New Roman" w:cs="Times New Roman"/>
          <w:color w:val="auto"/>
          <w:sz w:val="24"/>
        </w:rPr>
        <w:t xml:space="preserve"> = 3).</w:t>
      </w:r>
    </w:p>
    <w:p w14:paraId="47710A14">
      <w:pPr>
        <w:spacing w:line="360" w:lineRule="auto"/>
        <w:jc w:val="center"/>
        <w:rPr>
          <w:rFonts w:hint="eastAsia" w:ascii="Times New Roman" w:hAnsi="Times New Roman" w:cs="Times New Roman" w:eastAsiaTheme="minorEastAsia"/>
          <w:color w:val="auto"/>
          <w:sz w:val="24"/>
          <w:lang w:eastAsia="zh-CN"/>
        </w:rPr>
      </w:pPr>
      <w:r>
        <w:rPr>
          <w:rFonts w:hint="eastAsia" w:ascii="Times New Roman" w:hAnsi="Times New Roman" w:cs="Times New Roman" w:eastAsiaTheme="minorEastAsia"/>
          <w:color w:val="auto"/>
          <w:sz w:val="24"/>
          <w:lang w:eastAsia="zh-CN"/>
        </w:rPr>
        <w:drawing>
          <wp:inline distT="0" distB="0" distL="114300" distR="114300">
            <wp:extent cx="3950335" cy="3363595"/>
            <wp:effectExtent l="0" t="0" r="0" b="0"/>
            <wp:docPr id="26" name="图片 26" descr="最后一天肿瘤体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最后一天肿瘤体积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950335" cy="3363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C7230">
      <w:pPr>
        <w:spacing w:line="360" w:lineRule="auto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>Fig</w:t>
      </w:r>
      <w:r>
        <w:rPr>
          <w:rFonts w:hint="eastAsia" w:ascii="Times New Roman" w:hAnsi="Times New Roman" w:cs="Times New Roman"/>
          <w:color w:val="auto"/>
          <w:sz w:val="24"/>
        </w:rPr>
        <w:t xml:space="preserve">. S27. Tumor volume of each group on the last day of treatment </w:t>
      </w:r>
      <w:r>
        <w:rPr>
          <w:rFonts w:ascii="Times New Roman" w:hAnsi="Times New Roman" w:cs="Times New Roman"/>
          <w:color w:val="auto"/>
          <w:sz w:val="24"/>
        </w:rPr>
        <w:t>(</w:t>
      </w:r>
      <w:r>
        <w:rPr>
          <w:rFonts w:ascii="Times New Roman" w:hAnsi="Times New Roman" w:cs="Times New Roman"/>
          <w:i/>
          <w:iCs/>
          <w:color w:val="auto"/>
          <w:sz w:val="24"/>
        </w:rPr>
        <w:t>n</w:t>
      </w:r>
      <w:r>
        <w:rPr>
          <w:rFonts w:ascii="Times New Roman" w:hAnsi="Times New Roman" w:cs="Times New Roman"/>
          <w:color w:val="auto"/>
          <w:sz w:val="24"/>
        </w:rPr>
        <w:t xml:space="preserve"> = </w:t>
      </w:r>
      <w:r>
        <w:rPr>
          <w:rFonts w:hint="eastAsia" w:ascii="Times New Roman" w:hAnsi="Times New Roman" w:cs="Times New Roman"/>
          <w:color w:val="auto"/>
          <w:sz w:val="24"/>
        </w:rPr>
        <w:t>6</w:t>
      </w:r>
      <w:r>
        <w:rPr>
          <w:rFonts w:ascii="Times New Roman" w:hAnsi="Times New Roman" w:cs="Times New Roman"/>
          <w:color w:val="auto"/>
          <w:sz w:val="24"/>
        </w:rPr>
        <w:t>)</w:t>
      </w:r>
      <w:r>
        <w:rPr>
          <w:rFonts w:hint="eastAsia" w:ascii="Times New Roman" w:hAnsi="Times New Roman" w:cs="Times New Roman"/>
          <w:color w:val="auto"/>
          <w:sz w:val="24"/>
        </w:rPr>
        <w:t xml:space="preserve">. </w:t>
      </w:r>
      <w:r>
        <w:rPr>
          <w:rFonts w:ascii="Times New Roman" w:hAnsi="Times New Roman" w:cs="Times New Roman"/>
          <w:color w:val="auto"/>
        </w:rPr>
        <w:t xml:space="preserve">(ns represents </w:t>
      </w:r>
      <w:r>
        <w:rPr>
          <w:rFonts w:ascii="Times New Roman" w:hAnsi="Times New Roman" w:cs="Times New Roman"/>
          <w:i/>
          <w:iCs/>
          <w:color w:val="auto"/>
        </w:rPr>
        <w:t>p</w:t>
      </w:r>
      <w:r>
        <w:rPr>
          <w:rFonts w:ascii="Times New Roman" w:hAnsi="Times New Roman" w:cs="Times New Roman"/>
          <w:color w:val="auto"/>
        </w:rPr>
        <w:t xml:space="preserve"> &gt; 0.05, compared with the PZ@M-T, </w:t>
      </w:r>
      <w:r>
        <w:rPr>
          <w:rFonts w:ascii="Times New Roman" w:hAnsi="Times New Roman" w:cs="Times New Roman"/>
          <w:color w:val="auto"/>
          <w:vertAlign w:val="superscript"/>
        </w:rPr>
        <w:t>*</w:t>
      </w:r>
      <w:r>
        <w:rPr>
          <w:rFonts w:ascii="Times New Roman" w:hAnsi="Times New Roman" w:cs="Times New Roman"/>
          <w:i/>
          <w:iCs/>
          <w:color w:val="auto"/>
        </w:rPr>
        <w:t>p</w:t>
      </w:r>
      <w:r>
        <w:rPr>
          <w:rFonts w:ascii="Times New Roman" w:hAnsi="Times New Roman" w:cs="Times New Roman"/>
          <w:color w:val="auto"/>
        </w:rPr>
        <w:t xml:space="preserve"> &lt; 0.05, </w:t>
      </w:r>
      <w:r>
        <w:rPr>
          <w:rFonts w:ascii="Times New Roman" w:hAnsi="Times New Roman" w:cs="Times New Roman"/>
          <w:color w:val="auto"/>
          <w:vertAlign w:val="superscript"/>
        </w:rPr>
        <w:t>**</w:t>
      </w:r>
      <w:r>
        <w:rPr>
          <w:rFonts w:ascii="Times New Roman" w:hAnsi="Times New Roman" w:cs="Times New Roman"/>
          <w:i/>
          <w:iCs/>
          <w:color w:val="auto"/>
        </w:rPr>
        <w:t>p</w:t>
      </w:r>
      <w:r>
        <w:rPr>
          <w:rFonts w:ascii="Times New Roman" w:hAnsi="Times New Roman" w:cs="Times New Roman"/>
          <w:color w:val="auto"/>
        </w:rPr>
        <w:t xml:space="preserve"> &lt; 0.01, </w:t>
      </w:r>
      <w:r>
        <w:rPr>
          <w:rFonts w:ascii="Times New Roman" w:hAnsi="Times New Roman" w:cs="Times New Roman"/>
          <w:color w:val="auto"/>
          <w:vertAlign w:val="superscript"/>
        </w:rPr>
        <w:t>***</w:t>
      </w:r>
      <w:r>
        <w:rPr>
          <w:rFonts w:ascii="Times New Roman" w:hAnsi="Times New Roman" w:cs="Times New Roman"/>
          <w:i/>
          <w:iCs/>
          <w:color w:val="auto"/>
        </w:rPr>
        <w:t>p</w:t>
      </w:r>
      <w:r>
        <w:rPr>
          <w:rFonts w:ascii="Times New Roman" w:hAnsi="Times New Roman" w:cs="Times New Roman"/>
          <w:color w:val="auto"/>
        </w:rPr>
        <w:t xml:space="preserve"> &lt; 0.001).</w:t>
      </w:r>
    </w:p>
    <w:p w14:paraId="4AD57BDF">
      <w:pPr>
        <w:rPr>
          <w:rFonts w:ascii="Times New Roman" w:hAnsi="Times New Roman" w:cs="Times New Roman"/>
          <w:color w:val="auto"/>
          <w:sz w:val="24"/>
        </w:rPr>
      </w:pPr>
    </w:p>
    <w:p w14:paraId="7AFDEB15">
      <w:pPr>
        <w:rPr>
          <w:rFonts w:ascii="Times New Roman" w:hAnsi="Times New Roman" w:cs="Times New Roman"/>
          <w:color w:val="auto"/>
          <w:sz w:val="24"/>
        </w:rPr>
      </w:pPr>
    </w:p>
    <w:p w14:paraId="7A3072FF">
      <w:pPr>
        <w:spacing w:line="360" w:lineRule="auto"/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drawing>
          <wp:inline distT="0" distB="0" distL="114300" distR="114300">
            <wp:extent cx="5269865" cy="2282190"/>
            <wp:effectExtent l="0" t="0" r="6985" b="3810"/>
            <wp:docPr id="43" name="图片 43" descr="副图-生长曲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副图-生长曲线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28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88FE8">
      <w:pPr>
        <w:spacing w:line="360" w:lineRule="auto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>Fig</w:t>
      </w:r>
      <w:r>
        <w:rPr>
          <w:rFonts w:hint="eastAsia" w:ascii="Times New Roman" w:hAnsi="Times New Roman" w:cs="Times New Roman"/>
          <w:color w:val="auto"/>
          <w:sz w:val="24"/>
        </w:rPr>
        <w:t>. S28. Tumor growth curves of each group.</w:t>
      </w:r>
    </w:p>
    <w:p w14:paraId="56758714">
      <w:pPr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br w:type="page"/>
      </w:r>
    </w:p>
    <w:p w14:paraId="75CBF543">
      <w:pPr>
        <w:spacing w:line="360" w:lineRule="auto"/>
        <w:jc w:val="center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drawing>
          <wp:inline distT="0" distB="0" distL="114300" distR="114300">
            <wp:extent cx="3823970" cy="3363595"/>
            <wp:effectExtent l="0" t="0" r="5080" b="8255"/>
            <wp:docPr id="33" name="图片 33" descr="Fig S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Fig S1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823970" cy="3363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CF3DE">
      <w:pPr>
        <w:spacing w:line="360" w:lineRule="auto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>Fig</w:t>
      </w:r>
      <w:r>
        <w:rPr>
          <w:rFonts w:hint="eastAsia" w:ascii="Times New Roman" w:hAnsi="Times New Roman" w:cs="Times New Roman"/>
          <w:color w:val="auto"/>
          <w:sz w:val="24"/>
        </w:rPr>
        <w:t xml:space="preserve">. S29. Body weight of each group on the last day of treatment </w:t>
      </w:r>
      <w:r>
        <w:rPr>
          <w:rFonts w:ascii="Times New Roman" w:hAnsi="Times New Roman" w:cs="Times New Roman"/>
          <w:color w:val="auto"/>
          <w:sz w:val="24"/>
        </w:rPr>
        <w:t>(</w:t>
      </w:r>
      <w:r>
        <w:rPr>
          <w:rFonts w:ascii="Times New Roman" w:hAnsi="Times New Roman" w:cs="Times New Roman"/>
          <w:i/>
          <w:iCs/>
          <w:color w:val="auto"/>
          <w:sz w:val="24"/>
        </w:rPr>
        <w:t>n</w:t>
      </w:r>
      <w:r>
        <w:rPr>
          <w:rFonts w:ascii="Times New Roman" w:hAnsi="Times New Roman" w:cs="Times New Roman"/>
          <w:color w:val="auto"/>
          <w:sz w:val="24"/>
        </w:rPr>
        <w:t xml:space="preserve"> = </w:t>
      </w:r>
      <w:r>
        <w:rPr>
          <w:rFonts w:hint="eastAsia" w:ascii="Times New Roman" w:hAnsi="Times New Roman" w:cs="Times New Roman"/>
          <w:color w:val="auto"/>
          <w:sz w:val="24"/>
        </w:rPr>
        <w:t>6</w:t>
      </w:r>
      <w:r>
        <w:rPr>
          <w:rFonts w:ascii="Times New Roman" w:hAnsi="Times New Roman" w:cs="Times New Roman"/>
          <w:color w:val="auto"/>
          <w:sz w:val="24"/>
        </w:rPr>
        <w:t>)</w:t>
      </w:r>
      <w:r>
        <w:rPr>
          <w:rFonts w:hint="eastAsia" w:ascii="Times New Roman" w:hAnsi="Times New Roman" w:cs="Times New Roman"/>
          <w:color w:val="auto"/>
          <w:sz w:val="24"/>
        </w:rPr>
        <w:t>.</w:t>
      </w:r>
    </w:p>
    <w:p w14:paraId="36744E1C">
      <w:pPr>
        <w:spacing w:line="360" w:lineRule="auto"/>
        <w:jc w:val="center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drawing>
          <wp:inline distT="0" distB="0" distL="114300" distR="114300">
            <wp:extent cx="5774690" cy="1506855"/>
            <wp:effectExtent l="0" t="0" r="16510" b="17145"/>
            <wp:docPr id="7" name="图片 7" descr="血液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血液_画板 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74690" cy="150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5666F">
      <w:pPr>
        <w:spacing w:line="360" w:lineRule="auto"/>
        <w:jc w:val="left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>Fig</w:t>
      </w:r>
      <w:r>
        <w:rPr>
          <w:rFonts w:hint="eastAsia" w:ascii="Times New Roman" w:hAnsi="Times New Roman" w:cs="Times New Roman"/>
          <w:color w:val="auto"/>
          <w:sz w:val="24"/>
        </w:rPr>
        <w:t>. S30. Hematological analysis of the mice. (A-D) WBC, RBC, HGB and PLT (</w:t>
      </w:r>
      <w:r>
        <w:rPr>
          <w:rFonts w:hint="eastAsia" w:ascii="Times New Roman" w:hAnsi="Times New Roman" w:cs="Times New Roman"/>
          <w:i/>
          <w:iCs/>
          <w:color w:val="auto"/>
          <w:sz w:val="24"/>
        </w:rPr>
        <w:t>n</w:t>
      </w:r>
      <w:r>
        <w:rPr>
          <w:rFonts w:hint="eastAsia" w:ascii="Times New Roman" w:hAnsi="Times New Roman" w:cs="Times New Roman"/>
          <w:color w:val="auto"/>
          <w:sz w:val="24"/>
        </w:rPr>
        <w:t xml:space="preserve"> = 3).</w:t>
      </w:r>
    </w:p>
    <w:p w14:paraId="49977722">
      <w:pPr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br w:type="page"/>
      </w:r>
    </w:p>
    <w:p w14:paraId="52C21FC7">
      <w:pPr>
        <w:spacing w:line="360" w:lineRule="auto"/>
        <w:jc w:val="left"/>
        <w:rPr>
          <w:rFonts w:ascii="Times New Roman" w:hAnsi="Times New Roman" w:cs="Times New Roman"/>
          <w:color w:val="auto"/>
          <w:sz w:val="24"/>
        </w:rPr>
      </w:pPr>
    </w:p>
    <w:p w14:paraId="7C49F99E">
      <w:pPr>
        <w:spacing w:line="360" w:lineRule="auto"/>
        <w:jc w:val="left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drawing>
          <wp:inline distT="0" distB="0" distL="114300" distR="114300">
            <wp:extent cx="5268595" cy="2726055"/>
            <wp:effectExtent l="0" t="0" r="8255" b="17145"/>
            <wp:docPr id="35" name="图片 35" descr="Fig S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Fig S2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72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A2AEB">
      <w:pPr>
        <w:spacing w:line="360" w:lineRule="auto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>Fig</w:t>
      </w:r>
      <w:r>
        <w:rPr>
          <w:rFonts w:hint="eastAsia" w:ascii="Times New Roman" w:hAnsi="Times New Roman" w:cs="Times New Roman"/>
          <w:color w:val="auto"/>
          <w:sz w:val="24"/>
        </w:rPr>
        <w:t>. S31. Blood biochemical analysis of the mice. (A-F) ALP, ALT, AST, CREA, UREA, and UA (</w:t>
      </w:r>
      <w:r>
        <w:rPr>
          <w:rFonts w:hint="eastAsia" w:ascii="Times New Roman" w:hAnsi="Times New Roman" w:cs="Times New Roman"/>
          <w:i/>
          <w:iCs/>
          <w:color w:val="auto"/>
          <w:sz w:val="24"/>
        </w:rPr>
        <w:t>n</w:t>
      </w:r>
      <w:r>
        <w:rPr>
          <w:rFonts w:hint="eastAsia" w:ascii="Times New Roman" w:hAnsi="Times New Roman" w:cs="Times New Roman"/>
          <w:color w:val="auto"/>
          <w:sz w:val="24"/>
        </w:rPr>
        <w:t xml:space="preserve">=3). </w:t>
      </w:r>
      <w:r>
        <w:rPr>
          <w:rFonts w:ascii="Times New Roman" w:hAnsi="Times New Roman" w:cs="Times New Roman"/>
          <w:color w:val="auto"/>
          <w:sz w:val="24"/>
          <w:vertAlign w:val="superscript"/>
        </w:rPr>
        <w:t>*</w:t>
      </w:r>
      <w:r>
        <w:rPr>
          <w:rFonts w:ascii="Times New Roman" w:hAnsi="Times New Roman" w:cs="Times New Roman"/>
          <w:i/>
          <w:iCs/>
          <w:color w:val="auto"/>
          <w:sz w:val="24"/>
        </w:rPr>
        <w:t>p</w:t>
      </w:r>
      <w:r>
        <w:rPr>
          <w:rFonts w:ascii="Times New Roman" w:hAnsi="Times New Roman" w:cs="Times New Roman"/>
          <w:color w:val="auto"/>
          <w:sz w:val="24"/>
        </w:rPr>
        <w:t xml:space="preserve"> &lt; 0.05</w:t>
      </w:r>
      <w:r>
        <w:rPr>
          <w:rFonts w:hint="eastAsia" w:ascii="Times New Roman" w:hAnsi="Times New Roman" w:cs="Times New Roman"/>
          <w:color w:val="auto"/>
          <w:sz w:val="24"/>
        </w:rPr>
        <w:t xml:space="preserve">, </w:t>
      </w:r>
      <w:r>
        <w:rPr>
          <w:rFonts w:ascii="Times New Roman" w:hAnsi="Times New Roman" w:cs="Times New Roman"/>
          <w:color w:val="auto"/>
          <w:sz w:val="24"/>
          <w:vertAlign w:val="superscript"/>
        </w:rPr>
        <w:t>**</w:t>
      </w:r>
      <w:r>
        <w:rPr>
          <w:rFonts w:ascii="Times New Roman" w:hAnsi="Times New Roman" w:cs="Times New Roman"/>
          <w:i/>
          <w:iCs/>
          <w:color w:val="auto"/>
          <w:sz w:val="24"/>
        </w:rPr>
        <w:t>p</w:t>
      </w:r>
      <w:r>
        <w:rPr>
          <w:rFonts w:ascii="Times New Roman" w:hAnsi="Times New Roman" w:cs="Times New Roman"/>
          <w:color w:val="auto"/>
          <w:sz w:val="24"/>
        </w:rPr>
        <w:t xml:space="preserve"> &lt; 0.0</w:t>
      </w:r>
      <w:r>
        <w:rPr>
          <w:rFonts w:hint="eastAsia" w:ascii="Times New Roman" w:hAnsi="Times New Roman" w:cs="Times New Roman"/>
          <w:color w:val="auto"/>
          <w:sz w:val="24"/>
        </w:rPr>
        <w:t xml:space="preserve">1, </w:t>
      </w:r>
      <w:r>
        <w:rPr>
          <w:rFonts w:ascii="Times New Roman" w:hAnsi="Times New Roman" w:cs="Times New Roman"/>
          <w:color w:val="auto"/>
          <w:sz w:val="24"/>
          <w:vertAlign w:val="superscript"/>
        </w:rPr>
        <w:t>***</w:t>
      </w:r>
      <w:r>
        <w:rPr>
          <w:rFonts w:ascii="Times New Roman" w:hAnsi="Times New Roman" w:cs="Times New Roman"/>
          <w:i/>
          <w:iCs/>
          <w:color w:val="auto"/>
          <w:sz w:val="24"/>
        </w:rPr>
        <w:t>p</w:t>
      </w:r>
      <w:r>
        <w:rPr>
          <w:rFonts w:ascii="Times New Roman" w:hAnsi="Times New Roman" w:cs="Times New Roman"/>
          <w:color w:val="auto"/>
          <w:sz w:val="24"/>
        </w:rPr>
        <w:t xml:space="preserve"> &lt; 0.0</w:t>
      </w:r>
      <w:r>
        <w:rPr>
          <w:rFonts w:hint="eastAsia" w:ascii="Times New Roman" w:hAnsi="Times New Roman" w:cs="Times New Roman"/>
          <w:color w:val="auto"/>
          <w:sz w:val="24"/>
        </w:rPr>
        <w:t>01 vs control group.</w:t>
      </w:r>
    </w:p>
    <w:p w14:paraId="644D5169">
      <w:pPr>
        <w:spacing w:line="360" w:lineRule="auto"/>
        <w:jc w:val="center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drawing>
          <wp:inline distT="0" distB="0" distL="114300" distR="114300">
            <wp:extent cx="5220335" cy="2592070"/>
            <wp:effectExtent l="0" t="0" r="18415" b="17780"/>
            <wp:docPr id="36" name="图片 36" descr="Fig S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Fig S2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20335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91366">
      <w:pPr>
        <w:spacing w:line="360" w:lineRule="auto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>Fig</w:t>
      </w:r>
      <w:r>
        <w:rPr>
          <w:rFonts w:hint="eastAsia" w:ascii="Times New Roman" w:hAnsi="Times New Roman" w:cs="Times New Roman"/>
          <w:color w:val="auto"/>
          <w:sz w:val="24"/>
        </w:rPr>
        <w:t>. S32. H&amp;E staining of main organs (heart, liver, spleen, lung and kidney).</w:t>
      </w:r>
    </w:p>
    <w:p w14:paraId="79A9D2E5">
      <w:pPr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br w:type="page"/>
      </w:r>
    </w:p>
    <w:p w14:paraId="030C86CB">
      <w:pPr>
        <w:spacing w:line="360" w:lineRule="auto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drawing>
          <wp:inline distT="0" distB="0" distL="0" distR="0">
            <wp:extent cx="5274310" cy="3176270"/>
            <wp:effectExtent l="0" t="0" r="2540" b="5080"/>
            <wp:docPr id="17388454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845431" name="图片 1"/>
                    <pic:cNvPicPr>
                      <a:picLocks noChangeAspect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7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BC6EE">
      <w:pPr>
        <w:spacing w:line="360" w:lineRule="auto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>Fig</w:t>
      </w:r>
      <w:r>
        <w:rPr>
          <w:rFonts w:hint="eastAsia" w:ascii="Times New Roman" w:hAnsi="Times New Roman" w:cs="Times New Roman"/>
          <w:color w:val="auto"/>
          <w:sz w:val="24"/>
        </w:rPr>
        <w:t>. S33. Zn</w:t>
      </w:r>
      <w:r>
        <w:rPr>
          <w:rFonts w:hint="eastAsia" w:ascii="Times New Roman" w:hAnsi="Times New Roman" w:cs="Times New Roman"/>
          <w:color w:val="auto"/>
          <w:sz w:val="24"/>
          <w:vertAlign w:val="superscript"/>
        </w:rPr>
        <w:t xml:space="preserve">2+ </w:t>
      </w:r>
      <w:r>
        <w:rPr>
          <w:rFonts w:hint="eastAsia" w:ascii="Times New Roman" w:hAnsi="Times New Roman" w:cs="Times New Roman"/>
          <w:color w:val="auto"/>
          <w:sz w:val="24"/>
        </w:rPr>
        <w:t>concentrations in tumors, heart, liver, spleen, lungs an</w:t>
      </w:r>
      <w:r>
        <w:rPr>
          <w:rFonts w:ascii="Times New Roman" w:hAnsi="Times New Roman" w:cs="Times New Roman"/>
          <w:color w:val="auto"/>
          <w:sz w:val="24"/>
        </w:rPr>
        <w:t>d kidneys (</w:t>
      </w:r>
      <w:r>
        <w:rPr>
          <w:rFonts w:ascii="Times New Roman" w:hAnsi="Times New Roman" w:cs="Times New Roman"/>
          <w:i/>
          <w:iCs/>
          <w:color w:val="auto"/>
          <w:sz w:val="24"/>
        </w:rPr>
        <w:t>n</w:t>
      </w:r>
      <w:r>
        <w:rPr>
          <w:rFonts w:ascii="Times New Roman" w:hAnsi="Times New Roman" w:cs="Times New Roman"/>
          <w:color w:val="auto"/>
          <w:sz w:val="24"/>
        </w:rPr>
        <w:t xml:space="preserve"> = 3). (ns represents </w:t>
      </w:r>
      <w:r>
        <w:rPr>
          <w:rFonts w:ascii="Times New Roman" w:hAnsi="Times New Roman" w:cs="Times New Roman"/>
          <w:i/>
          <w:iCs/>
          <w:color w:val="auto"/>
          <w:sz w:val="24"/>
        </w:rPr>
        <w:t>p</w:t>
      </w:r>
      <w:r>
        <w:rPr>
          <w:rFonts w:ascii="Times New Roman" w:hAnsi="Times New Roman" w:cs="Times New Roman"/>
          <w:color w:val="auto"/>
          <w:sz w:val="24"/>
        </w:rPr>
        <w:t xml:space="preserve"> &gt; 0.05, compared with the PZ@M-T, </w:t>
      </w:r>
      <w:r>
        <w:rPr>
          <w:rFonts w:ascii="Times New Roman" w:hAnsi="Times New Roman" w:cs="Times New Roman"/>
          <w:color w:val="auto"/>
          <w:sz w:val="24"/>
          <w:vertAlign w:val="superscript"/>
        </w:rPr>
        <w:t>*</w:t>
      </w:r>
      <w:r>
        <w:rPr>
          <w:rFonts w:ascii="Times New Roman" w:hAnsi="Times New Roman" w:cs="Times New Roman"/>
          <w:i/>
          <w:iCs/>
          <w:color w:val="auto"/>
          <w:sz w:val="24"/>
        </w:rPr>
        <w:t>p</w:t>
      </w:r>
      <w:r>
        <w:rPr>
          <w:rFonts w:ascii="Times New Roman" w:hAnsi="Times New Roman" w:cs="Times New Roman"/>
          <w:color w:val="auto"/>
          <w:sz w:val="24"/>
        </w:rPr>
        <w:t xml:space="preserve"> &lt; 0.05, </w:t>
      </w:r>
      <w:r>
        <w:rPr>
          <w:rFonts w:ascii="Times New Roman" w:hAnsi="Times New Roman" w:cs="Times New Roman"/>
          <w:color w:val="auto"/>
          <w:sz w:val="24"/>
          <w:vertAlign w:val="superscript"/>
        </w:rPr>
        <w:t>**</w:t>
      </w:r>
      <w:r>
        <w:rPr>
          <w:rFonts w:ascii="Times New Roman" w:hAnsi="Times New Roman" w:cs="Times New Roman"/>
          <w:i/>
          <w:iCs/>
          <w:color w:val="auto"/>
          <w:sz w:val="24"/>
        </w:rPr>
        <w:t>p</w:t>
      </w:r>
      <w:r>
        <w:rPr>
          <w:rFonts w:ascii="Times New Roman" w:hAnsi="Times New Roman" w:cs="Times New Roman"/>
          <w:color w:val="auto"/>
          <w:sz w:val="24"/>
        </w:rPr>
        <w:t xml:space="preserve"> &lt; 0.01, </w:t>
      </w:r>
      <w:r>
        <w:rPr>
          <w:rFonts w:ascii="Times New Roman" w:hAnsi="Times New Roman" w:cs="Times New Roman"/>
          <w:color w:val="auto"/>
          <w:sz w:val="24"/>
          <w:vertAlign w:val="superscript"/>
        </w:rPr>
        <w:t>***</w:t>
      </w:r>
      <w:r>
        <w:rPr>
          <w:rFonts w:ascii="Times New Roman" w:hAnsi="Times New Roman" w:cs="Times New Roman"/>
          <w:i/>
          <w:iCs/>
          <w:color w:val="auto"/>
          <w:sz w:val="24"/>
        </w:rPr>
        <w:t>p</w:t>
      </w:r>
      <w:r>
        <w:rPr>
          <w:rFonts w:ascii="Times New Roman" w:hAnsi="Times New Roman" w:cs="Times New Roman"/>
          <w:color w:val="auto"/>
          <w:sz w:val="24"/>
        </w:rPr>
        <w:t xml:space="preserve"> &lt; 0.001).</w:t>
      </w:r>
    </w:p>
    <w:p w14:paraId="7D2B603E">
      <w:pPr>
        <w:spacing w:line="360" w:lineRule="auto"/>
        <w:rPr>
          <w:rFonts w:hint="eastAsia" w:ascii="Times New Roman" w:hAnsi="Times New Roman" w:cs="Times New Roman" w:eastAsiaTheme="minorEastAsia"/>
          <w:color w:val="auto"/>
          <w:sz w:val="24"/>
          <w:lang w:eastAsia="zh-CN"/>
        </w:rPr>
      </w:pPr>
      <w:r>
        <w:rPr>
          <w:rFonts w:hint="eastAsia" w:ascii="Times New Roman" w:hAnsi="Times New Roman" w:cs="Times New Roman" w:eastAsiaTheme="minorEastAsia"/>
          <w:color w:val="auto"/>
          <w:sz w:val="24"/>
          <w:lang w:eastAsia="zh-CN"/>
        </w:rPr>
        <w:drawing>
          <wp:inline distT="0" distB="0" distL="114300" distR="114300">
            <wp:extent cx="4366895" cy="3550285"/>
            <wp:effectExtent l="0" t="0" r="14605" b="12065"/>
            <wp:docPr id="37" name="图片 37" descr="门控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门控_画板 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366895" cy="355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81BD2">
      <w:pPr>
        <w:spacing w:line="360" w:lineRule="auto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>Fig</w:t>
      </w:r>
      <w:r>
        <w:rPr>
          <w:rFonts w:hint="eastAsia" w:ascii="Times New Roman" w:hAnsi="Times New Roman" w:cs="Times New Roman"/>
          <w:color w:val="auto"/>
          <w:sz w:val="24"/>
        </w:rPr>
        <w:t>. S34. Gating strategy plot of dendritic cells (A), macrophages (B), T cells (C), and Tregs (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D</w:t>
      </w:r>
      <w:r>
        <w:rPr>
          <w:rFonts w:hint="eastAsia" w:ascii="Times New Roman" w:hAnsi="Times New Roman" w:cs="Times New Roman"/>
          <w:color w:val="auto"/>
          <w:sz w:val="24"/>
        </w:rPr>
        <w:t>).</w:t>
      </w:r>
    </w:p>
    <w:p w14:paraId="2BEFECFB">
      <w:pPr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br w:type="page"/>
      </w:r>
    </w:p>
    <w:p w14:paraId="2E631AAC">
      <w:pPr>
        <w:spacing w:line="360" w:lineRule="auto"/>
        <w:rPr>
          <w:rFonts w:hint="eastAsia" w:ascii="Times New Roman" w:hAnsi="Times New Roman" w:cs="Times New Roman" w:eastAsiaTheme="minorEastAsia"/>
          <w:color w:val="auto"/>
          <w:sz w:val="24"/>
          <w:lang w:eastAsia="zh-CN"/>
        </w:rPr>
      </w:pPr>
      <w:r>
        <w:rPr>
          <w:rFonts w:hint="eastAsia" w:ascii="Times New Roman" w:hAnsi="Times New Roman" w:cs="Times New Roman" w:eastAsiaTheme="minorEastAsia"/>
          <w:color w:val="auto"/>
          <w:sz w:val="24"/>
          <w:lang w:eastAsia="zh-CN"/>
        </w:rPr>
        <w:drawing>
          <wp:inline distT="0" distB="0" distL="114300" distR="114300">
            <wp:extent cx="5267325" cy="2934970"/>
            <wp:effectExtent l="0" t="0" r="9525" b="17780"/>
            <wp:docPr id="32" name="图片 32" descr="巨噬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巨噬_画板 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3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89C1F">
      <w:pPr>
        <w:spacing w:line="360" w:lineRule="auto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>Fig</w:t>
      </w:r>
      <w:r>
        <w:rPr>
          <w:rFonts w:hint="eastAsia" w:ascii="Times New Roman" w:hAnsi="Times New Roman" w:cs="Times New Roman"/>
          <w:color w:val="auto"/>
          <w:sz w:val="24"/>
        </w:rPr>
        <w:t xml:space="preserve">. S35. </w:t>
      </w:r>
      <w:r>
        <w:rPr>
          <w:rFonts w:ascii="Times New Roman" w:hAnsi="Times New Roman" w:cs="Times New Roman"/>
          <w:color w:val="auto"/>
          <w:sz w:val="24"/>
        </w:rPr>
        <w:t>Representative flow cytometric plots</w:t>
      </w:r>
      <w:r>
        <w:rPr>
          <w:rFonts w:hint="eastAsia" w:ascii="Times New Roman" w:hAnsi="Times New Roman" w:cs="Times New Roman"/>
          <w:color w:val="auto"/>
          <w:sz w:val="24"/>
        </w:rPr>
        <w:t xml:space="preserve"> of </w:t>
      </w:r>
      <w:r>
        <w:rPr>
          <w:rFonts w:ascii="Times New Roman" w:hAnsi="Times New Roman" w:cs="Times New Roman"/>
          <w:color w:val="auto"/>
          <w:sz w:val="24"/>
        </w:rPr>
        <w:t xml:space="preserve">M2-TAMs </w:t>
      </w:r>
      <w:r>
        <w:rPr>
          <w:rFonts w:ascii="Times New Roman" w:hAnsi="Times New Roman" w:cs="Times New Roman"/>
          <w:color w:val="auto"/>
          <w:sz w:val="24"/>
        </w:rPr>
        <w:t>(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CD86</w:t>
      </w:r>
      <w:r>
        <w:rPr>
          <w:rFonts w:hint="eastAsia" w:ascii="Times New Roman" w:hAnsi="Times New Roman" w:cs="Times New Roman"/>
          <w:color w:val="auto"/>
          <w:sz w:val="24"/>
          <w:vertAlign w:val="superscript"/>
          <w:lang w:val="en-US" w:eastAsia="zh-CN"/>
        </w:rPr>
        <w:t>-</w:t>
      </w:r>
      <w:r>
        <w:rPr>
          <w:rFonts w:ascii="Times New Roman" w:hAnsi="Times New Roman" w:cs="Times New Roman"/>
          <w:color w:val="auto"/>
          <w:sz w:val="24"/>
        </w:rPr>
        <w:t>CD206</w:t>
      </w:r>
      <w:r>
        <w:rPr>
          <w:rFonts w:ascii="Times New Roman" w:hAnsi="Times New Roman" w:cs="Times New Roman"/>
          <w:color w:val="auto"/>
          <w:sz w:val="24"/>
          <w:vertAlign w:val="superscript"/>
        </w:rPr>
        <w:t>+</w:t>
      </w:r>
      <w:r>
        <w:rPr>
          <w:rFonts w:ascii="Times New Roman" w:hAnsi="Times New Roman" w:cs="Times New Roman"/>
          <w:color w:val="auto"/>
          <w:sz w:val="24"/>
        </w:rPr>
        <w:t>)</w:t>
      </w:r>
      <w:r>
        <w:rPr>
          <w:rFonts w:ascii="Times New Roman" w:hAnsi="Times New Roman" w:cs="Times New Roman"/>
          <w:color w:val="auto"/>
          <w:sz w:val="24"/>
        </w:rPr>
        <w:t xml:space="preserve"> cells</w:t>
      </w:r>
      <w:r>
        <w:rPr>
          <w:rFonts w:hint="eastAsia" w:ascii="Times New Roman" w:hAnsi="Times New Roman" w:cs="Times New Roman"/>
          <w:color w:val="auto"/>
          <w:sz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</w:rPr>
        <w:t xml:space="preserve">and M1-TAMs </w:t>
      </w:r>
      <w:r>
        <w:rPr>
          <w:rFonts w:ascii="Times New Roman" w:hAnsi="Times New Roman" w:cs="Times New Roman"/>
          <w:color w:val="auto"/>
          <w:sz w:val="24"/>
        </w:rPr>
        <w:t>(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CD86</w:t>
      </w:r>
      <w:r>
        <w:rPr>
          <w:rFonts w:ascii="Times New Roman" w:hAnsi="Times New Roman" w:cs="Times New Roman"/>
          <w:color w:val="auto"/>
          <w:sz w:val="24"/>
          <w:vertAlign w:val="superscript"/>
        </w:rPr>
        <w:t>+</w:t>
      </w:r>
      <w:r>
        <w:rPr>
          <w:rFonts w:ascii="Times New Roman" w:hAnsi="Times New Roman" w:cs="Times New Roman"/>
          <w:color w:val="auto"/>
          <w:sz w:val="24"/>
        </w:rPr>
        <w:t>CD206</w:t>
      </w:r>
      <w:r>
        <w:rPr>
          <w:rFonts w:hint="eastAsia" w:ascii="Times New Roman" w:hAnsi="Times New Roman" w:cs="Times New Roman"/>
          <w:color w:val="auto"/>
          <w:sz w:val="24"/>
          <w:vertAlign w:val="superscript"/>
          <w:lang w:val="en-US" w:eastAsia="zh-CN"/>
        </w:rPr>
        <w:t>-</w:t>
      </w:r>
      <w:r>
        <w:rPr>
          <w:rFonts w:ascii="Times New Roman" w:hAnsi="Times New Roman" w:cs="Times New Roman"/>
          <w:color w:val="auto"/>
          <w:sz w:val="24"/>
        </w:rPr>
        <w:t>)</w:t>
      </w:r>
      <w:r>
        <w:rPr>
          <w:rFonts w:hint="eastAsia" w:ascii="Times New Roman" w:hAnsi="Times New Roman" w:cs="Times New Roman"/>
          <w:color w:val="auto"/>
          <w:sz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</w:rPr>
        <w:t>in tumors</w:t>
      </w:r>
      <w:r>
        <w:rPr>
          <w:rFonts w:hint="eastAsia" w:ascii="Times New Roman" w:hAnsi="Times New Roman" w:cs="Times New Roman"/>
          <w:color w:val="auto"/>
          <w:sz w:val="24"/>
        </w:rPr>
        <w:t>.</w:t>
      </w:r>
    </w:p>
    <w:p w14:paraId="72EE8ED5">
      <w:pPr>
        <w:spacing w:line="360" w:lineRule="auto"/>
        <w:jc w:val="center"/>
        <w:rPr>
          <w:rFonts w:hint="eastAsia" w:ascii="Times New Roman" w:hAnsi="Times New Roman" w:cs="Times New Roman" w:eastAsiaTheme="minorEastAsia"/>
          <w:color w:val="auto"/>
          <w:sz w:val="24"/>
          <w:lang w:eastAsia="zh-CN"/>
        </w:rPr>
      </w:pPr>
      <w:r>
        <w:rPr>
          <w:rFonts w:hint="eastAsia" w:ascii="Times New Roman" w:hAnsi="Times New Roman" w:cs="Times New Roman" w:eastAsiaTheme="minorEastAsia"/>
          <w:color w:val="auto"/>
          <w:sz w:val="24"/>
          <w:lang w:eastAsia="zh-CN"/>
        </w:rPr>
        <w:drawing>
          <wp:inline distT="0" distB="0" distL="114300" distR="114300">
            <wp:extent cx="5271770" cy="3120390"/>
            <wp:effectExtent l="0" t="0" r="0" b="0"/>
            <wp:docPr id="15" name="图片 15" descr="Tregs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Tregs_画板 1"/>
                    <pic:cNvPicPr>
                      <a:picLocks noChangeAspect="1"/>
                    </pic:cNvPicPr>
                  </pic:nvPicPr>
                  <pic:blipFill>
                    <a:blip r:embed="rId39"/>
                    <a:srcRect b="1628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12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2A948">
      <w:pPr>
        <w:spacing w:line="360" w:lineRule="auto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>Fig</w:t>
      </w:r>
      <w:r>
        <w:rPr>
          <w:rFonts w:hint="eastAsia" w:ascii="Times New Roman" w:hAnsi="Times New Roman" w:cs="Times New Roman"/>
          <w:color w:val="auto"/>
          <w:sz w:val="24"/>
        </w:rPr>
        <w:t>. S</w:t>
      </w:r>
      <w:r>
        <w:rPr>
          <w:rFonts w:hint="eastAsia" w:ascii="Times New Roman" w:hAnsi="Times New Roman" w:cs="Times New Roman"/>
          <w:color w:val="auto"/>
          <w:sz w:val="24"/>
        </w:rPr>
        <w:t>3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6</w:t>
      </w:r>
      <w:r>
        <w:rPr>
          <w:rFonts w:hint="eastAsia" w:ascii="Times New Roman" w:hAnsi="Times New Roman" w:cs="Times New Roman"/>
          <w:color w:val="auto"/>
          <w:sz w:val="24"/>
        </w:rPr>
        <w:t>.</w:t>
      </w:r>
      <w:r>
        <w:rPr>
          <w:rFonts w:hint="eastAsia" w:ascii="Times New Roman" w:hAnsi="Times New Roman" w:cs="Times New Roman"/>
          <w:color w:val="auto"/>
          <w:sz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</w:rPr>
        <w:t>Representative flow cytometric plots of Tregs (Foxp3</w:t>
      </w:r>
      <w:r>
        <w:rPr>
          <w:rFonts w:ascii="Times New Roman" w:hAnsi="Times New Roman" w:cs="Times New Roman"/>
          <w:color w:val="auto"/>
          <w:sz w:val="24"/>
          <w:vertAlign w:val="superscript"/>
        </w:rPr>
        <w:t>+</w:t>
      </w:r>
      <w:r>
        <w:rPr>
          <w:rFonts w:ascii="Times New Roman" w:hAnsi="Times New Roman" w:cs="Times New Roman"/>
          <w:color w:val="auto"/>
          <w:sz w:val="24"/>
        </w:rPr>
        <w:t>CD25</w:t>
      </w:r>
      <w:r>
        <w:rPr>
          <w:rFonts w:ascii="Times New Roman" w:hAnsi="Times New Roman" w:cs="Times New Roman"/>
          <w:color w:val="auto"/>
          <w:sz w:val="24"/>
          <w:vertAlign w:val="superscript"/>
        </w:rPr>
        <w:t>+</w:t>
      </w:r>
      <w:r>
        <w:rPr>
          <w:rFonts w:ascii="Times New Roman" w:hAnsi="Times New Roman" w:cs="Times New Roman"/>
          <w:color w:val="auto"/>
          <w:sz w:val="24"/>
        </w:rPr>
        <w:t>) in tumors.</w:t>
      </w:r>
    </w:p>
    <w:p w14:paraId="44EA78AA">
      <w:pPr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br w:type="page"/>
      </w:r>
    </w:p>
    <w:p w14:paraId="680F12DF">
      <w:pPr>
        <w:spacing w:line="360" w:lineRule="auto"/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drawing>
          <wp:inline distT="0" distB="0" distL="114300" distR="114300">
            <wp:extent cx="5267325" cy="4324350"/>
            <wp:effectExtent l="0" t="0" r="9525" b="0"/>
            <wp:docPr id="27" name="图片 27" descr="副图-TIM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副图-TIM-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3E388">
      <w:pPr>
        <w:spacing w:line="360" w:lineRule="auto"/>
        <w:rPr>
          <w:rFonts w:ascii="Times New Roman" w:hAnsi="Times New Roman" w:cs="Times New Roman"/>
          <w:color w:val="auto"/>
          <w:sz w:val="24"/>
          <w:szCs w:val="32"/>
        </w:rPr>
      </w:pPr>
      <w:bookmarkStart w:id="3" w:name="OLE_LINK3"/>
      <w:r>
        <w:rPr>
          <w:rFonts w:ascii="Times New Roman" w:hAnsi="Times New Roman" w:cs="Times New Roman"/>
          <w:color w:val="auto"/>
          <w:sz w:val="24"/>
        </w:rPr>
        <w:t>Fig</w:t>
      </w:r>
      <w:r>
        <w:rPr>
          <w:rFonts w:hint="eastAsia" w:ascii="Times New Roman" w:hAnsi="Times New Roman" w:cs="Times New Roman"/>
          <w:color w:val="auto"/>
          <w:sz w:val="24"/>
        </w:rPr>
        <w:t>. S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37</w:t>
      </w:r>
      <w:r>
        <w:rPr>
          <w:rFonts w:hint="eastAsia" w:ascii="Times New Roman" w:hAnsi="Times New Roman" w:cs="Times New Roman"/>
          <w:color w:val="auto"/>
          <w:sz w:val="24"/>
        </w:rPr>
        <w:t xml:space="preserve">. </w:t>
      </w:r>
      <w:r>
        <w:rPr>
          <w:rFonts w:ascii="Times New Roman" w:hAnsi="Times New Roman" w:cs="Times New Roman"/>
          <w:color w:val="auto"/>
          <w:sz w:val="24"/>
          <w:szCs w:val="32"/>
        </w:rPr>
        <w:t xml:space="preserve">Immunofluorescence staining of CD8 and </w:t>
      </w:r>
      <w:r>
        <w:rPr>
          <w:rFonts w:hint="eastAsia" w:ascii="Times New Roman" w:hAnsi="Times New Roman" w:cs="Times New Roman"/>
          <w:color w:val="auto"/>
          <w:sz w:val="24"/>
          <w:szCs w:val="32"/>
        </w:rPr>
        <w:t>TIM-3</w:t>
      </w:r>
      <w:r>
        <w:rPr>
          <w:rFonts w:ascii="Times New Roman" w:hAnsi="Times New Roman" w:cs="Times New Roman"/>
          <w:color w:val="auto"/>
          <w:sz w:val="24"/>
          <w:szCs w:val="32"/>
        </w:rPr>
        <w:t xml:space="preserve"> in tumors.</w:t>
      </w:r>
    </w:p>
    <w:bookmarkEnd w:id="3"/>
    <w:p w14:paraId="4E5F0DD2">
      <w:pPr>
        <w:spacing w:line="360" w:lineRule="auto"/>
        <w:jc w:val="center"/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drawing>
          <wp:inline distT="0" distB="0" distL="114300" distR="114300">
            <wp:extent cx="4771390" cy="3658235"/>
            <wp:effectExtent l="0" t="0" r="0" b="0"/>
            <wp:docPr id="46" name="图片 46" descr="副图-CD103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副图-CD103_画板 1"/>
                    <pic:cNvPicPr>
                      <a:picLocks noChangeAspect="1"/>
                    </pic:cNvPicPr>
                  </pic:nvPicPr>
                  <pic:blipFill>
                    <a:blip r:embed="rId41"/>
                    <a:srcRect r="9481" b="1857"/>
                    <a:stretch>
                      <a:fillRect/>
                    </a:stretch>
                  </pic:blipFill>
                  <pic:spPr>
                    <a:xfrm>
                      <a:off x="0" y="0"/>
                      <a:ext cx="4771390" cy="365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21685">
      <w:pPr>
        <w:spacing w:line="360" w:lineRule="auto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>Fig</w:t>
      </w:r>
      <w:r>
        <w:rPr>
          <w:rFonts w:hint="eastAsia" w:ascii="Times New Roman" w:hAnsi="Times New Roman" w:cs="Times New Roman"/>
          <w:color w:val="auto"/>
          <w:sz w:val="24"/>
        </w:rPr>
        <w:t>. S</w:t>
      </w:r>
      <w:r>
        <w:rPr>
          <w:rFonts w:hint="eastAsia" w:ascii="Times New Roman" w:hAnsi="Times New Roman" w:cs="Times New Roman"/>
          <w:color w:val="auto"/>
          <w:sz w:val="24"/>
        </w:rPr>
        <w:t>3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8</w:t>
      </w:r>
      <w:r>
        <w:rPr>
          <w:rFonts w:hint="eastAsia" w:ascii="Times New Roman" w:hAnsi="Times New Roman" w:cs="Times New Roman"/>
          <w:color w:val="auto"/>
          <w:sz w:val="24"/>
        </w:rPr>
        <w:t xml:space="preserve">. </w:t>
      </w:r>
      <w:r>
        <w:rPr>
          <w:rFonts w:ascii="Times New Roman" w:hAnsi="Times New Roman" w:cs="Times New Roman"/>
          <w:color w:val="auto"/>
          <w:sz w:val="24"/>
          <w:szCs w:val="32"/>
        </w:rPr>
        <w:t xml:space="preserve">Immunofluorescence staining of CD8 and </w:t>
      </w:r>
      <w:r>
        <w:rPr>
          <w:rFonts w:hint="eastAsia" w:ascii="Times New Roman" w:hAnsi="Times New Roman" w:cs="Times New Roman"/>
          <w:color w:val="auto"/>
          <w:sz w:val="24"/>
          <w:szCs w:val="32"/>
        </w:rPr>
        <w:t>CD103</w:t>
      </w:r>
      <w:r>
        <w:rPr>
          <w:rFonts w:ascii="Times New Roman" w:hAnsi="Times New Roman" w:cs="Times New Roman"/>
          <w:color w:val="auto"/>
          <w:sz w:val="24"/>
          <w:szCs w:val="32"/>
        </w:rPr>
        <w:t xml:space="preserve"> in tumors.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6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DC754D"/>
    <w:rsid w:val="000848D1"/>
    <w:rsid w:val="000C6C8C"/>
    <w:rsid w:val="000D2D84"/>
    <w:rsid w:val="001C7592"/>
    <w:rsid w:val="001F5459"/>
    <w:rsid w:val="00281F21"/>
    <w:rsid w:val="00283DBA"/>
    <w:rsid w:val="00295C21"/>
    <w:rsid w:val="002D5CDB"/>
    <w:rsid w:val="003F6C5E"/>
    <w:rsid w:val="00466875"/>
    <w:rsid w:val="0049374A"/>
    <w:rsid w:val="004E609B"/>
    <w:rsid w:val="00596689"/>
    <w:rsid w:val="005B073B"/>
    <w:rsid w:val="005F61FA"/>
    <w:rsid w:val="00667C1A"/>
    <w:rsid w:val="006D6466"/>
    <w:rsid w:val="006F67D2"/>
    <w:rsid w:val="007A45B5"/>
    <w:rsid w:val="00804885"/>
    <w:rsid w:val="008C6913"/>
    <w:rsid w:val="008D5544"/>
    <w:rsid w:val="00945592"/>
    <w:rsid w:val="00955DB3"/>
    <w:rsid w:val="00964F32"/>
    <w:rsid w:val="00993726"/>
    <w:rsid w:val="00A82D24"/>
    <w:rsid w:val="00B35EF6"/>
    <w:rsid w:val="00B43A80"/>
    <w:rsid w:val="00B95DB9"/>
    <w:rsid w:val="00BF7454"/>
    <w:rsid w:val="00C065C0"/>
    <w:rsid w:val="00C11121"/>
    <w:rsid w:val="00C313EB"/>
    <w:rsid w:val="00D05E88"/>
    <w:rsid w:val="00D3421E"/>
    <w:rsid w:val="00E41D64"/>
    <w:rsid w:val="00E86AC3"/>
    <w:rsid w:val="00ED03E7"/>
    <w:rsid w:val="00EF4DD5"/>
    <w:rsid w:val="00F6488D"/>
    <w:rsid w:val="00FB33B4"/>
    <w:rsid w:val="00FC7051"/>
    <w:rsid w:val="00FF4C94"/>
    <w:rsid w:val="03960AF1"/>
    <w:rsid w:val="05F91C29"/>
    <w:rsid w:val="071A6028"/>
    <w:rsid w:val="076A35FC"/>
    <w:rsid w:val="0C462ADE"/>
    <w:rsid w:val="0FDF024E"/>
    <w:rsid w:val="111E04D3"/>
    <w:rsid w:val="12943808"/>
    <w:rsid w:val="13E008B9"/>
    <w:rsid w:val="161B4FF2"/>
    <w:rsid w:val="16E557E9"/>
    <w:rsid w:val="16EF2EA3"/>
    <w:rsid w:val="170654D2"/>
    <w:rsid w:val="19020E95"/>
    <w:rsid w:val="1B6A63CB"/>
    <w:rsid w:val="1BC772D6"/>
    <w:rsid w:val="1C512C50"/>
    <w:rsid w:val="24160D80"/>
    <w:rsid w:val="24D93993"/>
    <w:rsid w:val="27856560"/>
    <w:rsid w:val="2A6A0297"/>
    <w:rsid w:val="2D8A732E"/>
    <w:rsid w:val="2DDE77BD"/>
    <w:rsid w:val="2E220E80"/>
    <w:rsid w:val="313273D0"/>
    <w:rsid w:val="315B3234"/>
    <w:rsid w:val="33777F6C"/>
    <w:rsid w:val="33B465FD"/>
    <w:rsid w:val="36D90545"/>
    <w:rsid w:val="3A814B45"/>
    <w:rsid w:val="3B716BD9"/>
    <w:rsid w:val="3CBA2CCD"/>
    <w:rsid w:val="3CF87B71"/>
    <w:rsid w:val="3D0007EA"/>
    <w:rsid w:val="3D7804FA"/>
    <w:rsid w:val="3DD52283"/>
    <w:rsid w:val="4060552B"/>
    <w:rsid w:val="41FE1296"/>
    <w:rsid w:val="42A17571"/>
    <w:rsid w:val="43AA5911"/>
    <w:rsid w:val="44AA7C4A"/>
    <w:rsid w:val="45645883"/>
    <w:rsid w:val="466C002D"/>
    <w:rsid w:val="4B1D77D5"/>
    <w:rsid w:val="4B5B5B0D"/>
    <w:rsid w:val="4BFD043D"/>
    <w:rsid w:val="4D027AAC"/>
    <w:rsid w:val="4E10402F"/>
    <w:rsid w:val="4EF876B6"/>
    <w:rsid w:val="50B26775"/>
    <w:rsid w:val="549A13E5"/>
    <w:rsid w:val="55871C36"/>
    <w:rsid w:val="5641716D"/>
    <w:rsid w:val="572052E3"/>
    <w:rsid w:val="579857A6"/>
    <w:rsid w:val="58525E77"/>
    <w:rsid w:val="5C5B7D68"/>
    <w:rsid w:val="5EBE5F3A"/>
    <w:rsid w:val="5FCE1C13"/>
    <w:rsid w:val="61F42796"/>
    <w:rsid w:val="64053099"/>
    <w:rsid w:val="64D630AD"/>
    <w:rsid w:val="64DC754D"/>
    <w:rsid w:val="6511270F"/>
    <w:rsid w:val="68EE2FF1"/>
    <w:rsid w:val="6A8E6527"/>
    <w:rsid w:val="6B622C1F"/>
    <w:rsid w:val="71A17F61"/>
    <w:rsid w:val="72795179"/>
    <w:rsid w:val="75393125"/>
    <w:rsid w:val="75502FA3"/>
    <w:rsid w:val="76D029BD"/>
    <w:rsid w:val="771E48C6"/>
    <w:rsid w:val="7B570EB5"/>
    <w:rsid w:val="7E30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qFormat/>
    <w:uiPriority w:val="0"/>
    <w:pPr>
      <w:jc w:val="left"/>
    </w:pPr>
  </w:style>
  <w:style w:type="paragraph" w:styleId="3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5"/>
    <w:qFormat/>
    <w:uiPriority w:val="0"/>
    <w:rPr>
      <w:b/>
      <w:bCs/>
    </w:rPr>
  </w:style>
  <w:style w:type="character" w:styleId="8">
    <w:name w:val="Emphasis"/>
    <w:basedOn w:val="7"/>
    <w:qFormat/>
    <w:uiPriority w:val="0"/>
    <w:rPr>
      <w:i/>
    </w:rPr>
  </w:style>
  <w:style w:type="character" w:styleId="9">
    <w:name w:val="Hyperlink"/>
    <w:basedOn w:val="7"/>
    <w:unhideWhenUsed/>
    <w:qFormat/>
    <w:uiPriority w:val="99"/>
    <w:rPr>
      <w:color w:val="0000FF"/>
      <w:u w:val="single"/>
    </w:rPr>
  </w:style>
  <w:style w:type="character" w:styleId="10">
    <w:name w:val="annotation reference"/>
    <w:basedOn w:val="7"/>
    <w:qFormat/>
    <w:uiPriority w:val="0"/>
    <w:rPr>
      <w:sz w:val="21"/>
      <w:szCs w:val="21"/>
    </w:rPr>
  </w:style>
  <w:style w:type="paragraph" w:customStyle="1" w:styleId="11">
    <w:name w:val="Title2"/>
    <w:basedOn w:val="1"/>
    <w:qFormat/>
    <w:uiPriority w:val="0"/>
    <w:rPr>
      <w:b/>
    </w:rPr>
  </w:style>
  <w:style w:type="character" w:customStyle="1" w:styleId="12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批注文字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5">
    <w:name w:val="批注主题 字符"/>
    <w:basedOn w:val="14"/>
    <w:link w:val="5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3" Type="http://schemas.openxmlformats.org/officeDocument/2006/relationships/fontTable" Target="fontTable.xml"/><Relationship Id="rId42" Type="http://schemas.openxmlformats.org/officeDocument/2006/relationships/customXml" Target="../customXml/item1.xml"/><Relationship Id="rId41" Type="http://schemas.openxmlformats.org/officeDocument/2006/relationships/image" Target="media/image38.tiff"/><Relationship Id="rId40" Type="http://schemas.openxmlformats.org/officeDocument/2006/relationships/image" Target="media/image37.tiff"/><Relationship Id="rId4" Type="http://schemas.openxmlformats.org/officeDocument/2006/relationships/image" Target="media/image1.png"/><Relationship Id="rId39" Type="http://schemas.openxmlformats.org/officeDocument/2006/relationships/image" Target="media/image36.tiff"/><Relationship Id="rId38" Type="http://schemas.openxmlformats.org/officeDocument/2006/relationships/image" Target="media/image35.tiff"/><Relationship Id="rId37" Type="http://schemas.openxmlformats.org/officeDocument/2006/relationships/image" Target="media/image34.tiff"/><Relationship Id="rId36" Type="http://schemas.openxmlformats.org/officeDocument/2006/relationships/image" Target="media/image33.tiff"/><Relationship Id="rId35" Type="http://schemas.openxmlformats.org/officeDocument/2006/relationships/image" Target="media/image32.tiff"/><Relationship Id="rId34" Type="http://schemas.openxmlformats.org/officeDocument/2006/relationships/image" Target="media/image31.tiff"/><Relationship Id="rId33" Type="http://schemas.openxmlformats.org/officeDocument/2006/relationships/image" Target="media/image30.tiff"/><Relationship Id="rId32" Type="http://schemas.openxmlformats.org/officeDocument/2006/relationships/image" Target="media/image29.tiff"/><Relationship Id="rId31" Type="http://schemas.openxmlformats.org/officeDocument/2006/relationships/image" Target="media/image28.tiff"/><Relationship Id="rId30" Type="http://schemas.openxmlformats.org/officeDocument/2006/relationships/image" Target="media/image27.tiff"/><Relationship Id="rId3" Type="http://schemas.openxmlformats.org/officeDocument/2006/relationships/theme" Target="theme/theme1.xml"/><Relationship Id="rId29" Type="http://schemas.openxmlformats.org/officeDocument/2006/relationships/image" Target="media/image26.tiff"/><Relationship Id="rId28" Type="http://schemas.openxmlformats.org/officeDocument/2006/relationships/image" Target="media/image25.tiff"/><Relationship Id="rId27" Type="http://schemas.openxmlformats.org/officeDocument/2006/relationships/image" Target="media/image24.tiff"/><Relationship Id="rId26" Type="http://schemas.openxmlformats.org/officeDocument/2006/relationships/image" Target="media/image23.tiff"/><Relationship Id="rId25" Type="http://schemas.openxmlformats.org/officeDocument/2006/relationships/image" Target="media/image22.tiff"/><Relationship Id="rId24" Type="http://schemas.openxmlformats.org/officeDocument/2006/relationships/image" Target="media/image21.tiff"/><Relationship Id="rId23" Type="http://schemas.openxmlformats.org/officeDocument/2006/relationships/image" Target="media/image20.tiff"/><Relationship Id="rId22" Type="http://schemas.openxmlformats.org/officeDocument/2006/relationships/image" Target="media/image19.tiff"/><Relationship Id="rId21" Type="http://schemas.openxmlformats.org/officeDocument/2006/relationships/image" Target="media/image18.tiff"/><Relationship Id="rId20" Type="http://schemas.openxmlformats.org/officeDocument/2006/relationships/image" Target="media/image17.tiff"/><Relationship Id="rId2" Type="http://schemas.openxmlformats.org/officeDocument/2006/relationships/settings" Target="settings.xml"/><Relationship Id="rId19" Type="http://schemas.openxmlformats.org/officeDocument/2006/relationships/image" Target="media/image16.tiff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jpeg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095934-BBC3-4EB4-AADE-B954991AD13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21</Pages>
  <Words>1123</Words>
  <Characters>5563</Characters>
  <Lines>156</Lines>
  <Paragraphs>51</Paragraphs>
  <TotalTime>114</TotalTime>
  <ScaleCrop>false</ScaleCrop>
  <LinksUpToDate>false</LinksUpToDate>
  <CharactersWithSpaces>6640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2025-07-07T12:16:00Z</dcterms:created>
  <dc:creator>鹿米夕</dc:creator>
  <cp:lastModifiedBy>鹿米夕</cp:lastModifiedBy>
  <dcterms:modified xsi:type="dcterms:W3CDTF">2025-11-24T10:36:17Z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DE3CFADA3D5F4009BEDAD6BCFB3C6847_13</vt:lpwstr>
  </property>
  <property fmtid="{D5CDD505-2E9C-101B-9397-08002B2CF9AE}" pid="4" name="KSOTemplateDocerSaveRecord">
    <vt:lpwstr>eyJoZGlkIjoiYjk5ODM0YmMxOWJiYWQyNDU4MGIzYWRmYTA0ZmI5NDciLCJ1c2VySWQiOiI0MzM2NTE3OTgifQ==</vt:lpwstr>
  </property>
</Properties>
</file>