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6FCF7">
      <w:pPr>
        <w:spacing w:after="0" w:line="480" w:lineRule="auto"/>
        <w:jc w:val="both"/>
        <w:rPr>
          <w:rFonts w:ascii="Times New Roman" w:hAnsi="Times New Roman"/>
          <w:b/>
          <w:color w:val="000000"/>
          <w:lang/>
        </w:rPr>
      </w:pPr>
      <w:bookmarkStart w:id="2" w:name="_GoBack"/>
      <w:bookmarkEnd w:id="2"/>
      <w:r>
        <w:rPr>
          <w:rFonts w:ascii="Times New Roman" w:hAnsi="Times New Roman"/>
          <w:b/>
          <w:color w:val="000000"/>
          <w:lang/>
        </w:rPr>
        <w:drawing>
          <wp:inline distT="0" distB="0" distL="114300" distR="114300">
            <wp:extent cx="5266690" cy="2917190"/>
            <wp:effectExtent l="0" t="0" r="6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1B667">
      <w:pPr>
        <w:spacing w:after="0" w:line="48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Figure S1. Immunohistochemistry and immunofluorescence staining of tissue sections. </w:t>
      </w:r>
    </w:p>
    <w:p w14:paraId="210C5B2D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 Hematoxylin and eosin (HE) staining images of liver tissue sections from mice fed a normal diet and a high-fat diet (HFD). Scale bar, 50 μm.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B</w:t>
      </w:r>
      <w:r>
        <w:rPr>
          <w:rFonts w:ascii="Times New Roman" w:hAnsi="Times New Roman"/>
          <w:color w:val="000000"/>
          <w:sz w:val="20"/>
          <w:szCs w:val="20"/>
        </w:rPr>
        <w:t xml:space="preserve"> HE staining images of liver tissue sections from mice fed a normal diet and a methionine-choline-deficient (MCD) diet. Scale bar, 50 μm.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hAnsi="Times New Roman"/>
          <w:color w:val="000000"/>
          <w:sz w:val="20"/>
          <w:szCs w:val="20"/>
        </w:rPr>
        <w:t xml:space="preserve"> Oil Red O staining results of liver frozen sections from mice fed a normal diet and a high-fat diet. Scale bar, 50 μm.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D-F</w:t>
      </w:r>
      <w:r>
        <w:rPr>
          <w:rFonts w:ascii="Times New Roman" w:hAnsi="Times New Roman"/>
          <w:color w:val="000000"/>
          <w:sz w:val="20"/>
          <w:szCs w:val="20"/>
        </w:rPr>
        <w:t xml:space="preserve"> Oil Red O and BODIPY staining were used to detect intracellular lipid droplets in MPH, HepG2 and AML12 after treatment with 1 mM PAOA for 0, 12, and 24 hours, respectively. Scale bar, 20 μm.</w:t>
      </w:r>
    </w:p>
    <w:p w14:paraId="4263B1EB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95A4E29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76CFCEF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F1B840D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4C226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6122035" cy="1708785"/>
            <wp:effectExtent l="0" t="0" r="254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D6C99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Figure S2. Immunohistochemical staining of human tissue samples.</w:t>
      </w:r>
    </w:p>
    <w:p w14:paraId="17570D01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A </w:t>
      </w:r>
      <w:r>
        <w:rPr>
          <w:rFonts w:ascii="Times New Roman" w:hAnsi="Times New Roman"/>
          <w:color w:val="000000"/>
          <w:sz w:val="20"/>
          <w:szCs w:val="20"/>
        </w:rPr>
        <w:t xml:space="preserve">HE staining images of liver tissue sections from healthy individuals and patients with metabolic-associated steatotic hepatitis (MASH). Scale bar, 50 μm.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B </w:t>
      </w:r>
      <w:r>
        <w:rPr>
          <w:rFonts w:ascii="Times New Roman" w:hAnsi="Times New Roman"/>
          <w:color w:val="000000"/>
          <w:sz w:val="20"/>
          <w:szCs w:val="20"/>
        </w:rPr>
        <w:t>Representative immunohistochemical staining images of NUP85 expression in liver tissue from normal subjects, MASH patients, and cirrhosis patients. Scale bar, 50 μm.</w:t>
      </w:r>
    </w:p>
    <w:p w14:paraId="4968F014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F25256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F9CFCE1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B66D46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8C15C91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E9E931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5272405" cy="3538220"/>
            <wp:effectExtent l="0" t="0" r="4445" b="5080"/>
            <wp:docPr id="3" name="图片 12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 descr="Figure S3"/>
                    <pic:cNvPicPr>
                      <a:picLocks noChangeAspect="1"/>
                    </pic:cNvPicPr>
                  </pic:nvPicPr>
                  <pic:blipFill>
                    <a:blip r:embed="rId9"/>
                    <a:srcRect b="463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D3A47">
      <w:pPr>
        <w:spacing w:after="0" w:line="360" w:lineRule="auto"/>
        <w:rPr>
          <w:rFonts w:ascii="Times New Roman" w:hAnsi="Times New Roman" w:eastAsia="宋体"/>
          <w:b/>
          <w:bCs/>
          <w:color w:val="00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Figure S3. SLC27A1 promotes lipid deposition in hepatocytes.</w:t>
      </w:r>
    </w:p>
    <w:p w14:paraId="27ADDC62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  <w:lang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A 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qRT-PCR was utilized to measure the relative levels of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mRNA in HepG2 cells treated with 1 mM PAOA for 0, 12, and 24 hours (n = 6).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B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Western blot was employed to assess the expression and statistical results of SLC27A1 protein in HepG2 cells treated with 1 mM PAOA for 0, 12, and 24 hours, respectively (n = 3).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C </w:t>
      </w:r>
      <w:r>
        <w:rPr>
          <w:rFonts w:ascii="Times New Roman" w:hAnsi="Times New Roman" w:eastAsia="宋体"/>
          <w:color w:val="000000"/>
          <w:sz w:val="20"/>
          <w:szCs w:val="20"/>
        </w:rPr>
        <w:t>Immunofluorescence results showed SLC27A1 (green) in HepG2 cells following treatment with 1 mM PAOA for 0, 12, and 24 hours, respectively. Scale bar, 20 μm.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 D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qRT-PCR was conducted to evaluate the mRNA expression level of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after transfection with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-shRNA (n = 5).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E 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Western blot was performed to determine the protein expression level of SLC27A1 following transfection with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-shRNA.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BODIPY and Oil Red O staining were utilized to visualize intracellular lipid droplets in cells transfected with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-shRNA and induced by 1 mM PAOA. Scale bar, 20 μm.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G-H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A triglyceride detection kit and a free fatty acid kit were used to quantify the levels of TG (G) and FFA (H) in HepG2 cells transfected with 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-shRNA and induced by 1 mM PAOA (n = 3). All data are expressed as the mean ± SD. </w:t>
      </w:r>
      <w:r>
        <w:rPr>
          <w:rFonts w:ascii="Times New Roman" w:hAnsi="Times New Roman"/>
          <w:color w:val="000000"/>
          <w:sz w:val="20"/>
          <w:szCs w:val="20"/>
        </w:rPr>
        <w:t>ns: no significance; * P &lt; 0.05; ** P &lt; 0.01; *** P &lt; 0.001.</w:t>
      </w:r>
      <w:r>
        <w:rPr>
          <w:rFonts w:ascii="Times New Roman" w:hAnsi="Times New Roman"/>
          <w:color w:val="000000"/>
          <w:sz w:val="20"/>
          <w:szCs w:val="20"/>
          <w:lang/>
        </w:rPr>
        <w:t xml:space="preserve"> </w:t>
      </w:r>
    </w:p>
    <w:p w14:paraId="463A4234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0C13C8CB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42D8C405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3C1887E1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4C8D3DC9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0CDF2FC1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2F3B1CCB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17958159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0C69623F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7A0BE7A7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1B32A5B7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49C55D3A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</w:p>
    <w:p w14:paraId="31500D68">
      <w:pPr>
        <w:spacing w:after="0" w:line="480" w:lineRule="auto"/>
        <w:jc w:val="both"/>
        <w:rPr>
          <w:rFonts w:hint="eastAsia" w:ascii="Times New Roman" w:hAnsi="Times New Roman"/>
          <w:color w:val="000000"/>
          <w:lang/>
        </w:rPr>
      </w:pPr>
    </w:p>
    <w:p w14:paraId="40F82369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5272405" cy="3368040"/>
            <wp:effectExtent l="0" t="0" r="4445" b="3810"/>
            <wp:docPr id="4" name="图片 13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 descr="Figure S4"/>
                    <pic:cNvPicPr>
                      <a:picLocks noChangeAspect="1"/>
                    </pic:cNvPicPr>
                  </pic:nvPicPr>
                  <pic:blipFill>
                    <a:blip r:embed="rId10"/>
                    <a:srcRect b="488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09202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  <w:lang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Figure S4. HepG2 cells were treated with PPAR-γ pathway inhibitors and agonists.</w:t>
      </w:r>
    </w:p>
    <w:p w14:paraId="34476289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 Western blot detects the expression of PPAR-γ protein following transfection with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SLC27A1</w:t>
      </w:r>
      <w:r>
        <w:rPr>
          <w:rFonts w:ascii="Times New Roman" w:hAnsi="Times New Roman"/>
          <w:color w:val="000000"/>
          <w:sz w:val="20"/>
          <w:szCs w:val="20"/>
        </w:rPr>
        <w:t>-shRNA.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B</w:t>
      </w:r>
      <w:r>
        <w:rPr>
          <w:rFonts w:ascii="Times New Roman" w:hAnsi="Times New Roman"/>
          <w:color w:val="000000"/>
          <w:sz w:val="20"/>
          <w:szCs w:val="20"/>
        </w:rPr>
        <w:t xml:space="preserve"> Western blot detects the expression level of PPAR-γ protein in HepG2 cells treated with DMSO or different concentrations (1 μM or 5 μM) of GW9662 respectively.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hAnsi="Times New Roman"/>
          <w:color w:val="000000"/>
          <w:sz w:val="20"/>
          <w:szCs w:val="20"/>
        </w:rPr>
        <w:t xml:space="preserve"> Western blot detects the expression level of PPAR-γ protein in HepG2 cells treated with DMSO or different concentrations (5 μM or 10 μM) of Darglitazone respectively.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 xml:space="preserve"> Oil red O staining and BODIPY staining detected intracellular lipid droplets in HepG2 cells treated with DMSO or different concentrations (1 µM or 5 µM) of GW9662, respectively. Scale bar, 20µm.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Oil red O staining and BODIPY staining detected intracellular lipid droplets in HepG2 cells treated with DMSO or different concentrations (5 µM or 10 µM) of Darglitazone, respectively. Scale bar, 20µm.</w:t>
      </w:r>
    </w:p>
    <w:p w14:paraId="48D0010D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5278755" cy="4314190"/>
            <wp:effectExtent l="0" t="0" r="7620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85294">
      <w:pPr>
        <w:spacing w:after="0" w:line="480" w:lineRule="auto"/>
        <w:rPr>
          <w:rFonts w:ascii="Times New Roman" w:hAnsi="Times New Roman" w:eastAsia="宋体"/>
          <w:b/>
          <w:bCs/>
          <w:color w:val="00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Figure S5. RBC-EVs internalization experiment and cell viability detection.</w:t>
      </w:r>
    </w:p>
    <w:p w14:paraId="528DF7E2">
      <w:pPr>
        <w:spacing w:after="0" w:line="480" w:lineRule="auto"/>
        <w:jc w:val="both"/>
        <w:rPr>
          <w:rFonts w:ascii="Times New Roman" w:hAnsi="Times New Roman" w:eastAsia="宋体"/>
          <w:color w:val="00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A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Internalization of DIR-labeled RBC-EVs@NC and RBC-EVs@si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into AML12. Scale bar, 20 μm.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B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Colocalization of DIR-labeled RBC-EVs and FAM-labeled siRNA in AML12 cells using fluorescence microscopy. Scale bar, 50 µm.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C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CCK-8 method was used to determine the effects of RBC-EVs@siNC and RBC-EVs@si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on the proliferation of AML12 cells (n = 3).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D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Internalization of DIR-labeled RBC-EVs@siNC and RBC-EVs@si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into HepG2. Scale bar, 20 μm.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E 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Colocalization of DIR-labeled RBC-EVs and FAM-labeled siRNA in HepG2 cells using fluorescence microscopy. Scale bar, 50 µm.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CCK-8 method was used to determine the effects of RBC-EVs@siNC and RBC-EVs@si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on the proliferation of HepG2 cells (n = 3).</w:t>
      </w:r>
    </w:p>
    <w:p w14:paraId="047D4B1F">
      <w:pPr>
        <w:spacing w:after="0" w:line="480" w:lineRule="auto"/>
        <w:jc w:val="both"/>
        <w:rPr>
          <w:rFonts w:ascii="Times New Roman" w:hAnsi="Times New Roman" w:eastAsia="宋体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lang/>
        </w:rPr>
        <w:drawing>
          <wp:inline distT="0" distB="0" distL="114300" distR="114300">
            <wp:extent cx="5271135" cy="5001895"/>
            <wp:effectExtent l="0" t="0" r="5715" b="82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0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  <w:b/>
          <w:bCs/>
          <w:color w:val="000000"/>
          <w:sz w:val="21"/>
          <w:szCs w:val="22"/>
        </w:rPr>
        <w:t xml:space="preserve"> 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Figure S6. Biosafety of RBC-EV@si</w:t>
      </w:r>
      <w:r>
        <w:rPr>
          <w:rFonts w:ascii="Times New Roman" w:hAnsi="Times New Roman" w:eastAsia="宋体"/>
          <w:b/>
          <w:bCs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. </w:t>
      </w:r>
    </w:p>
    <w:p w14:paraId="0BD33639">
      <w:pPr>
        <w:spacing w:after="0" w:line="480" w:lineRule="auto"/>
        <w:jc w:val="both"/>
        <w:rPr>
          <w:rFonts w:ascii="Times New Roman" w:hAnsi="Times New Roman" w:eastAsia="宋体"/>
          <w:color w:val="00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A </w:t>
      </w:r>
      <w:r>
        <w:rPr>
          <w:rFonts w:ascii="Times New Roman" w:hAnsi="Times New Roman" w:eastAsia="宋体"/>
          <w:color w:val="000000"/>
          <w:sz w:val="20"/>
          <w:szCs w:val="20"/>
        </w:rPr>
        <w:t>H&amp;E staining of the liver, heart, spleen, lung, and kidney of the treated mice showed that injection of RBC-EV@</w:t>
      </w:r>
      <w:r>
        <w:rPr>
          <w:rFonts w:ascii="Times New Roman" w:hAnsi="Times New Roman" w:eastAsia="宋体"/>
          <w:i/>
          <w:iCs/>
          <w:color w:val="000000"/>
          <w:sz w:val="20"/>
          <w:szCs w:val="20"/>
        </w:rPr>
        <w:t>siNup85</w:t>
      </w:r>
      <w:r>
        <w:rPr>
          <w:rFonts w:ascii="Times New Roman" w:hAnsi="Times New Roman" w:eastAsia="宋体"/>
          <w:color w:val="000000"/>
          <w:sz w:val="20"/>
          <w:szCs w:val="20"/>
        </w:rPr>
        <w:t xml:space="preserve"> did not produce obvious pathological abnormality, indicating their good biosafety. Scale bars, 200 µm.</w:t>
      </w:r>
    </w:p>
    <w:p w14:paraId="1D994550">
      <w:pPr>
        <w:spacing w:after="0" w:line="480" w:lineRule="auto"/>
        <w:jc w:val="both"/>
        <w:rPr>
          <w:rFonts w:ascii="Times New Roman" w:hAnsi="Times New Roman" w:eastAsia="宋体"/>
          <w:color w:val="000000"/>
          <w:sz w:val="21"/>
          <w:szCs w:val="22"/>
        </w:rPr>
      </w:pPr>
    </w:p>
    <w:p w14:paraId="102E4E40">
      <w:pPr>
        <w:spacing w:after="0" w:line="480" w:lineRule="auto"/>
        <w:jc w:val="both"/>
        <w:rPr>
          <w:rFonts w:ascii="Times New Roman" w:hAnsi="Times New Roman" w:eastAsia="宋体"/>
          <w:color w:val="000000"/>
          <w:sz w:val="21"/>
          <w:szCs w:val="22"/>
        </w:rPr>
      </w:pPr>
    </w:p>
    <w:p w14:paraId="4733F009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4896485" cy="1538605"/>
            <wp:effectExtent l="0" t="0" r="8890" b="4445"/>
            <wp:docPr id="7" name="图片 16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" descr="Figure S7"/>
                    <pic:cNvPicPr>
                      <a:picLocks noChangeAspect="1"/>
                    </pic:cNvPicPr>
                  </pic:nvPicPr>
                  <pic:blipFill>
                    <a:blip r:embed="rId13"/>
                    <a:srcRect r="7083" b="76717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5122C">
      <w:pPr>
        <w:spacing w:after="0" w:line="48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bookmarkStart w:id="0" w:name="_Hlk199249630"/>
      <w:r>
        <w:rPr>
          <w:rFonts w:ascii="Times New Roman" w:hAnsi="Times New Roman"/>
          <w:b/>
          <w:bCs/>
          <w:color w:val="000000"/>
          <w:sz w:val="20"/>
          <w:szCs w:val="20"/>
        </w:rPr>
        <w:t>Figure S7. RBC-EV@si</w:t>
      </w:r>
      <w:r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inhibits NUP85 expression in liver tissue of HFD mice.</w:t>
      </w:r>
    </w:p>
    <w:bookmarkEnd w:id="0"/>
    <w:p w14:paraId="7BC6B4D9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 Western blot detects the NUP85 protein expression (n = 3) in the liver tissue of </w:t>
      </w:r>
      <w:r>
        <w:rPr>
          <w:rFonts w:hint="eastAsia" w:ascii="Times New Roman" w:hAnsi="Times New Roman"/>
          <w:color w:val="000000"/>
          <w:sz w:val="20"/>
          <w:szCs w:val="20"/>
        </w:rPr>
        <w:t>NC</w:t>
      </w:r>
      <w:r>
        <w:rPr>
          <w:rFonts w:ascii="Times New Roman" w:hAnsi="Times New Roman"/>
          <w:color w:val="000000"/>
          <w:sz w:val="20"/>
          <w:szCs w:val="20"/>
        </w:rPr>
        <w:t xml:space="preserve">D-fed mice </w:t>
      </w:r>
      <w:r>
        <w:rPr>
          <w:rFonts w:hint="eastAsia" w:ascii="Times New Roman" w:hAnsi="Times New Roman"/>
          <w:color w:val="000000"/>
          <w:sz w:val="20"/>
          <w:szCs w:val="20"/>
        </w:rPr>
        <w:t xml:space="preserve">and </w:t>
      </w:r>
      <w:r>
        <w:rPr>
          <w:rFonts w:ascii="Times New Roman" w:hAnsi="Times New Roman"/>
          <w:color w:val="000000"/>
          <w:sz w:val="20"/>
          <w:szCs w:val="20"/>
        </w:rPr>
        <w:t>HFD-fed mice injected with PBS, RBC-EV@siNC and RBC-EV@si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/>
          <w:color w:val="000000"/>
          <w:sz w:val="20"/>
          <w:szCs w:val="20"/>
        </w:rPr>
        <w:t xml:space="preserve"> through the tail vein. (n = 3).</w:t>
      </w:r>
    </w:p>
    <w:p w14:paraId="425A525D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31A8CFB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8942BEF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C037DB7">
      <w:pPr>
        <w:spacing w:after="0" w:line="48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C13B9CD">
      <w:pPr>
        <w:spacing w:after="0" w:line="480" w:lineRule="auto"/>
        <w:jc w:val="both"/>
        <w:rPr>
          <w:rFonts w:ascii="Times New Roman" w:hAnsi="Times New Roman"/>
          <w:color w:val="000000"/>
          <w:lang/>
        </w:rPr>
      </w:pPr>
      <w:r>
        <w:rPr>
          <w:rFonts w:ascii="Times New Roman" w:hAnsi="Times New Roman"/>
          <w:color w:val="000000"/>
          <w:lang/>
        </w:rPr>
        <w:drawing>
          <wp:inline distT="0" distB="0" distL="114300" distR="114300">
            <wp:extent cx="5277485" cy="4515485"/>
            <wp:effectExtent l="0" t="0" r="8890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451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43E63">
      <w:pPr>
        <w:spacing w:after="0" w:line="480" w:lineRule="auto"/>
        <w:jc w:val="both"/>
        <w:rPr>
          <w:rFonts w:ascii="Times New Roman" w:hAnsi="Times New Roman" w:eastAsia="宋体"/>
          <w:b/>
          <w:bCs/>
          <w:color w:val="000000"/>
          <w:sz w:val="20"/>
          <w:szCs w:val="20"/>
        </w:rPr>
      </w:pPr>
      <w:bookmarkStart w:id="1" w:name="_Hlk199249681"/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>Figure S8. RBC-EV@si</w:t>
      </w:r>
      <w:r>
        <w:rPr>
          <w:rFonts w:ascii="Times New Roman" w:hAnsi="Times New Roman" w:eastAsia="宋体"/>
          <w:b/>
          <w:bCs/>
          <w:i/>
          <w:iCs/>
          <w:color w:val="000000"/>
          <w:sz w:val="20"/>
          <w:szCs w:val="20"/>
        </w:rPr>
        <w:t>Nup85</w:t>
      </w:r>
      <w:r>
        <w:rPr>
          <w:rFonts w:ascii="Times New Roman" w:hAnsi="Times New Roman" w:eastAsia="宋体"/>
          <w:b/>
          <w:bCs/>
          <w:color w:val="000000"/>
          <w:sz w:val="20"/>
          <w:szCs w:val="20"/>
        </w:rPr>
        <w:t xml:space="preserve"> specifically targets NUP85 expression in hepatocytes.</w:t>
      </w:r>
      <w:bookmarkEnd w:id="1"/>
    </w:p>
    <w:p w14:paraId="31BA8439">
      <w:pPr>
        <w:spacing w:after="0" w:line="480" w:lineRule="auto"/>
        <w:jc w:val="both"/>
        <w:rPr>
          <w:rFonts w:hint="eastAsia"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A </w:t>
      </w:r>
      <w:r>
        <w:rPr>
          <w:rFonts w:ascii="Times New Roman" w:hAnsi="Times New Roman"/>
          <w:color w:val="000000"/>
          <w:sz w:val="20"/>
          <w:szCs w:val="20"/>
        </w:rPr>
        <w:t>Co-localization of NUP85 (green), the hepatocyte marker albumin, the hepatic stellate cell marker α-SMA, and the hepatic macrophage marker F4/80 (red) in the livers of mice fed a normal diet and a high-fat diet. Scale bar, 20 μm.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B</w:t>
      </w:r>
      <w:r>
        <w:rPr>
          <w:rFonts w:ascii="Times New Roman" w:hAnsi="Times New Roman"/>
          <w:color w:val="000000"/>
          <w:sz w:val="20"/>
          <w:szCs w:val="20"/>
        </w:rPr>
        <w:t xml:space="preserve"> Localization of Dir-labeled RBC-EV (red) and FAM-siRNA (green) in the liver of HFD-fed mice injected with RBC-EVs. Scale bar, 20µm.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hAnsi="Times New Roman"/>
          <w:color w:val="000000"/>
          <w:sz w:val="20"/>
          <w:szCs w:val="20"/>
        </w:rPr>
        <w:t xml:space="preserve"> Co-localization of Dir-RBC-EV (red) with the hepatocyte marker Albumin, the hepatic stellate cell marker α-SMA and the hepatic macrophage marker F4/80 (green) in mouse liver tissue. Scale bar, 50 µm.</w:t>
      </w:r>
    </w:p>
    <w:sectPr>
      <w:footerReference r:id="rId5" w:type="default"/>
      <w:pgSz w:w="11906" w:h="16838"/>
      <w:pgMar w:top="1440" w:right="1800" w:bottom="1440" w:left="1800" w:header="851" w:footer="992" w:gutter="0"/>
      <w:lnNumType w:countBy="1" w:restart="continuous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A1A54">
    <w:pPr>
      <w:pStyle w:val="11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6C2B862F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hyphenationZone w:val="36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4B"/>
    <w:rsid w:val="000014B8"/>
    <w:rsid w:val="000062AA"/>
    <w:rsid w:val="0001341A"/>
    <w:rsid w:val="000153C9"/>
    <w:rsid w:val="000166F0"/>
    <w:rsid w:val="00020504"/>
    <w:rsid w:val="00027065"/>
    <w:rsid w:val="000400F7"/>
    <w:rsid w:val="00040275"/>
    <w:rsid w:val="00040A8A"/>
    <w:rsid w:val="00041D3B"/>
    <w:rsid w:val="000424EF"/>
    <w:rsid w:val="00044403"/>
    <w:rsid w:val="00045CAB"/>
    <w:rsid w:val="000526B9"/>
    <w:rsid w:val="00052DD3"/>
    <w:rsid w:val="00060F9F"/>
    <w:rsid w:val="00065449"/>
    <w:rsid w:val="00066A33"/>
    <w:rsid w:val="0007723F"/>
    <w:rsid w:val="000875E3"/>
    <w:rsid w:val="000916A4"/>
    <w:rsid w:val="00095B5D"/>
    <w:rsid w:val="00096A92"/>
    <w:rsid w:val="00096C2B"/>
    <w:rsid w:val="000A04D0"/>
    <w:rsid w:val="000A2A01"/>
    <w:rsid w:val="000A6AA4"/>
    <w:rsid w:val="000B2B40"/>
    <w:rsid w:val="000C1500"/>
    <w:rsid w:val="000C320D"/>
    <w:rsid w:val="000C35CB"/>
    <w:rsid w:val="000C4109"/>
    <w:rsid w:val="000C6498"/>
    <w:rsid w:val="000C6D88"/>
    <w:rsid w:val="000D46A4"/>
    <w:rsid w:val="000D5818"/>
    <w:rsid w:val="000D62F7"/>
    <w:rsid w:val="000E25E2"/>
    <w:rsid w:val="000E26B3"/>
    <w:rsid w:val="000E7EF6"/>
    <w:rsid w:val="000F1291"/>
    <w:rsid w:val="000F618B"/>
    <w:rsid w:val="000F71F4"/>
    <w:rsid w:val="001018B3"/>
    <w:rsid w:val="0010239A"/>
    <w:rsid w:val="00102E20"/>
    <w:rsid w:val="00103293"/>
    <w:rsid w:val="001033F9"/>
    <w:rsid w:val="00105910"/>
    <w:rsid w:val="0010643C"/>
    <w:rsid w:val="00113EFE"/>
    <w:rsid w:val="001212D8"/>
    <w:rsid w:val="0012230D"/>
    <w:rsid w:val="00127F1E"/>
    <w:rsid w:val="00134502"/>
    <w:rsid w:val="00143217"/>
    <w:rsid w:val="001435D5"/>
    <w:rsid w:val="0014372A"/>
    <w:rsid w:val="00145CF7"/>
    <w:rsid w:val="00147E0D"/>
    <w:rsid w:val="00151360"/>
    <w:rsid w:val="00152C22"/>
    <w:rsid w:val="00163158"/>
    <w:rsid w:val="00163785"/>
    <w:rsid w:val="0016608B"/>
    <w:rsid w:val="00181840"/>
    <w:rsid w:val="00181EB4"/>
    <w:rsid w:val="00184EBC"/>
    <w:rsid w:val="00185E7A"/>
    <w:rsid w:val="001A07D9"/>
    <w:rsid w:val="001A2B85"/>
    <w:rsid w:val="001A2BF2"/>
    <w:rsid w:val="001A6CAD"/>
    <w:rsid w:val="001A7275"/>
    <w:rsid w:val="001B01E7"/>
    <w:rsid w:val="001B2793"/>
    <w:rsid w:val="001C6C68"/>
    <w:rsid w:val="001D00A0"/>
    <w:rsid w:val="001D0B72"/>
    <w:rsid w:val="001D666F"/>
    <w:rsid w:val="001E1D46"/>
    <w:rsid w:val="001F0486"/>
    <w:rsid w:val="001F7D1E"/>
    <w:rsid w:val="00211CEC"/>
    <w:rsid w:val="0022045D"/>
    <w:rsid w:val="00220AA9"/>
    <w:rsid w:val="00221CB9"/>
    <w:rsid w:val="00221FCA"/>
    <w:rsid w:val="00225C92"/>
    <w:rsid w:val="002404B5"/>
    <w:rsid w:val="002410FA"/>
    <w:rsid w:val="00241156"/>
    <w:rsid w:val="00242550"/>
    <w:rsid w:val="00245A4D"/>
    <w:rsid w:val="00250811"/>
    <w:rsid w:val="00250F00"/>
    <w:rsid w:val="0025171F"/>
    <w:rsid w:val="002558A1"/>
    <w:rsid w:val="00257014"/>
    <w:rsid w:val="00260804"/>
    <w:rsid w:val="002624B2"/>
    <w:rsid w:val="00264AB1"/>
    <w:rsid w:val="00271DE0"/>
    <w:rsid w:val="0027241B"/>
    <w:rsid w:val="0027249A"/>
    <w:rsid w:val="002735EE"/>
    <w:rsid w:val="0027545D"/>
    <w:rsid w:val="00277728"/>
    <w:rsid w:val="00277F7C"/>
    <w:rsid w:val="00280756"/>
    <w:rsid w:val="002812E3"/>
    <w:rsid w:val="00281557"/>
    <w:rsid w:val="00284658"/>
    <w:rsid w:val="00284B6D"/>
    <w:rsid w:val="0028644E"/>
    <w:rsid w:val="002925C3"/>
    <w:rsid w:val="00292A97"/>
    <w:rsid w:val="00297A2F"/>
    <w:rsid w:val="002A0736"/>
    <w:rsid w:val="002A227D"/>
    <w:rsid w:val="002A2561"/>
    <w:rsid w:val="002A6836"/>
    <w:rsid w:val="002A6A0D"/>
    <w:rsid w:val="002A7088"/>
    <w:rsid w:val="002A76B3"/>
    <w:rsid w:val="002B17D7"/>
    <w:rsid w:val="002B19A8"/>
    <w:rsid w:val="002B32D2"/>
    <w:rsid w:val="002B72CB"/>
    <w:rsid w:val="002C41EB"/>
    <w:rsid w:val="002D48F0"/>
    <w:rsid w:val="002D59A0"/>
    <w:rsid w:val="002D64B3"/>
    <w:rsid w:val="002D7839"/>
    <w:rsid w:val="002E702C"/>
    <w:rsid w:val="002F1F48"/>
    <w:rsid w:val="003006DF"/>
    <w:rsid w:val="0030687A"/>
    <w:rsid w:val="00311035"/>
    <w:rsid w:val="00312216"/>
    <w:rsid w:val="00312F5B"/>
    <w:rsid w:val="00313836"/>
    <w:rsid w:val="00313D12"/>
    <w:rsid w:val="003202D9"/>
    <w:rsid w:val="00321D06"/>
    <w:rsid w:val="003237DB"/>
    <w:rsid w:val="003303FD"/>
    <w:rsid w:val="00331319"/>
    <w:rsid w:val="0033214A"/>
    <w:rsid w:val="00332200"/>
    <w:rsid w:val="003328EF"/>
    <w:rsid w:val="003330D0"/>
    <w:rsid w:val="00333138"/>
    <w:rsid w:val="003347F7"/>
    <w:rsid w:val="00334EA0"/>
    <w:rsid w:val="003372B2"/>
    <w:rsid w:val="0034188B"/>
    <w:rsid w:val="00341985"/>
    <w:rsid w:val="0034258C"/>
    <w:rsid w:val="00345CBF"/>
    <w:rsid w:val="0034700E"/>
    <w:rsid w:val="0034739C"/>
    <w:rsid w:val="00350634"/>
    <w:rsid w:val="0035359A"/>
    <w:rsid w:val="00355521"/>
    <w:rsid w:val="00355545"/>
    <w:rsid w:val="00356413"/>
    <w:rsid w:val="003564BB"/>
    <w:rsid w:val="00363D21"/>
    <w:rsid w:val="00364332"/>
    <w:rsid w:val="00366CAA"/>
    <w:rsid w:val="00372B5B"/>
    <w:rsid w:val="00372F47"/>
    <w:rsid w:val="003765FA"/>
    <w:rsid w:val="003767C7"/>
    <w:rsid w:val="003807BE"/>
    <w:rsid w:val="00381FCD"/>
    <w:rsid w:val="00391891"/>
    <w:rsid w:val="00393E27"/>
    <w:rsid w:val="003A0FF4"/>
    <w:rsid w:val="003A3B01"/>
    <w:rsid w:val="003B13A1"/>
    <w:rsid w:val="003B247F"/>
    <w:rsid w:val="003B2E16"/>
    <w:rsid w:val="003B5F27"/>
    <w:rsid w:val="003B5F81"/>
    <w:rsid w:val="003B70A8"/>
    <w:rsid w:val="003C0432"/>
    <w:rsid w:val="003C10FA"/>
    <w:rsid w:val="003C39A9"/>
    <w:rsid w:val="003C6B93"/>
    <w:rsid w:val="003C6F2C"/>
    <w:rsid w:val="003D152A"/>
    <w:rsid w:val="003D25EC"/>
    <w:rsid w:val="003D2DBB"/>
    <w:rsid w:val="003E2761"/>
    <w:rsid w:val="003E4308"/>
    <w:rsid w:val="003F1CA3"/>
    <w:rsid w:val="003F48EC"/>
    <w:rsid w:val="003F618E"/>
    <w:rsid w:val="00401F42"/>
    <w:rsid w:val="00406AD9"/>
    <w:rsid w:val="004076AD"/>
    <w:rsid w:val="004131C8"/>
    <w:rsid w:val="00414346"/>
    <w:rsid w:val="0041494A"/>
    <w:rsid w:val="004228AA"/>
    <w:rsid w:val="004235D1"/>
    <w:rsid w:val="004240E7"/>
    <w:rsid w:val="00425099"/>
    <w:rsid w:val="004328A6"/>
    <w:rsid w:val="0043513A"/>
    <w:rsid w:val="004362A8"/>
    <w:rsid w:val="00440A65"/>
    <w:rsid w:val="004419EE"/>
    <w:rsid w:val="00442C30"/>
    <w:rsid w:val="00450882"/>
    <w:rsid w:val="00457339"/>
    <w:rsid w:val="004620A1"/>
    <w:rsid w:val="00464E2C"/>
    <w:rsid w:val="004656F3"/>
    <w:rsid w:val="00466069"/>
    <w:rsid w:val="004663F7"/>
    <w:rsid w:val="00467C48"/>
    <w:rsid w:val="004818CA"/>
    <w:rsid w:val="004851FB"/>
    <w:rsid w:val="00493679"/>
    <w:rsid w:val="00493991"/>
    <w:rsid w:val="004953C4"/>
    <w:rsid w:val="004975DA"/>
    <w:rsid w:val="004A0A64"/>
    <w:rsid w:val="004A3B24"/>
    <w:rsid w:val="004B0E0F"/>
    <w:rsid w:val="004B4A02"/>
    <w:rsid w:val="004C3238"/>
    <w:rsid w:val="004D1A9C"/>
    <w:rsid w:val="004D2AD5"/>
    <w:rsid w:val="004D5579"/>
    <w:rsid w:val="004D5713"/>
    <w:rsid w:val="004D614B"/>
    <w:rsid w:val="004E0C01"/>
    <w:rsid w:val="004E1C25"/>
    <w:rsid w:val="004E732B"/>
    <w:rsid w:val="004F1463"/>
    <w:rsid w:val="004F1DAF"/>
    <w:rsid w:val="004F638D"/>
    <w:rsid w:val="00500FBF"/>
    <w:rsid w:val="00502BD6"/>
    <w:rsid w:val="00507E2B"/>
    <w:rsid w:val="005111B6"/>
    <w:rsid w:val="0051264B"/>
    <w:rsid w:val="005137A8"/>
    <w:rsid w:val="005160D3"/>
    <w:rsid w:val="0051663C"/>
    <w:rsid w:val="0052263D"/>
    <w:rsid w:val="00522F87"/>
    <w:rsid w:val="00524AAA"/>
    <w:rsid w:val="00525430"/>
    <w:rsid w:val="00531289"/>
    <w:rsid w:val="00534248"/>
    <w:rsid w:val="00537956"/>
    <w:rsid w:val="00541623"/>
    <w:rsid w:val="00542473"/>
    <w:rsid w:val="005438CE"/>
    <w:rsid w:val="005524D9"/>
    <w:rsid w:val="00553DCE"/>
    <w:rsid w:val="0055719B"/>
    <w:rsid w:val="00557A61"/>
    <w:rsid w:val="00561231"/>
    <w:rsid w:val="005667BF"/>
    <w:rsid w:val="00572B49"/>
    <w:rsid w:val="00574821"/>
    <w:rsid w:val="005760F2"/>
    <w:rsid w:val="00580782"/>
    <w:rsid w:val="0058248C"/>
    <w:rsid w:val="00583AD9"/>
    <w:rsid w:val="0058474F"/>
    <w:rsid w:val="00585C98"/>
    <w:rsid w:val="00587E2A"/>
    <w:rsid w:val="00592D77"/>
    <w:rsid w:val="00595D70"/>
    <w:rsid w:val="0059653F"/>
    <w:rsid w:val="005A5768"/>
    <w:rsid w:val="005B10DE"/>
    <w:rsid w:val="005C249C"/>
    <w:rsid w:val="005D1EEA"/>
    <w:rsid w:val="005D56BE"/>
    <w:rsid w:val="005E3242"/>
    <w:rsid w:val="005E5094"/>
    <w:rsid w:val="005F1571"/>
    <w:rsid w:val="005F3EED"/>
    <w:rsid w:val="005F5DC0"/>
    <w:rsid w:val="006069F4"/>
    <w:rsid w:val="0061312D"/>
    <w:rsid w:val="0061518B"/>
    <w:rsid w:val="00624610"/>
    <w:rsid w:val="0062489B"/>
    <w:rsid w:val="00625BD1"/>
    <w:rsid w:val="00632DE7"/>
    <w:rsid w:val="00637074"/>
    <w:rsid w:val="00641F61"/>
    <w:rsid w:val="00643F6A"/>
    <w:rsid w:val="006441FF"/>
    <w:rsid w:val="00644590"/>
    <w:rsid w:val="006447F2"/>
    <w:rsid w:val="006454F8"/>
    <w:rsid w:val="006463BD"/>
    <w:rsid w:val="006539C8"/>
    <w:rsid w:val="00657449"/>
    <w:rsid w:val="006607DB"/>
    <w:rsid w:val="00666BFC"/>
    <w:rsid w:val="00674104"/>
    <w:rsid w:val="00674775"/>
    <w:rsid w:val="0068322E"/>
    <w:rsid w:val="006922A7"/>
    <w:rsid w:val="00692B50"/>
    <w:rsid w:val="00692C80"/>
    <w:rsid w:val="00694465"/>
    <w:rsid w:val="00695B72"/>
    <w:rsid w:val="00696645"/>
    <w:rsid w:val="006969FD"/>
    <w:rsid w:val="006A3152"/>
    <w:rsid w:val="006A3E25"/>
    <w:rsid w:val="006A53CF"/>
    <w:rsid w:val="006A6298"/>
    <w:rsid w:val="006A7E62"/>
    <w:rsid w:val="006A7F58"/>
    <w:rsid w:val="006B04BA"/>
    <w:rsid w:val="006B311C"/>
    <w:rsid w:val="006C0D6B"/>
    <w:rsid w:val="006C2626"/>
    <w:rsid w:val="006C35E6"/>
    <w:rsid w:val="006C49F7"/>
    <w:rsid w:val="006C4C59"/>
    <w:rsid w:val="006C6BA6"/>
    <w:rsid w:val="006D021D"/>
    <w:rsid w:val="006D1BCD"/>
    <w:rsid w:val="006E0403"/>
    <w:rsid w:val="006E4AE8"/>
    <w:rsid w:val="006F2003"/>
    <w:rsid w:val="006F2C62"/>
    <w:rsid w:val="006F36FF"/>
    <w:rsid w:val="00707B56"/>
    <w:rsid w:val="007120FD"/>
    <w:rsid w:val="007139CA"/>
    <w:rsid w:val="00717E3E"/>
    <w:rsid w:val="00722789"/>
    <w:rsid w:val="00722AB0"/>
    <w:rsid w:val="00730C93"/>
    <w:rsid w:val="007319F8"/>
    <w:rsid w:val="007337FC"/>
    <w:rsid w:val="00733C91"/>
    <w:rsid w:val="00751B8A"/>
    <w:rsid w:val="00760900"/>
    <w:rsid w:val="0076333D"/>
    <w:rsid w:val="00766A1E"/>
    <w:rsid w:val="00771C4D"/>
    <w:rsid w:val="007724B8"/>
    <w:rsid w:val="007774F0"/>
    <w:rsid w:val="0078765C"/>
    <w:rsid w:val="00790D12"/>
    <w:rsid w:val="007929A1"/>
    <w:rsid w:val="007938FA"/>
    <w:rsid w:val="00795B52"/>
    <w:rsid w:val="00796C86"/>
    <w:rsid w:val="007A6369"/>
    <w:rsid w:val="007B5214"/>
    <w:rsid w:val="007B748B"/>
    <w:rsid w:val="007C1AB7"/>
    <w:rsid w:val="007C3295"/>
    <w:rsid w:val="007C37C8"/>
    <w:rsid w:val="007D1C6B"/>
    <w:rsid w:val="007D3535"/>
    <w:rsid w:val="007D398A"/>
    <w:rsid w:val="007D5EFA"/>
    <w:rsid w:val="007E5445"/>
    <w:rsid w:val="007E780C"/>
    <w:rsid w:val="007F04F3"/>
    <w:rsid w:val="007F1E34"/>
    <w:rsid w:val="007F50F2"/>
    <w:rsid w:val="007F6C68"/>
    <w:rsid w:val="0080111A"/>
    <w:rsid w:val="00801A5F"/>
    <w:rsid w:val="008029F0"/>
    <w:rsid w:val="00806E3F"/>
    <w:rsid w:val="00812C35"/>
    <w:rsid w:val="00812E1F"/>
    <w:rsid w:val="00813ECC"/>
    <w:rsid w:val="00814B23"/>
    <w:rsid w:val="00821278"/>
    <w:rsid w:val="00826B7F"/>
    <w:rsid w:val="00827288"/>
    <w:rsid w:val="00827376"/>
    <w:rsid w:val="00832320"/>
    <w:rsid w:val="00833950"/>
    <w:rsid w:val="0083486A"/>
    <w:rsid w:val="00835C6C"/>
    <w:rsid w:val="008376B8"/>
    <w:rsid w:val="0084423C"/>
    <w:rsid w:val="008444F1"/>
    <w:rsid w:val="00844E59"/>
    <w:rsid w:val="00856309"/>
    <w:rsid w:val="00862087"/>
    <w:rsid w:val="0087046E"/>
    <w:rsid w:val="00875E1A"/>
    <w:rsid w:val="00880055"/>
    <w:rsid w:val="00881010"/>
    <w:rsid w:val="0088677D"/>
    <w:rsid w:val="0089034C"/>
    <w:rsid w:val="0089074F"/>
    <w:rsid w:val="0089290E"/>
    <w:rsid w:val="00894C15"/>
    <w:rsid w:val="008C5ABE"/>
    <w:rsid w:val="008D075C"/>
    <w:rsid w:val="008D1808"/>
    <w:rsid w:val="008E0942"/>
    <w:rsid w:val="008E1A29"/>
    <w:rsid w:val="008E1BB7"/>
    <w:rsid w:val="008E2E52"/>
    <w:rsid w:val="008E5F2C"/>
    <w:rsid w:val="008E6D7F"/>
    <w:rsid w:val="008E7CAE"/>
    <w:rsid w:val="008F0EA2"/>
    <w:rsid w:val="008F7A45"/>
    <w:rsid w:val="009034C4"/>
    <w:rsid w:val="00907311"/>
    <w:rsid w:val="00907EF3"/>
    <w:rsid w:val="009151EB"/>
    <w:rsid w:val="00916D7D"/>
    <w:rsid w:val="009173B9"/>
    <w:rsid w:val="0092049C"/>
    <w:rsid w:val="00920699"/>
    <w:rsid w:val="00921F09"/>
    <w:rsid w:val="00923EA6"/>
    <w:rsid w:val="00926ABF"/>
    <w:rsid w:val="00930201"/>
    <w:rsid w:val="009345A9"/>
    <w:rsid w:val="0093572B"/>
    <w:rsid w:val="00935A98"/>
    <w:rsid w:val="009370D0"/>
    <w:rsid w:val="009377BB"/>
    <w:rsid w:val="00941A7C"/>
    <w:rsid w:val="00944177"/>
    <w:rsid w:val="00944854"/>
    <w:rsid w:val="00944930"/>
    <w:rsid w:val="00944933"/>
    <w:rsid w:val="00945E62"/>
    <w:rsid w:val="009470DC"/>
    <w:rsid w:val="00950B01"/>
    <w:rsid w:val="00951261"/>
    <w:rsid w:val="009515E7"/>
    <w:rsid w:val="009540E8"/>
    <w:rsid w:val="00954DD6"/>
    <w:rsid w:val="009602A6"/>
    <w:rsid w:val="009631D1"/>
    <w:rsid w:val="0096573E"/>
    <w:rsid w:val="00965F8A"/>
    <w:rsid w:val="00967718"/>
    <w:rsid w:val="009709BD"/>
    <w:rsid w:val="00970D63"/>
    <w:rsid w:val="009742FC"/>
    <w:rsid w:val="00974AF2"/>
    <w:rsid w:val="0097652B"/>
    <w:rsid w:val="00983568"/>
    <w:rsid w:val="0098500C"/>
    <w:rsid w:val="00991EA4"/>
    <w:rsid w:val="00992972"/>
    <w:rsid w:val="009929ED"/>
    <w:rsid w:val="00992BE0"/>
    <w:rsid w:val="0099586D"/>
    <w:rsid w:val="00996119"/>
    <w:rsid w:val="0099771C"/>
    <w:rsid w:val="00997FB6"/>
    <w:rsid w:val="009B10D0"/>
    <w:rsid w:val="009B2F75"/>
    <w:rsid w:val="009C0F4F"/>
    <w:rsid w:val="009C4621"/>
    <w:rsid w:val="009C57D2"/>
    <w:rsid w:val="009D2533"/>
    <w:rsid w:val="009D3012"/>
    <w:rsid w:val="009D70B9"/>
    <w:rsid w:val="009D78D4"/>
    <w:rsid w:val="009E27BD"/>
    <w:rsid w:val="009E409E"/>
    <w:rsid w:val="009E472E"/>
    <w:rsid w:val="009E48EA"/>
    <w:rsid w:val="009E5106"/>
    <w:rsid w:val="009E5A8E"/>
    <w:rsid w:val="009E6C2E"/>
    <w:rsid w:val="009F1A8F"/>
    <w:rsid w:val="009F214D"/>
    <w:rsid w:val="009F29BB"/>
    <w:rsid w:val="009F5307"/>
    <w:rsid w:val="009F7E88"/>
    <w:rsid w:val="00A03655"/>
    <w:rsid w:val="00A066BF"/>
    <w:rsid w:val="00A0697E"/>
    <w:rsid w:val="00A10117"/>
    <w:rsid w:val="00A1030D"/>
    <w:rsid w:val="00A11FAF"/>
    <w:rsid w:val="00A145BD"/>
    <w:rsid w:val="00A155A2"/>
    <w:rsid w:val="00A156F6"/>
    <w:rsid w:val="00A2326D"/>
    <w:rsid w:val="00A24AE9"/>
    <w:rsid w:val="00A32397"/>
    <w:rsid w:val="00A326A0"/>
    <w:rsid w:val="00A360F5"/>
    <w:rsid w:val="00A40524"/>
    <w:rsid w:val="00A41602"/>
    <w:rsid w:val="00A42309"/>
    <w:rsid w:val="00A51575"/>
    <w:rsid w:val="00A5163D"/>
    <w:rsid w:val="00A5240A"/>
    <w:rsid w:val="00A52F50"/>
    <w:rsid w:val="00A54CE9"/>
    <w:rsid w:val="00A650B2"/>
    <w:rsid w:val="00A81532"/>
    <w:rsid w:val="00A846F7"/>
    <w:rsid w:val="00A849D7"/>
    <w:rsid w:val="00A857DD"/>
    <w:rsid w:val="00A9064B"/>
    <w:rsid w:val="00A907A1"/>
    <w:rsid w:val="00A93BCC"/>
    <w:rsid w:val="00A93E98"/>
    <w:rsid w:val="00AA0A42"/>
    <w:rsid w:val="00AA6DC8"/>
    <w:rsid w:val="00AB6755"/>
    <w:rsid w:val="00AC247F"/>
    <w:rsid w:val="00AC595D"/>
    <w:rsid w:val="00AC6029"/>
    <w:rsid w:val="00AC6A1D"/>
    <w:rsid w:val="00AC7C2D"/>
    <w:rsid w:val="00AD1145"/>
    <w:rsid w:val="00AD1705"/>
    <w:rsid w:val="00AD26B4"/>
    <w:rsid w:val="00AD2E63"/>
    <w:rsid w:val="00AD49C6"/>
    <w:rsid w:val="00AD6A03"/>
    <w:rsid w:val="00AE1991"/>
    <w:rsid w:val="00AE2A9E"/>
    <w:rsid w:val="00AF6029"/>
    <w:rsid w:val="00B018A5"/>
    <w:rsid w:val="00B021F5"/>
    <w:rsid w:val="00B07DEE"/>
    <w:rsid w:val="00B10E9C"/>
    <w:rsid w:val="00B12452"/>
    <w:rsid w:val="00B15D07"/>
    <w:rsid w:val="00B25965"/>
    <w:rsid w:val="00B33599"/>
    <w:rsid w:val="00B40980"/>
    <w:rsid w:val="00B42C2D"/>
    <w:rsid w:val="00B43417"/>
    <w:rsid w:val="00B46FA5"/>
    <w:rsid w:val="00B51CFB"/>
    <w:rsid w:val="00B52826"/>
    <w:rsid w:val="00B545A6"/>
    <w:rsid w:val="00B548AA"/>
    <w:rsid w:val="00B5521F"/>
    <w:rsid w:val="00B56BE4"/>
    <w:rsid w:val="00B657D4"/>
    <w:rsid w:val="00B65848"/>
    <w:rsid w:val="00B74735"/>
    <w:rsid w:val="00B76BE1"/>
    <w:rsid w:val="00B808B9"/>
    <w:rsid w:val="00B821FC"/>
    <w:rsid w:val="00B875B8"/>
    <w:rsid w:val="00B900F4"/>
    <w:rsid w:val="00BA3C91"/>
    <w:rsid w:val="00BB5341"/>
    <w:rsid w:val="00BC58BF"/>
    <w:rsid w:val="00BD005C"/>
    <w:rsid w:val="00BD335B"/>
    <w:rsid w:val="00BD3AF9"/>
    <w:rsid w:val="00BD77C0"/>
    <w:rsid w:val="00BE129D"/>
    <w:rsid w:val="00BE22CB"/>
    <w:rsid w:val="00BE3218"/>
    <w:rsid w:val="00BE3C9D"/>
    <w:rsid w:val="00BE4ED3"/>
    <w:rsid w:val="00BE6225"/>
    <w:rsid w:val="00BF514B"/>
    <w:rsid w:val="00BF7957"/>
    <w:rsid w:val="00C04351"/>
    <w:rsid w:val="00C10448"/>
    <w:rsid w:val="00C114E8"/>
    <w:rsid w:val="00C1710B"/>
    <w:rsid w:val="00C200AA"/>
    <w:rsid w:val="00C2312B"/>
    <w:rsid w:val="00C23706"/>
    <w:rsid w:val="00C23EFC"/>
    <w:rsid w:val="00C26D35"/>
    <w:rsid w:val="00C323A0"/>
    <w:rsid w:val="00C32486"/>
    <w:rsid w:val="00C33E44"/>
    <w:rsid w:val="00C3689C"/>
    <w:rsid w:val="00C42B2D"/>
    <w:rsid w:val="00C4476D"/>
    <w:rsid w:val="00C51A63"/>
    <w:rsid w:val="00C54F02"/>
    <w:rsid w:val="00C64540"/>
    <w:rsid w:val="00C67729"/>
    <w:rsid w:val="00C70283"/>
    <w:rsid w:val="00C74E70"/>
    <w:rsid w:val="00C753E8"/>
    <w:rsid w:val="00C75BE4"/>
    <w:rsid w:val="00C75DDC"/>
    <w:rsid w:val="00C825C4"/>
    <w:rsid w:val="00C94ACE"/>
    <w:rsid w:val="00CA178F"/>
    <w:rsid w:val="00CA3041"/>
    <w:rsid w:val="00CA4730"/>
    <w:rsid w:val="00CA515B"/>
    <w:rsid w:val="00CA6553"/>
    <w:rsid w:val="00CA6A54"/>
    <w:rsid w:val="00CB09B3"/>
    <w:rsid w:val="00CB7720"/>
    <w:rsid w:val="00CC1F93"/>
    <w:rsid w:val="00CC62D1"/>
    <w:rsid w:val="00CE1CEA"/>
    <w:rsid w:val="00CE7E1C"/>
    <w:rsid w:val="00CF15BD"/>
    <w:rsid w:val="00CF4360"/>
    <w:rsid w:val="00CF65B3"/>
    <w:rsid w:val="00D007E0"/>
    <w:rsid w:val="00D10135"/>
    <w:rsid w:val="00D116D3"/>
    <w:rsid w:val="00D11C9E"/>
    <w:rsid w:val="00D12503"/>
    <w:rsid w:val="00D12CB7"/>
    <w:rsid w:val="00D13AC5"/>
    <w:rsid w:val="00D162A9"/>
    <w:rsid w:val="00D1639A"/>
    <w:rsid w:val="00D252D5"/>
    <w:rsid w:val="00D2757A"/>
    <w:rsid w:val="00D300A7"/>
    <w:rsid w:val="00D31286"/>
    <w:rsid w:val="00D32813"/>
    <w:rsid w:val="00D41202"/>
    <w:rsid w:val="00D43D7A"/>
    <w:rsid w:val="00D55F90"/>
    <w:rsid w:val="00D56412"/>
    <w:rsid w:val="00D57F96"/>
    <w:rsid w:val="00D62572"/>
    <w:rsid w:val="00D6265A"/>
    <w:rsid w:val="00D628E1"/>
    <w:rsid w:val="00D63162"/>
    <w:rsid w:val="00D6563C"/>
    <w:rsid w:val="00D6653E"/>
    <w:rsid w:val="00D70169"/>
    <w:rsid w:val="00D70846"/>
    <w:rsid w:val="00D73069"/>
    <w:rsid w:val="00D74358"/>
    <w:rsid w:val="00D74A48"/>
    <w:rsid w:val="00D74F61"/>
    <w:rsid w:val="00D77ECF"/>
    <w:rsid w:val="00D80231"/>
    <w:rsid w:val="00D81DBE"/>
    <w:rsid w:val="00D8259F"/>
    <w:rsid w:val="00D835C1"/>
    <w:rsid w:val="00D83D1D"/>
    <w:rsid w:val="00D90C1B"/>
    <w:rsid w:val="00D93629"/>
    <w:rsid w:val="00D94BE6"/>
    <w:rsid w:val="00DA3A69"/>
    <w:rsid w:val="00DA7A88"/>
    <w:rsid w:val="00DB149F"/>
    <w:rsid w:val="00DB5F59"/>
    <w:rsid w:val="00DB5F94"/>
    <w:rsid w:val="00DC3A1C"/>
    <w:rsid w:val="00DC42D8"/>
    <w:rsid w:val="00DD0A65"/>
    <w:rsid w:val="00DD0F88"/>
    <w:rsid w:val="00DD10CF"/>
    <w:rsid w:val="00DD3EC5"/>
    <w:rsid w:val="00DD3F85"/>
    <w:rsid w:val="00DD732C"/>
    <w:rsid w:val="00DE5CD0"/>
    <w:rsid w:val="00DE63AA"/>
    <w:rsid w:val="00DF0244"/>
    <w:rsid w:val="00E016E2"/>
    <w:rsid w:val="00E01E6F"/>
    <w:rsid w:val="00E02758"/>
    <w:rsid w:val="00E118EC"/>
    <w:rsid w:val="00E11A77"/>
    <w:rsid w:val="00E11DD3"/>
    <w:rsid w:val="00E13FA0"/>
    <w:rsid w:val="00E142D3"/>
    <w:rsid w:val="00E14473"/>
    <w:rsid w:val="00E31F72"/>
    <w:rsid w:val="00E3720C"/>
    <w:rsid w:val="00E37A88"/>
    <w:rsid w:val="00E413C2"/>
    <w:rsid w:val="00E41704"/>
    <w:rsid w:val="00E45053"/>
    <w:rsid w:val="00E528A6"/>
    <w:rsid w:val="00E572FF"/>
    <w:rsid w:val="00E63191"/>
    <w:rsid w:val="00E6399D"/>
    <w:rsid w:val="00E731CB"/>
    <w:rsid w:val="00E75EB9"/>
    <w:rsid w:val="00E803D2"/>
    <w:rsid w:val="00E81AEE"/>
    <w:rsid w:val="00E81C90"/>
    <w:rsid w:val="00E830EF"/>
    <w:rsid w:val="00E831ED"/>
    <w:rsid w:val="00E84549"/>
    <w:rsid w:val="00E87245"/>
    <w:rsid w:val="00E90530"/>
    <w:rsid w:val="00EA0576"/>
    <w:rsid w:val="00EA2C95"/>
    <w:rsid w:val="00EA35A9"/>
    <w:rsid w:val="00EA71F3"/>
    <w:rsid w:val="00EB0EDD"/>
    <w:rsid w:val="00EB472A"/>
    <w:rsid w:val="00EB7A16"/>
    <w:rsid w:val="00EC0796"/>
    <w:rsid w:val="00EC3073"/>
    <w:rsid w:val="00EC31E0"/>
    <w:rsid w:val="00EC55C9"/>
    <w:rsid w:val="00EC5EC0"/>
    <w:rsid w:val="00ED070B"/>
    <w:rsid w:val="00ED7025"/>
    <w:rsid w:val="00EE36C5"/>
    <w:rsid w:val="00EE53AF"/>
    <w:rsid w:val="00F04125"/>
    <w:rsid w:val="00F05636"/>
    <w:rsid w:val="00F059C2"/>
    <w:rsid w:val="00F0794C"/>
    <w:rsid w:val="00F10479"/>
    <w:rsid w:val="00F20815"/>
    <w:rsid w:val="00F2105C"/>
    <w:rsid w:val="00F22638"/>
    <w:rsid w:val="00F24AD7"/>
    <w:rsid w:val="00F24F68"/>
    <w:rsid w:val="00F26410"/>
    <w:rsid w:val="00F269F8"/>
    <w:rsid w:val="00F303DB"/>
    <w:rsid w:val="00F3137B"/>
    <w:rsid w:val="00F37775"/>
    <w:rsid w:val="00F46087"/>
    <w:rsid w:val="00F462CD"/>
    <w:rsid w:val="00F47E53"/>
    <w:rsid w:val="00F50486"/>
    <w:rsid w:val="00F5335A"/>
    <w:rsid w:val="00F53B0F"/>
    <w:rsid w:val="00F54CCB"/>
    <w:rsid w:val="00F54D64"/>
    <w:rsid w:val="00F54F0F"/>
    <w:rsid w:val="00F6034A"/>
    <w:rsid w:val="00F6187E"/>
    <w:rsid w:val="00F6422B"/>
    <w:rsid w:val="00F6429C"/>
    <w:rsid w:val="00F64721"/>
    <w:rsid w:val="00F67648"/>
    <w:rsid w:val="00F714C1"/>
    <w:rsid w:val="00F755BA"/>
    <w:rsid w:val="00F77A34"/>
    <w:rsid w:val="00F85C16"/>
    <w:rsid w:val="00F91502"/>
    <w:rsid w:val="00F923F7"/>
    <w:rsid w:val="00F934FE"/>
    <w:rsid w:val="00F95D4B"/>
    <w:rsid w:val="00FA1227"/>
    <w:rsid w:val="00FA1549"/>
    <w:rsid w:val="00FA612F"/>
    <w:rsid w:val="00FA7086"/>
    <w:rsid w:val="00FA76B0"/>
    <w:rsid w:val="00FB09D9"/>
    <w:rsid w:val="00FB0D93"/>
    <w:rsid w:val="00FB0E06"/>
    <w:rsid w:val="00FB38C7"/>
    <w:rsid w:val="00FB5CA9"/>
    <w:rsid w:val="00FB64A8"/>
    <w:rsid w:val="00FB6EAF"/>
    <w:rsid w:val="00FC422A"/>
    <w:rsid w:val="00FC72CE"/>
    <w:rsid w:val="00FC78AB"/>
    <w:rsid w:val="00FD1054"/>
    <w:rsid w:val="00FD34F1"/>
    <w:rsid w:val="00FD3AD0"/>
    <w:rsid w:val="00FD3F5E"/>
    <w:rsid w:val="00FD4822"/>
    <w:rsid w:val="00FD6257"/>
    <w:rsid w:val="00FE1D0D"/>
    <w:rsid w:val="00FE600F"/>
    <w:rsid w:val="00FE694F"/>
    <w:rsid w:val="00FE751B"/>
    <w:rsid w:val="00FF0DD7"/>
    <w:rsid w:val="00FF308B"/>
    <w:rsid w:val="00FF365E"/>
    <w:rsid w:val="00FF6636"/>
    <w:rsid w:val="00FF776B"/>
    <w:rsid w:val="00FF7B5B"/>
    <w:rsid w:val="61541455"/>
    <w:rsid w:val="748510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Times New Roman"/>
      <w:color w:val="2F5496"/>
      <w:sz w:val="48"/>
      <w:szCs w:val="48"/>
    </w:rPr>
  </w:style>
  <w:style w:type="paragraph" w:styleId="3">
    <w:name w:val="heading 2"/>
    <w:basedOn w:val="1"/>
    <w:next w:val="1"/>
    <w:link w:val="22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Times New Roman"/>
      <w:color w:val="2F5496"/>
      <w:sz w:val="40"/>
      <w:szCs w:val="40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Times New Roman"/>
      <w:color w:val="2F5496"/>
      <w:sz w:val="32"/>
      <w:szCs w:val="32"/>
    </w:rPr>
  </w:style>
  <w:style w:type="paragraph" w:styleId="5">
    <w:name w:val="heading 4"/>
    <w:basedOn w:val="1"/>
    <w:next w:val="1"/>
    <w:link w:val="24"/>
    <w:qFormat/>
    <w:uiPriority w:val="9"/>
    <w:pPr>
      <w:keepNext/>
      <w:keepLines/>
      <w:spacing w:before="80" w:after="40"/>
      <w:outlineLvl w:val="3"/>
    </w:pPr>
    <w:rPr>
      <w:rFonts w:cs="Times New Roman"/>
      <w:color w:val="2F5496"/>
      <w:sz w:val="28"/>
      <w:szCs w:val="28"/>
    </w:rPr>
  </w:style>
  <w:style w:type="paragraph" w:styleId="6">
    <w:name w:val="heading 5"/>
    <w:basedOn w:val="1"/>
    <w:next w:val="1"/>
    <w:link w:val="25"/>
    <w:qFormat/>
    <w:uiPriority w:val="9"/>
    <w:pPr>
      <w:keepNext/>
      <w:keepLines/>
      <w:spacing w:before="80" w:after="40"/>
      <w:outlineLvl w:val="4"/>
    </w:pPr>
    <w:rPr>
      <w:rFonts w:cs="Times New Roman"/>
      <w:color w:val="2F5496"/>
      <w:sz w:val="24"/>
    </w:rPr>
  </w:style>
  <w:style w:type="paragraph" w:styleId="7">
    <w:name w:val="heading 6"/>
    <w:basedOn w:val="1"/>
    <w:next w:val="1"/>
    <w:link w:val="26"/>
    <w:qFormat/>
    <w:uiPriority w:val="9"/>
    <w:pPr>
      <w:keepNext/>
      <w:keepLines/>
      <w:spacing w:before="40" w:after="0"/>
      <w:outlineLvl w:val="5"/>
    </w:pPr>
    <w:rPr>
      <w:rFonts w:cs="Times New Roman"/>
      <w:b/>
      <w:bCs/>
      <w:color w:val="2F5496"/>
    </w:rPr>
  </w:style>
  <w:style w:type="paragraph" w:styleId="8">
    <w:name w:val="heading 7"/>
    <w:basedOn w:val="1"/>
    <w:next w:val="1"/>
    <w:link w:val="27"/>
    <w:qFormat/>
    <w:uiPriority w:val="9"/>
    <w:pPr>
      <w:keepNext/>
      <w:keepLines/>
      <w:spacing w:before="40" w:after="0"/>
      <w:outlineLvl w:val="6"/>
    </w:pPr>
    <w:rPr>
      <w:rFonts w:cs="Times New Roman"/>
      <w:b/>
      <w:bCs/>
      <w:color w:val="595959"/>
    </w:rPr>
  </w:style>
  <w:style w:type="paragraph" w:styleId="9">
    <w:name w:val="heading 8"/>
    <w:basedOn w:val="1"/>
    <w:next w:val="1"/>
    <w:link w:val="28"/>
    <w:qFormat/>
    <w:uiPriority w:val="9"/>
    <w:pPr>
      <w:keepNext/>
      <w:keepLines/>
      <w:spacing w:after="0"/>
      <w:outlineLvl w:val="7"/>
    </w:pPr>
    <w:rPr>
      <w:rFonts w:cs="Times New Roman"/>
      <w:color w:val="595959"/>
    </w:rPr>
  </w:style>
  <w:style w:type="paragraph" w:styleId="10">
    <w:name w:val="heading 9"/>
    <w:basedOn w:val="1"/>
    <w:next w:val="1"/>
    <w:link w:val="29"/>
    <w:qFormat/>
    <w:uiPriority w:val="9"/>
    <w:pPr>
      <w:keepNext/>
      <w:keepLines/>
      <w:spacing w:after="0"/>
      <w:outlineLvl w:val="8"/>
    </w:pPr>
    <w:rPr>
      <w:rFonts w:eastAsia="等线 Light" w:cs="Times New Roman"/>
      <w:color w:val="595959"/>
    </w:rPr>
  </w:style>
  <w:style w:type="character" w:default="1" w:styleId="18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Style w:val="16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0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2"/>
    <w:qFormat/>
    <w:uiPriority w:val="11"/>
    <w:pPr>
      <w:numPr>
        <w:ilvl w:val="1"/>
        <w:numId w:val="0"/>
      </w:numPr>
      <w:jc w:val="center"/>
    </w:pPr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paragraph" w:styleId="14">
    <w:name w:val="Normal (Web)"/>
    <w:basedOn w:val="1"/>
    <w:unhideWhenUsed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</w:rPr>
  </w:style>
  <w:style w:type="paragraph" w:styleId="15">
    <w:name w:val="Title"/>
    <w:basedOn w:val="1"/>
    <w:next w:val="1"/>
    <w:link w:val="33"/>
    <w:qFormat/>
    <w:uiPriority w:val="10"/>
    <w:pPr>
      <w:spacing w:after="80" w:line="240" w:lineRule="auto"/>
      <w:contextualSpacing/>
      <w:jc w:val="center"/>
    </w:pPr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tblPr>
      <w:tblStyle w:val="1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line number"/>
    <w:unhideWhenUsed/>
    <w:uiPriority w:val="99"/>
  </w:style>
  <w:style w:type="character" w:styleId="20">
    <w:name w:val="Hyperlink"/>
    <w:unhideWhenUsed/>
    <w:uiPriority w:val="99"/>
    <w:rPr>
      <w:color w:val="0563C1"/>
      <w:u w:val="single"/>
    </w:rPr>
  </w:style>
  <w:style w:type="character" w:customStyle="1" w:styleId="21">
    <w:name w:val="标题 1 字符"/>
    <w:link w:val="2"/>
    <w:uiPriority w:val="9"/>
    <w:rPr>
      <w:rFonts w:ascii="等线 Light" w:hAnsi="等线 Light" w:eastAsia="等线 Light" w:cs="Times New Roman"/>
      <w:color w:val="2F5496"/>
      <w:sz w:val="48"/>
      <w:szCs w:val="48"/>
    </w:rPr>
  </w:style>
  <w:style w:type="character" w:customStyle="1" w:styleId="22">
    <w:name w:val="标题 2 字符"/>
    <w:link w:val="3"/>
    <w:semiHidden/>
    <w:uiPriority w:val="9"/>
    <w:rPr>
      <w:rFonts w:ascii="等线 Light" w:hAnsi="等线 Light" w:eastAsia="等线 Light" w:cs="Times New Roman"/>
      <w:color w:val="2F5496"/>
      <w:sz w:val="40"/>
      <w:szCs w:val="40"/>
    </w:rPr>
  </w:style>
  <w:style w:type="character" w:customStyle="1" w:styleId="23">
    <w:name w:val="标题 3 字符"/>
    <w:link w:val="4"/>
    <w:semiHidden/>
    <w:uiPriority w:val="9"/>
    <w:rPr>
      <w:rFonts w:ascii="等线 Light" w:hAnsi="等线 Light" w:eastAsia="等线 Light" w:cs="Times New Roman"/>
      <w:color w:val="2F5496"/>
      <w:sz w:val="32"/>
      <w:szCs w:val="32"/>
    </w:rPr>
  </w:style>
  <w:style w:type="character" w:customStyle="1" w:styleId="24">
    <w:name w:val="标题 4 字符"/>
    <w:link w:val="5"/>
    <w:semiHidden/>
    <w:uiPriority w:val="9"/>
    <w:rPr>
      <w:rFonts w:cs="Times New Roman"/>
      <w:color w:val="2F5496"/>
      <w:sz w:val="28"/>
      <w:szCs w:val="28"/>
    </w:rPr>
  </w:style>
  <w:style w:type="character" w:customStyle="1" w:styleId="25">
    <w:name w:val="标题 5 字符"/>
    <w:link w:val="6"/>
    <w:semiHidden/>
    <w:uiPriority w:val="9"/>
    <w:rPr>
      <w:rFonts w:cs="Times New Roman"/>
      <w:color w:val="2F5496"/>
      <w:sz w:val="24"/>
    </w:rPr>
  </w:style>
  <w:style w:type="character" w:customStyle="1" w:styleId="26">
    <w:name w:val="标题 6 字符"/>
    <w:link w:val="7"/>
    <w:semiHidden/>
    <w:uiPriority w:val="9"/>
    <w:rPr>
      <w:rFonts w:cs="Times New Roman"/>
      <w:b/>
      <w:bCs/>
      <w:color w:val="2F5496"/>
    </w:rPr>
  </w:style>
  <w:style w:type="character" w:customStyle="1" w:styleId="27">
    <w:name w:val="标题 7 字符"/>
    <w:link w:val="8"/>
    <w:semiHidden/>
    <w:uiPriority w:val="9"/>
    <w:rPr>
      <w:rFonts w:cs="Times New Roman"/>
      <w:b/>
      <w:bCs/>
      <w:color w:val="595959"/>
    </w:rPr>
  </w:style>
  <w:style w:type="character" w:customStyle="1" w:styleId="28">
    <w:name w:val="标题 8 字符"/>
    <w:link w:val="9"/>
    <w:semiHidden/>
    <w:uiPriority w:val="9"/>
    <w:rPr>
      <w:rFonts w:cs="Times New Roman"/>
      <w:color w:val="595959"/>
    </w:rPr>
  </w:style>
  <w:style w:type="character" w:customStyle="1" w:styleId="29">
    <w:name w:val="标题 9 字符"/>
    <w:link w:val="10"/>
    <w:semiHidden/>
    <w:uiPriority w:val="9"/>
    <w:rPr>
      <w:rFonts w:eastAsia="等线 Light" w:cs="Times New Roman"/>
      <w:color w:val="595959"/>
    </w:rPr>
  </w:style>
  <w:style w:type="character" w:customStyle="1" w:styleId="30">
    <w:name w:val="页脚 字符"/>
    <w:link w:val="11"/>
    <w:uiPriority w:val="99"/>
    <w:rPr>
      <w:sz w:val="18"/>
      <w:szCs w:val="18"/>
    </w:rPr>
  </w:style>
  <w:style w:type="character" w:customStyle="1" w:styleId="31">
    <w:name w:val="页眉 字符"/>
    <w:link w:val="12"/>
    <w:uiPriority w:val="99"/>
    <w:rPr>
      <w:sz w:val="18"/>
      <w:szCs w:val="18"/>
    </w:rPr>
  </w:style>
  <w:style w:type="character" w:customStyle="1" w:styleId="32">
    <w:name w:val="副标题 字符"/>
    <w:link w:val="13"/>
    <w:uiPriority w:val="11"/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character" w:customStyle="1" w:styleId="33">
    <w:name w:val="标题 字符"/>
    <w:link w:val="15"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35">
    <w:name w:val="引用 字符"/>
    <w:link w:val="34"/>
    <w:uiPriority w:val="29"/>
    <w:rPr>
      <w:i/>
      <w:iCs/>
      <w:color w:val="404040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styleId="37">
    <w:name w:val=""/>
    <w:qFormat/>
    <w:uiPriority w:val="21"/>
    <w:rPr>
      <w:i/>
      <w:iCs/>
      <w:color w:val="2F5496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39">
    <w:name w:val="明显引用 字符"/>
    <w:link w:val="38"/>
    <w:uiPriority w:val="30"/>
    <w:rPr>
      <w:i/>
      <w:iCs/>
      <w:color w:val="2F5496"/>
    </w:rPr>
  </w:style>
  <w:style w:type="character" w:styleId="40">
    <w:name w:val=""/>
    <w:qFormat/>
    <w:uiPriority w:val="32"/>
    <w:rPr>
      <w:b/>
      <w:bCs/>
      <w:smallCaps/>
      <w:color w:val="2F5496"/>
      <w:spacing w:val="5"/>
    </w:rPr>
  </w:style>
  <w:style w:type="character" w:styleId="41">
    <w:name w:val="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835</Words>
  <Characters>4369</Characters>
  <Lines>75</Lines>
  <Paragraphs>24</Paragraphs>
  <TotalTime>0</TotalTime>
  <ScaleCrop>false</ScaleCrop>
  <LinksUpToDate>false</LinksUpToDate>
  <CharactersWithSpaces>5192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2025-12-04T05:31:00Z</dcterms:created>
  <dc:creator>zhuan</dc:creator>
  <cp:lastModifiedBy>张转</cp:lastModifiedBy>
  <cp:lastPrinted>2025-05-31T11:20:00Z</cp:lastPrinted>
  <dcterms:modified xsi:type="dcterms:W3CDTF">2025-12-04T12:48:16Z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eyJoZGlkIjoiMGQwYTMzZDkyMzI3OGFjYjZkMjFhZGJjNzIyZDQ2YTIiLCJ1c2VySWQiOiIzMjAyNDYxMjMifQ==</vt:lpwstr>
  </property>
  <property fmtid="{D5CDD505-2E9C-101B-9397-08002B2CF9AE}" pid="4" name="ICV">
    <vt:lpwstr>20E2904F263C45DCA6061EE3E024E492_13</vt:lpwstr>
  </property>
</Properties>
</file>