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182A83">
      <w:pPr>
        <w:pStyle w:val="46"/>
        <w:rPr>
          <w:rFonts w:eastAsiaTheme="minorEastAsia"/>
          <w:color w:val="auto"/>
          <w:lang w:eastAsia="zh-CN"/>
        </w:rPr>
      </w:pPr>
      <w:bookmarkStart w:id="4" w:name="_GoBack"/>
      <w:r>
        <w:rPr>
          <w:color w:val="auto"/>
        </w:rPr>
        <w:t>Reinvigorating CD8</w:t>
      </w:r>
      <w:r>
        <w:rPr>
          <w:rFonts w:eastAsia="宋体"/>
          <w:color w:val="auto"/>
          <w:vertAlign w:val="superscript"/>
          <w:lang w:eastAsia="zh-CN"/>
        </w:rPr>
        <w:t>+</w:t>
      </w:r>
      <w:r>
        <w:rPr>
          <w:color w:val="auto"/>
        </w:rPr>
        <w:t xml:space="preserve"> T Cells through ADRB1 Blockade Using Copper-Propranolol Nanoparticles for Enhanced Immune Checkpoint Blockade Therapy</w:t>
      </w:r>
    </w:p>
    <w:p w14:paraId="1323A767">
      <w:pPr>
        <w:jc w:val="both"/>
        <w:rPr>
          <w:rFonts w:ascii="Times New Roman" w:hAnsi="Times New Roman" w:cs="Times New Roman"/>
          <w:color w:val="auto"/>
          <w:sz w:val="24"/>
        </w:rPr>
      </w:pPr>
      <w:bookmarkStart w:id="0" w:name="_Hlk208415271"/>
      <w:bookmarkStart w:id="1" w:name="_Hlk208415077"/>
      <w:r>
        <w:rPr>
          <w:rFonts w:hint="eastAsia" w:ascii="Times New Roman" w:hAnsi="Times New Roman" w:cs="Times New Roman"/>
          <w:color w:val="auto"/>
          <w:sz w:val="24"/>
        </w:rPr>
        <w:t>Binshu Weng, Nan Zhu, Huirong Li, Lishan Ding, Yutong Wu, Ying Chen, Yijie Xi, Lifan Lin, Jiawen Chen, Le Xin, Jinjun Ye*, Yanfeng Hu*, Guoxin Li*</w:t>
      </w:r>
      <w:bookmarkEnd w:id="0"/>
      <w:r>
        <w:rPr>
          <w:rFonts w:hint="eastAsia" w:ascii="Times New Roman" w:hAnsi="Times New Roman" w:cs="Times New Roman"/>
          <w:color w:val="auto"/>
          <w:sz w:val="24"/>
        </w:rPr>
        <w:t>, Weihong Guo*</w:t>
      </w:r>
    </w:p>
    <w:p w14:paraId="59D9DCA7">
      <w:pPr>
        <w:rPr>
          <w:rFonts w:ascii="Times New Roman" w:hAnsi="Times New Roman" w:cs="Times New Roman"/>
          <w:color w:val="auto"/>
          <w:sz w:val="24"/>
        </w:rPr>
      </w:pPr>
    </w:p>
    <w:p w14:paraId="15F2E264">
      <w:pPr>
        <w:rPr>
          <w:rFonts w:ascii="Times New Roman" w:hAnsi="Times New Roman" w:cs="Times New Roman"/>
          <w:color w:val="auto"/>
          <w:sz w:val="24"/>
        </w:rPr>
      </w:pPr>
      <w:r>
        <w:rPr>
          <w:rFonts w:hint="eastAsia" w:ascii="Times New Roman" w:hAnsi="Times New Roman" w:cs="Times New Roman"/>
          <w:color w:val="auto"/>
          <w:sz w:val="24"/>
        </w:rPr>
        <w:t>Including affiliation:</w:t>
      </w:r>
    </w:p>
    <w:bookmarkEnd w:id="1"/>
    <w:p w14:paraId="21E3C323">
      <w:pPr>
        <w:rPr>
          <w:rFonts w:ascii="Times New Roman" w:hAnsi="Times New Roman" w:cs="Times New Roman"/>
          <w:color w:val="auto"/>
          <w:sz w:val="24"/>
        </w:rPr>
      </w:pPr>
      <w:bookmarkStart w:id="2" w:name="_Hlk208415582"/>
      <w:r>
        <w:rPr>
          <w:rFonts w:hint="eastAsia" w:ascii="Times New Roman" w:hAnsi="Times New Roman" w:cs="Times New Roman"/>
          <w:color w:val="auto"/>
          <w:sz w:val="24"/>
        </w:rPr>
        <w:t>B. Weng, N. Zhu, Y. Wu, Y. Chen, Y. Xi, L. Lin, J. Chen, Y. Hu, G. Li, W. Guo</w:t>
      </w:r>
    </w:p>
    <w:p w14:paraId="39C1E105">
      <w:pPr>
        <w:rPr>
          <w:rFonts w:ascii="Times New Roman" w:hAnsi="Times New Roman" w:cs="Times New Roman"/>
          <w:color w:val="auto"/>
          <w:sz w:val="24"/>
        </w:rPr>
      </w:pPr>
      <w:r>
        <w:rPr>
          <w:rFonts w:hint="eastAsia" w:ascii="Times New Roman" w:hAnsi="Times New Roman" w:cs="Times New Roman"/>
          <w:color w:val="auto"/>
          <w:sz w:val="24"/>
        </w:rPr>
        <w:t>Department of General Surgery</w:t>
      </w:r>
    </w:p>
    <w:p w14:paraId="5DE24558">
      <w:pPr>
        <w:rPr>
          <w:rFonts w:ascii="Times New Roman" w:hAnsi="Times New Roman" w:cs="Times New Roman"/>
          <w:color w:val="auto"/>
          <w:sz w:val="24"/>
        </w:rPr>
      </w:pPr>
      <w:r>
        <w:rPr>
          <w:rFonts w:hint="eastAsia" w:ascii="Times New Roman" w:hAnsi="Times New Roman" w:cs="Times New Roman"/>
          <w:color w:val="auto"/>
          <w:sz w:val="24"/>
        </w:rPr>
        <w:t>Nanfang Hospital, Southern Medical University</w:t>
      </w:r>
    </w:p>
    <w:p w14:paraId="4C8B3A94">
      <w:pPr>
        <w:rPr>
          <w:rFonts w:ascii="Times New Roman" w:hAnsi="Times New Roman" w:cs="Times New Roman"/>
          <w:color w:val="auto"/>
          <w:sz w:val="24"/>
        </w:rPr>
      </w:pPr>
      <w:r>
        <w:rPr>
          <w:rFonts w:hint="eastAsia" w:ascii="Times New Roman" w:hAnsi="Times New Roman" w:cs="Times New Roman"/>
          <w:color w:val="auto"/>
          <w:sz w:val="24"/>
        </w:rPr>
        <w:t>Guangzhou 510515, China</w:t>
      </w:r>
    </w:p>
    <w:p w14:paraId="1453120A">
      <w:pPr>
        <w:rPr>
          <w:rFonts w:ascii="Times New Roman" w:hAnsi="Times New Roman" w:cs="Times New Roman"/>
          <w:color w:val="auto"/>
          <w:sz w:val="24"/>
        </w:rPr>
      </w:pPr>
    </w:p>
    <w:p w14:paraId="51E7CE0B">
      <w:pPr>
        <w:rPr>
          <w:rFonts w:ascii="Times New Roman" w:hAnsi="Times New Roman" w:cs="Times New Roman"/>
          <w:color w:val="auto"/>
          <w:sz w:val="24"/>
        </w:rPr>
      </w:pPr>
      <w:r>
        <w:rPr>
          <w:rFonts w:hint="eastAsia" w:ascii="Times New Roman" w:hAnsi="Times New Roman" w:cs="Times New Roman"/>
          <w:color w:val="auto"/>
          <w:sz w:val="24"/>
        </w:rPr>
        <w:t>N. Zhu, L. Ding, G. Li</w:t>
      </w:r>
    </w:p>
    <w:p w14:paraId="44D84F9E">
      <w:pPr>
        <w:rPr>
          <w:rFonts w:ascii="Times New Roman" w:hAnsi="Times New Roman" w:cs="Times New Roman"/>
          <w:color w:val="auto"/>
          <w:sz w:val="24"/>
        </w:rPr>
      </w:pPr>
      <w:r>
        <w:rPr>
          <w:rFonts w:hint="eastAsia" w:ascii="Times New Roman" w:hAnsi="Times New Roman" w:cs="Times New Roman"/>
          <w:color w:val="auto"/>
          <w:sz w:val="24"/>
        </w:rPr>
        <w:t>Cancer Center of Beijing Tsinghua Changgung Hospital</w:t>
      </w:r>
    </w:p>
    <w:p w14:paraId="39732F26">
      <w:pPr>
        <w:rPr>
          <w:rFonts w:ascii="Times New Roman" w:hAnsi="Times New Roman" w:cs="Times New Roman"/>
          <w:color w:val="auto"/>
          <w:sz w:val="24"/>
        </w:rPr>
      </w:pPr>
      <w:r>
        <w:rPr>
          <w:rFonts w:hint="eastAsia" w:ascii="Times New Roman" w:hAnsi="Times New Roman" w:cs="Times New Roman"/>
          <w:color w:val="auto"/>
          <w:sz w:val="24"/>
        </w:rPr>
        <w:t>School of Clinical Medicine, Tsinghua Medicine, Tsinghua University</w:t>
      </w:r>
    </w:p>
    <w:p w14:paraId="12E49AFA">
      <w:pPr>
        <w:rPr>
          <w:rFonts w:ascii="Times New Roman" w:hAnsi="Times New Roman" w:cs="Times New Roman"/>
          <w:color w:val="auto"/>
          <w:sz w:val="24"/>
        </w:rPr>
      </w:pPr>
      <w:r>
        <w:rPr>
          <w:rFonts w:hint="eastAsia" w:ascii="Times New Roman" w:hAnsi="Times New Roman" w:cs="Times New Roman"/>
          <w:color w:val="auto"/>
          <w:sz w:val="24"/>
        </w:rPr>
        <w:t>Beijing 102218, China</w:t>
      </w:r>
    </w:p>
    <w:p w14:paraId="671A17F3">
      <w:pPr>
        <w:rPr>
          <w:rFonts w:ascii="Times New Roman" w:hAnsi="Times New Roman" w:cs="Times New Roman"/>
          <w:color w:val="auto"/>
          <w:sz w:val="24"/>
        </w:rPr>
      </w:pPr>
    </w:p>
    <w:p w14:paraId="6F15A8C8">
      <w:pPr>
        <w:rPr>
          <w:rFonts w:ascii="Times New Roman" w:hAnsi="Times New Roman" w:cs="Times New Roman"/>
          <w:color w:val="auto"/>
          <w:sz w:val="24"/>
        </w:rPr>
      </w:pPr>
      <w:r>
        <w:rPr>
          <w:rFonts w:hint="eastAsia" w:ascii="Times New Roman" w:hAnsi="Times New Roman" w:cs="Times New Roman"/>
          <w:color w:val="auto"/>
          <w:sz w:val="24"/>
        </w:rPr>
        <w:t>H. Li, J. Ye</w:t>
      </w:r>
    </w:p>
    <w:p w14:paraId="2CF8E2E4">
      <w:pPr>
        <w:rPr>
          <w:rFonts w:ascii="Times New Roman" w:hAnsi="Times New Roman" w:cs="Times New Roman"/>
          <w:color w:val="auto"/>
          <w:sz w:val="24"/>
        </w:rPr>
      </w:pPr>
      <w:r>
        <w:rPr>
          <w:rFonts w:hint="eastAsia" w:ascii="Times New Roman" w:hAnsi="Times New Roman" w:cs="Times New Roman"/>
          <w:color w:val="auto"/>
          <w:sz w:val="24"/>
        </w:rPr>
        <w:t>Shenzhen Clinical Medical College, Guangzhou University of Chinese Medicine</w:t>
      </w:r>
    </w:p>
    <w:p w14:paraId="6324FD66">
      <w:pPr>
        <w:rPr>
          <w:rFonts w:ascii="Times New Roman" w:hAnsi="Times New Roman" w:cs="Times New Roman"/>
          <w:color w:val="auto"/>
          <w:sz w:val="24"/>
        </w:rPr>
      </w:pPr>
      <w:r>
        <w:rPr>
          <w:rFonts w:hint="eastAsia" w:ascii="Times New Roman" w:hAnsi="Times New Roman" w:cs="Times New Roman"/>
          <w:color w:val="auto"/>
          <w:sz w:val="24"/>
        </w:rPr>
        <w:t>Guangzhou 510006, China</w:t>
      </w:r>
    </w:p>
    <w:p w14:paraId="1D1A1137">
      <w:pPr>
        <w:rPr>
          <w:rFonts w:ascii="Times New Roman" w:hAnsi="Times New Roman" w:cs="Times New Roman"/>
          <w:color w:val="auto"/>
          <w:sz w:val="24"/>
        </w:rPr>
      </w:pPr>
    </w:p>
    <w:p w14:paraId="0C1338AF">
      <w:pPr>
        <w:rPr>
          <w:rFonts w:ascii="Times New Roman" w:hAnsi="Times New Roman" w:cs="Times New Roman"/>
          <w:color w:val="auto"/>
          <w:sz w:val="24"/>
        </w:rPr>
      </w:pPr>
      <w:r>
        <w:rPr>
          <w:rFonts w:hint="eastAsia" w:ascii="Times New Roman" w:hAnsi="Times New Roman" w:cs="Times New Roman"/>
          <w:color w:val="auto"/>
          <w:sz w:val="24"/>
        </w:rPr>
        <w:t>L. Xin, J. Ye</w:t>
      </w:r>
    </w:p>
    <w:p w14:paraId="587252E9">
      <w:pPr>
        <w:rPr>
          <w:rFonts w:ascii="Times New Roman" w:hAnsi="Times New Roman" w:cs="Times New Roman"/>
          <w:color w:val="auto"/>
          <w:sz w:val="24"/>
        </w:rPr>
      </w:pPr>
      <w:r>
        <w:rPr>
          <w:rFonts w:hint="eastAsia" w:ascii="Times New Roman" w:hAnsi="Times New Roman" w:cs="Times New Roman"/>
          <w:color w:val="auto"/>
          <w:sz w:val="24"/>
        </w:rPr>
        <w:t>Department of General Surgery</w:t>
      </w:r>
    </w:p>
    <w:p w14:paraId="34E39D78">
      <w:pPr>
        <w:rPr>
          <w:rFonts w:ascii="Times New Roman" w:hAnsi="Times New Roman" w:cs="Times New Roman"/>
          <w:color w:val="auto"/>
          <w:sz w:val="24"/>
        </w:rPr>
      </w:pPr>
      <w:r>
        <w:rPr>
          <w:rFonts w:hint="eastAsia" w:ascii="Times New Roman" w:hAnsi="Times New Roman" w:cs="Times New Roman"/>
          <w:color w:val="auto"/>
          <w:sz w:val="24"/>
        </w:rPr>
        <w:t>Longgang Central Hospital of Shenzhen</w:t>
      </w:r>
    </w:p>
    <w:p w14:paraId="1B1CE2DB">
      <w:pPr>
        <w:rPr>
          <w:rFonts w:ascii="Times New Roman" w:hAnsi="Times New Roman" w:cs="Times New Roman"/>
          <w:color w:val="auto"/>
          <w:sz w:val="24"/>
        </w:rPr>
      </w:pPr>
      <w:r>
        <w:rPr>
          <w:rFonts w:hint="eastAsia" w:ascii="Times New Roman" w:hAnsi="Times New Roman" w:cs="Times New Roman"/>
          <w:color w:val="auto"/>
          <w:sz w:val="24"/>
        </w:rPr>
        <w:t>Shenzhen 518100, China</w:t>
      </w:r>
      <w:bookmarkEnd w:id="2"/>
    </w:p>
    <w:p w14:paraId="3E37B25E">
      <w:pPr>
        <w:rPr>
          <w:rFonts w:ascii="Times New Roman" w:hAnsi="Times New Roman" w:cs="Times New Roman"/>
          <w:color w:val="auto"/>
          <w:sz w:val="24"/>
        </w:rPr>
      </w:pPr>
    </w:p>
    <w:p w14:paraId="79C28C92">
      <w:pPr>
        <w:rPr>
          <w:rFonts w:ascii="Times New Roman" w:hAnsi="Times New Roman" w:cs="Times New Roman"/>
          <w:color w:val="auto"/>
          <w:sz w:val="24"/>
        </w:rPr>
      </w:pPr>
      <w:r>
        <w:rPr>
          <w:rFonts w:hint="eastAsia" w:ascii="Times New Roman" w:hAnsi="Times New Roman" w:cs="Times New Roman"/>
          <w:color w:val="auto"/>
          <w:sz w:val="24"/>
        </w:rPr>
        <w:t xml:space="preserve">E-mail:  </w:t>
      </w:r>
    </w:p>
    <w:p w14:paraId="3797C7BB">
      <w:pPr>
        <w:rPr>
          <w:rFonts w:ascii="Times New Roman" w:hAnsi="Times New Roman" w:cs="Times New Roman"/>
          <w:color w:val="auto"/>
          <w:sz w:val="24"/>
        </w:rPr>
      </w:pPr>
      <w:r>
        <w:rPr>
          <w:rFonts w:hint="eastAsia" w:ascii="Times New Roman" w:hAnsi="Times New Roman" w:cs="Times New Roman"/>
          <w:color w:val="auto"/>
          <w:sz w:val="24"/>
        </w:rPr>
        <w:t xml:space="preserve">J. Ye: yejj610@163.com;  </w:t>
      </w:r>
    </w:p>
    <w:p w14:paraId="54D6332A">
      <w:pPr>
        <w:rPr>
          <w:rFonts w:ascii="Times New Roman" w:hAnsi="Times New Roman" w:cs="Times New Roman"/>
          <w:color w:val="auto"/>
          <w:sz w:val="24"/>
        </w:rPr>
      </w:pPr>
      <w:r>
        <w:rPr>
          <w:rFonts w:hint="eastAsia" w:ascii="Times New Roman" w:hAnsi="Times New Roman" w:cs="Times New Roman"/>
          <w:color w:val="auto"/>
          <w:sz w:val="24"/>
        </w:rPr>
        <w:t>Y. Hu: banby@smu.edu.cn</w:t>
      </w:r>
    </w:p>
    <w:p w14:paraId="3875B11E">
      <w:pPr>
        <w:rPr>
          <w:rFonts w:ascii="Times New Roman" w:hAnsi="Times New Roman" w:cs="Times New Roman"/>
          <w:color w:val="auto"/>
          <w:sz w:val="24"/>
        </w:rPr>
      </w:pPr>
      <w:r>
        <w:rPr>
          <w:rFonts w:hint="eastAsia" w:ascii="Times New Roman" w:hAnsi="Times New Roman" w:cs="Times New Roman"/>
          <w:color w:val="auto"/>
          <w:sz w:val="24"/>
        </w:rPr>
        <w:t xml:space="preserve">G. Li: lgxa04510@btch.edu.cn; </w:t>
      </w:r>
    </w:p>
    <w:p w14:paraId="1618A418">
      <w:pPr>
        <w:rPr>
          <w:rFonts w:ascii="Times New Roman" w:hAnsi="Times New Roman" w:cs="Times New Roman"/>
          <w:color w:val="auto"/>
          <w:sz w:val="24"/>
        </w:rPr>
      </w:pPr>
      <w:r>
        <w:rPr>
          <w:rFonts w:hint="eastAsia" w:ascii="Times New Roman" w:hAnsi="Times New Roman" w:cs="Times New Roman"/>
          <w:color w:val="auto"/>
          <w:sz w:val="24"/>
        </w:rPr>
        <w:t>W. Guo: gwh2823@smu.edu.cn.</w:t>
      </w:r>
    </w:p>
    <w:p w14:paraId="4A5BD82D">
      <w:pPr>
        <w:rPr>
          <w:rFonts w:ascii="Times New Roman" w:hAnsi="Times New Roman" w:cs="Times New Roman"/>
          <w:color w:val="auto"/>
          <w:sz w:val="24"/>
        </w:rPr>
      </w:pPr>
    </w:p>
    <w:p w14:paraId="40811DAD">
      <w:pPr>
        <w:rPr>
          <w:rFonts w:ascii="Times New Roman" w:hAnsi="Times New Roman" w:cs="Times New Roman"/>
          <w:color w:val="auto"/>
          <w:sz w:val="24"/>
        </w:rPr>
      </w:pPr>
      <w:r>
        <w:rPr>
          <w:rFonts w:hint="eastAsia" w:ascii="Times New Roman" w:hAnsi="Times New Roman" w:cs="Times New Roman"/>
          <w:color w:val="auto"/>
          <w:sz w:val="24"/>
        </w:rPr>
        <w:t>Binshu Weng, Nan Zhu, Huirong Li and Lishan Ding contributed equally to this work.</w:t>
      </w:r>
    </w:p>
    <w:p w14:paraId="345C3BD5">
      <w:pPr>
        <w:rPr>
          <w:rFonts w:ascii="Times New Roman" w:hAnsi="Times New Roman" w:cs="Times New Roman"/>
          <w:color w:val="auto"/>
          <w:sz w:val="24"/>
        </w:rPr>
      </w:pPr>
    </w:p>
    <w:p w14:paraId="517026E1">
      <w:pPr>
        <w:spacing w:after="0" w:line="360" w:lineRule="auto"/>
        <w:jc w:val="both"/>
        <w:rPr>
          <w:rFonts w:ascii="Times New Roman" w:hAnsi="Times New Roman" w:cs="Times New Roman"/>
          <w:b/>
          <w:bCs/>
          <w:color w:val="auto"/>
          <w:sz w:val="24"/>
        </w:rPr>
      </w:pPr>
      <w:r>
        <w:rPr>
          <w:rFonts w:ascii="Times New Roman" w:hAnsi="Times New Roman" w:cs="Times New Roman"/>
          <w:b/>
          <w:bCs/>
          <w:color w:val="auto"/>
          <w:sz w:val="24"/>
        </w:rPr>
        <w:t>Experimental Section</w:t>
      </w:r>
    </w:p>
    <w:p w14:paraId="56907109">
      <w:pPr>
        <w:spacing w:after="0" w:line="360" w:lineRule="auto"/>
        <w:jc w:val="both"/>
        <w:rPr>
          <w:rFonts w:ascii="Times New Roman" w:hAnsi="Times New Roman" w:cs="Times New Roman"/>
          <w:b/>
          <w:bCs/>
          <w:color w:val="auto"/>
          <w:sz w:val="24"/>
        </w:rPr>
      </w:pPr>
      <w:r>
        <w:rPr>
          <w:rFonts w:ascii="Times New Roman" w:hAnsi="Times New Roman" w:cs="Times New Roman"/>
          <w:b/>
          <w:bCs/>
          <w:color w:val="auto"/>
          <w:sz w:val="24"/>
        </w:rPr>
        <w:t>Materials</w:t>
      </w:r>
    </w:p>
    <w:p w14:paraId="7E4D444D">
      <w:pPr>
        <w:spacing w:after="0" w:line="360" w:lineRule="auto"/>
        <w:jc w:val="both"/>
        <w:rPr>
          <w:rFonts w:ascii="Times New Roman" w:hAnsi="Times New Roman" w:cs="Times New Roman"/>
          <w:color w:val="auto"/>
          <w:sz w:val="24"/>
        </w:rPr>
      </w:pPr>
      <w:r>
        <w:rPr>
          <w:rFonts w:ascii="Times New Roman" w:hAnsi="Times New Roman" w:cs="Times New Roman"/>
          <w:color w:val="auto"/>
          <w:sz w:val="24"/>
        </w:rPr>
        <w:t>Cupric acetate anhydrous (Cu(OA</w:t>
      </w:r>
      <w:r>
        <w:rPr>
          <w:rFonts w:hint="eastAsia" w:ascii="Times New Roman" w:hAnsi="Times New Roman" w:cs="Times New Roman"/>
          <w:color w:val="auto"/>
          <w:sz w:val="24"/>
        </w:rPr>
        <w:t>c</w:t>
      </w:r>
      <w:r>
        <w:rPr>
          <w:rFonts w:ascii="Times New Roman" w:hAnsi="Times New Roman" w:cs="Times New Roman"/>
          <w:color w:val="auto"/>
          <w:sz w:val="24"/>
        </w:rPr>
        <w:t>)</w:t>
      </w:r>
      <w:r>
        <w:rPr>
          <w:rFonts w:ascii="Times New Roman" w:hAnsi="Times New Roman" w:cs="Times New Roman"/>
          <w:color w:val="auto"/>
          <w:sz w:val="24"/>
          <w:vertAlign w:val="subscript"/>
        </w:rPr>
        <w:t>2</w:t>
      </w:r>
      <w:r>
        <w:rPr>
          <w:rFonts w:ascii="Times New Roman" w:hAnsi="Times New Roman" w:cs="Times New Roman"/>
          <w:color w:val="auto"/>
          <w:sz w:val="24"/>
        </w:rPr>
        <w:t>), mPEG-SH (Mw 5000) were purchased from Macklin (Beijing, China). Propranolol hydrochloride, L-Epinephrine were purchased from MedChemExpress (MCE, USA). BeyoClick™ EdU Cell Proliferation Kit with AF488, Calcein/PI Cell Viability/Cytotoxicity Assay Kit were purchased from Beyotime (Shanghai, China). Annexin V-FITC/PI Apoptosis Detection Kit was purchased from DOJINDO LABORATORIES (Kumamoto, Japan). CRT, HMGB1, MEK, Phospho-MEK, ERK, Phospho-ERK antibodies were acquired from Cell Signaling Technology (USA). FDX1, DLAT, CREB, Phospho-CREB, ADRB1 and β-actin antibodies were acquired from Proteintech (Wuhan Sanying, China). LIAS antibody was acquired from Affinity Biosciences (USA).</w:t>
      </w:r>
    </w:p>
    <w:p w14:paraId="75423C99">
      <w:pPr>
        <w:spacing w:after="0" w:line="360" w:lineRule="auto"/>
        <w:jc w:val="both"/>
        <w:rPr>
          <w:rFonts w:ascii="Times New Roman" w:hAnsi="Times New Roman" w:cs="Times New Roman"/>
          <w:color w:val="auto"/>
          <w:sz w:val="24"/>
        </w:rPr>
      </w:pPr>
    </w:p>
    <w:p w14:paraId="091BB8E4">
      <w:pPr>
        <w:spacing w:after="0" w:line="360" w:lineRule="auto"/>
        <w:jc w:val="both"/>
        <w:rPr>
          <w:rFonts w:ascii="Times New Roman" w:hAnsi="Times New Roman" w:cs="Times New Roman"/>
          <w:b/>
          <w:bCs/>
          <w:color w:val="auto"/>
          <w:sz w:val="24"/>
        </w:rPr>
      </w:pPr>
      <w:r>
        <w:rPr>
          <w:rFonts w:ascii="Times New Roman" w:hAnsi="Times New Roman" w:cs="Times New Roman"/>
          <w:b/>
          <w:bCs/>
          <w:color w:val="auto"/>
          <w:sz w:val="24"/>
        </w:rPr>
        <w:t>Cell Lines and Animals</w:t>
      </w:r>
    </w:p>
    <w:p w14:paraId="0790A752">
      <w:pPr>
        <w:spacing w:after="0" w:line="360" w:lineRule="auto"/>
        <w:jc w:val="both"/>
        <w:rPr>
          <w:rFonts w:ascii="Times New Roman" w:hAnsi="Times New Roman" w:cs="Times New Roman"/>
          <w:color w:val="auto"/>
          <w:sz w:val="24"/>
        </w:rPr>
      </w:pPr>
      <w:r>
        <w:rPr>
          <w:rFonts w:ascii="Times New Roman" w:hAnsi="Times New Roman" w:cs="Times New Roman"/>
          <w:color w:val="auto"/>
          <w:sz w:val="24"/>
        </w:rPr>
        <w:t>CT26 cell lines were purchased from the American Type Culture Collection (ATCC). Four-week-old male BALB/c mice were obtained from the Animal Experimental Center of Guangdong Provincial Center for Experimental Animals. All animal procedures were approved by the Medical Ethics Committee of the Southern Medical University (No.IACUC-LAC-20250529-003).</w:t>
      </w:r>
    </w:p>
    <w:p w14:paraId="536FB9DF">
      <w:pPr>
        <w:spacing w:after="0" w:line="360" w:lineRule="auto"/>
        <w:jc w:val="both"/>
        <w:rPr>
          <w:rFonts w:ascii="Times New Roman" w:hAnsi="Times New Roman" w:cs="Times New Roman"/>
          <w:color w:val="auto"/>
          <w:sz w:val="24"/>
        </w:rPr>
      </w:pPr>
    </w:p>
    <w:p w14:paraId="003A8BFD">
      <w:pPr>
        <w:spacing w:after="0" w:line="360" w:lineRule="auto"/>
        <w:jc w:val="both"/>
        <w:rPr>
          <w:rFonts w:ascii="Times New Roman" w:hAnsi="Times New Roman" w:cs="Times New Roman"/>
          <w:b/>
          <w:bCs/>
          <w:color w:val="auto"/>
          <w:sz w:val="24"/>
        </w:rPr>
      </w:pPr>
      <w:r>
        <w:rPr>
          <w:rFonts w:ascii="Times New Roman" w:hAnsi="Times New Roman" w:cs="Times New Roman"/>
          <w:b/>
          <w:bCs/>
          <w:color w:val="auto"/>
          <w:sz w:val="24"/>
        </w:rPr>
        <w:t>Synthesis of Cu-PN NPs</w:t>
      </w:r>
    </w:p>
    <w:p w14:paraId="61191292">
      <w:pPr>
        <w:spacing w:after="0" w:line="360" w:lineRule="auto"/>
        <w:jc w:val="both"/>
        <w:rPr>
          <w:rFonts w:ascii="Times New Roman" w:hAnsi="Times New Roman" w:cs="Times New Roman"/>
          <w:color w:val="auto"/>
          <w:sz w:val="24"/>
        </w:rPr>
      </w:pPr>
      <w:r>
        <w:rPr>
          <w:rFonts w:ascii="Times New Roman" w:hAnsi="Times New Roman" w:cs="Times New Roman"/>
          <w:color w:val="auto"/>
          <w:sz w:val="24"/>
        </w:rPr>
        <w:t>Cupric acetate (49.913 mg) and propranolol hydrochloride (129.674 mg) were weighed and dissolved in 20 mL deionized water (ddH</w:t>
      </w:r>
      <w:r>
        <w:rPr>
          <w:rFonts w:ascii="Times New Roman" w:hAnsi="Times New Roman" w:cs="Times New Roman"/>
          <w:color w:val="auto"/>
          <w:sz w:val="24"/>
          <w:vertAlign w:val="subscript"/>
        </w:rPr>
        <w:t>2</w:t>
      </w:r>
      <w:r>
        <w:rPr>
          <w:rFonts w:ascii="Times New Roman" w:hAnsi="Times New Roman" w:cs="Times New Roman"/>
          <w:color w:val="auto"/>
          <w:sz w:val="24"/>
        </w:rPr>
        <w:t>O). The system pH was adjusted to 9 using NaOH solution. Subsequently, the reaction mixture was stirred for 6 hours under room temperature and dark conditions. After centrifugation and washing, the Cu-PN complex precipitate was obtained. mPEG (200 mg) was weighed and dissolved in 20 mL ddH</w:t>
      </w:r>
      <w:r>
        <w:rPr>
          <w:rFonts w:ascii="Times New Roman" w:hAnsi="Times New Roman" w:cs="Times New Roman"/>
          <w:color w:val="auto"/>
          <w:sz w:val="24"/>
          <w:vertAlign w:val="subscript"/>
        </w:rPr>
        <w:t>2</w:t>
      </w:r>
      <w:r>
        <w:rPr>
          <w:rFonts w:ascii="Times New Roman" w:hAnsi="Times New Roman" w:cs="Times New Roman"/>
          <w:color w:val="auto"/>
          <w:sz w:val="24"/>
        </w:rPr>
        <w:t xml:space="preserve">O. </w:t>
      </w:r>
      <w:r>
        <w:rPr>
          <w:rFonts w:ascii="Times New Roman" w:hAnsi="Times New Roman" w:cs="Times New Roman"/>
          <w:color w:val="auto"/>
          <w:sz w:val="24"/>
        </w:rPr>
        <w:t>The obtained Cu-PN complex precipitate was added dropwise to the mPEG-SH (MW 5000 Da) solution and stirred for another 2 hours under room temperature and dark conditions to yield the Cu-PN NPs solution.</w:t>
      </w:r>
      <w:r>
        <w:rPr>
          <w:rFonts w:hint="eastAsia" w:ascii="Times New Roman" w:hAnsi="Times New Roman" w:cs="Times New Roman"/>
          <w:color w:val="auto"/>
          <w:sz w:val="24"/>
        </w:rPr>
        <w:t xml:space="preserve"> </w:t>
      </w:r>
      <w:r>
        <w:rPr>
          <w:rFonts w:ascii="Times New Roman" w:hAnsi="Times New Roman" w:cs="Times New Roman"/>
          <w:color w:val="auto"/>
          <w:sz w:val="24"/>
        </w:rPr>
        <w:t>The mass ratio between the Cu-PN complex and mPEG-SH was optimized to 1:1, as this formulation consistently produced nanoparticles with the most favorable physicochemical characteristics. Based on the 1:1 molar ratio of the core coordination complex, the calculated mass ratio of copper to propranolol (m~Cu~</w:t>
      </w:r>
      <w:r>
        <w:rPr>
          <w:rFonts w:hint="eastAsia" w:ascii="Times New Roman" w:hAnsi="Times New Roman" w:cs="Times New Roman"/>
          <w:color w:val="auto"/>
          <w:sz w:val="24"/>
        </w:rPr>
        <w:t xml:space="preserve"> </w:t>
      </w:r>
      <w:r>
        <w:rPr>
          <w:rFonts w:ascii="Times New Roman" w:hAnsi="Times New Roman" w:cs="Times New Roman"/>
          <w:color w:val="auto"/>
          <w:sz w:val="24"/>
        </w:rPr>
        <w:t>: m~PN~) in the nanoparticles is approximately 1:4.08.</w:t>
      </w:r>
      <w:r>
        <w:rPr>
          <w:rFonts w:hint="eastAsia" w:ascii="Times New Roman" w:hAnsi="Times New Roman" w:cs="Times New Roman"/>
          <w:color w:val="auto"/>
          <w:sz w:val="24"/>
        </w:rPr>
        <w:t xml:space="preserve"> </w:t>
      </w:r>
      <w:r>
        <w:rPr>
          <w:rFonts w:ascii="Times New Roman" w:hAnsi="Times New Roman" w:cs="Times New Roman"/>
          <w:color w:val="auto"/>
          <w:sz w:val="24"/>
        </w:rPr>
        <w:t>The solution was then washed three times with ddH₂O, centrifuged, and lyophilized to obtain Cu-PN NPs powder.</w:t>
      </w:r>
    </w:p>
    <w:p w14:paraId="19EA4495">
      <w:pPr>
        <w:spacing w:after="0" w:line="360" w:lineRule="auto"/>
        <w:jc w:val="both"/>
        <w:rPr>
          <w:rFonts w:ascii="Times New Roman" w:hAnsi="Times New Roman" w:cs="Times New Roman"/>
          <w:color w:val="auto"/>
          <w:sz w:val="24"/>
        </w:rPr>
      </w:pPr>
    </w:p>
    <w:p w14:paraId="4B55CC50">
      <w:pPr>
        <w:spacing w:after="0" w:line="360" w:lineRule="auto"/>
        <w:jc w:val="both"/>
        <w:rPr>
          <w:rFonts w:ascii="Times New Roman" w:hAnsi="Times New Roman" w:cs="Times New Roman"/>
          <w:b/>
          <w:bCs/>
          <w:color w:val="auto"/>
          <w:sz w:val="24"/>
        </w:rPr>
      </w:pPr>
      <w:r>
        <w:rPr>
          <w:rFonts w:ascii="Times New Roman" w:hAnsi="Times New Roman" w:cs="Times New Roman"/>
          <w:b/>
          <w:bCs/>
          <w:color w:val="auto"/>
          <w:sz w:val="24"/>
        </w:rPr>
        <w:t>Drug Release Experiment</w:t>
      </w:r>
      <w:bookmarkStart w:id="3" w:name="_Hlk214189659"/>
    </w:p>
    <w:p w14:paraId="358BFE24">
      <w:pPr>
        <w:spacing w:after="0" w:line="360" w:lineRule="auto"/>
        <w:jc w:val="both"/>
        <w:rPr>
          <w:rFonts w:ascii="Times New Roman" w:hAnsi="Times New Roman" w:cs="Times New Roman"/>
          <w:color w:val="auto"/>
          <w:sz w:val="24"/>
        </w:rPr>
      </w:pPr>
      <w:r>
        <w:rPr>
          <w:rFonts w:hint="eastAsia" w:ascii="Times New Roman" w:hAnsi="Times New Roman" w:cs="Times New Roman"/>
          <w:color w:val="auto"/>
          <w:sz w:val="24"/>
        </w:rPr>
        <w:t xml:space="preserve">The release profile of Propranolol from Cu-PN NPs </w:t>
      </w:r>
      <w:bookmarkEnd w:id="3"/>
      <w:r>
        <w:rPr>
          <w:rFonts w:hint="eastAsia" w:ascii="Times New Roman" w:hAnsi="Times New Roman" w:cs="Times New Roman"/>
          <w:color w:val="auto"/>
          <w:sz w:val="24"/>
        </w:rPr>
        <w:t>was determined using a dialysis method. Briefly, 1 mL of Cu-PN NPs dispersion was sealed in a dialysis bag (MWCO 3500) and immersed in 39 mL of PBS at different pH values (7.4, 6.5, 5.3). The system was incubated at 37°C with shaking at 100 rpm under light-protected conditions. At predetermined time intervals over 24 hours, 1 mL of the external PBS release medium was sampled and replaced with an equal volume of fresh PBS at the corresponding pH. The concentration of Propranolol in the sampled solutions was quantified by measuring the absorbance using UV-Vis spectroscopy at 290 nm against a standard calibration curve. The cumulative drug release was calculated using the following equation:</w:t>
      </w:r>
    </w:p>
    <w:p w14:paraId="56A18631">
      <w:pPr>
        <w:spacing w:after="0" w:line="360" w:lineRule="auto"/>
        <w:jc w:val="both"/>
        <w:rPr>
          <w:rFonts w:ascii="Segoe UI" w:hAnsi="Segoe UI" w:eastAsia="宋体" w:cs="Segoe UI"/>
          <w:color w:val="auto"/>
          <w:sz w:val="15"/>
          <w:szCs w:val="15"/>
          <w:shd w:val="clear" w:color="auto" w:fill="FFFFFF"/>
        </w:rPr>
      </w:pPr>
      <w:r>
        <w:rPr>
          <w:rFonts w:hint="eastAsia" w:ascii="Segoe UI" w:hAnsi="Segoe UI" w:eastAsia="宋体" w:cs="Segoe UI"/>
          <w:color w:val="auto"/>
          <w:sz w:val="15"/>
          <w:szCs w:val="15"/>
          <w:shd w:val="clear" w:color="auto" w:fill="FFFFFF"/>
        </w:rPr>
        <w:drawing>
          <wp:inline distT="0" distB="0" distL="114300" distR="114300">
            <wp:extent cx="4832985" cy="631190"/>
            <wp:effectExtent l="0" t="0" r="5715" b="381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2"/>
                    <a:stretch>
                      <a:fillRect/>
                    </a:stretch>
                  </pic:blipFill>
                  <pic:spPr>
                    <a:xfrm>
                      <a:off x="0" y="0"/>
                      <a:ext cx="4832985" cy="631190"/>
                    </a:xfrm>
                    <a:prstGeom prst="rect">
                      <a:avLst/>
                    </a:prstGeom>
                    <a:noFill/>
                    <a:ln>
                      <a:noFill/>
                    </a:ln>
                  </pic:spPr>
                </pic:pic>
              </a:graphicData>
            </a:graphic>
          </wp:inline>
        </w:drawing>
      </w:r>
    </w:p>
    <w:p w14:paraId="0DA5DAD9">
      <w:pPr>
        <w:spacing w:after="0" w:line="360" w:lineRule="auto"/>
        <w:jc w:val="both"/>
        <w:rPr>
          <w:rFonts w:ascii="Times New Roman" w:hAnsi="Times New Roman" w:cs="Times New Roman"/>
          <w:color w:val="auto"/>
          <w:sz w:val="24"/>
        </w:rPr>
      </w:pPr>
      <w:r>
        <w:rPr>
          <w:rFonts w:hint="eastAsia" w:ascii="Times New Roman" w:hAnsi="Times New Roman" w:cs="Times New Roman"/>
          <w:color w:val="auto"/>
          <w:sz w:val="24"/>
        </w:rPr>
        <w:t>where C</w:t>
      </w:r>
      <w:r>
        <w:rPr>
          <w:rFonts w:ascii="Times New Roman" w:hAnsi="Times New Roman" w:cs="Times New Roman"/>
          <w:color w:val="auto"/>
          <w:sz w:val="24"/>
        </w:rPr>
        <w:t>i</w:t>
      </w:r>
      <w:r>
        <w:rPr>
          <w:rFonts w:hint="eastAsia" w:ascii="Times New Roman" w:hAnsi="Times New Roman" w:cs="Times New Roman"/>
          <w:color w:val="auto"/>
          <w:sz w:val="24"/>
        </w:rPr>
        <w:t xml:space="preserve"> </w:t>
      </w:r>
      <w:r>
        <w:rPr>
          <w:rFonts w:ascii="Times New Roman" w:hAnsi="Times New Roman" w:cs="Times New Roman"/>
          <w:color w:val="auto"/>
          <w:sz w:val="24"/>
        </w:rPr>
        <w:t>represents the concentration of Propranolol at the</w:t>
      </w:r>
      <w:r>
        <w:rPr>
          <w:rFonts w:hint="eastAsia" w:ascii="Times New Roman" w:hAnsi="Times New Roman" w:cs="Times New Roman"/>
          <w:color w:val="auto"/>
          <w:sz w:val="24"/>
        </w:rPr>
        <w:t xml:space="preserve"> </w:t>
      </w:r>
      <w:r>
        <w:rPr>
          <w:rFonts w:ascii="Times New Roman" w:hAnsi="Times New Roman" w:cs="Times New Roman"/>
          <w:color w:val="auto"/>
          <w:sz w:val="24"/>
        </w:rPr>
        <w:t>i-th sampling point, and</w:t>
      </w:r>
      <w:r>
        <w:rPr>
          <w:rFonts w:hint="eastAsia" w:ascii="Times New Roman" w:hAnsi="Times New Roman" w:cs="Times New Roman"/>
          <w:color w:val="auto"/>
          <w:sz w:val="24"/>
        </w:rPr>
        <w:t xml:space="preserve"> </w:t>
      </w:r>
      <w:r>
        <w:rPr>
          <w:rFonts w:ascii="Times New Roman" w:hAnsi="Times New Roman" w:cs="Times New Roman"/>
          <w:color w:val="auto"/>
          <w:sz w:val="24"/>
        </w:rPr>
        <w:t>Cn</w:t>
      </w:r>
      <w:r>
        <w:rPr>
          <w:rFonts w:hint="eastAsia" w:ascii="Times New Roman" w:hAnsi="Times New Roman" w:cs="Times New Roman"/>
          <w:color w:val="auto"/>
          <w:sz w:val="24"/>
        </w:rPr>
        <w:t xml:space="preserve"> </w:t>
      </w:r>
      <w:r>
        <w:rPr>
          <w:rFonts w:ascii="Times New Roman" w:hAnsi="Times New Roman" w:cs="Times New Roman"/>
          <w:color w:val="auto"/>
          <w:sz w:val="24"/>
        </w:rPr>
        <w:t>is the concentration at the</w:t>
      </w:r>
      <w:r>
        <w:rPr>
          <w:rFonts w:hint="eastAsia" w:ascii="Times New Roman" w:hAnsi="Times New Roman" w:cs="Times New Roman"/>
          <w:color w:val="auto"/>
          <w:sz w:val="24"/>
        </w:rPr>
        <w:t xml:space="preserve"> </w:t>
      </w:r>
      <w:r>
        <w:rPr>
          <w:rFonts w:ascii="Times New Roman" w:hAnsi="Times New Roman" w:cs="Times New Roman"/>
          <w:color w:val="auto"/>
          <w:sz w:val="24"/>
        </w:rPr>
        <w:t>n-th sampling point.</w:t>
      </w:r>
    </w:p>
    <w:p w14:paraId="2EC97087">
      <w:pPr>
        <w:spacing w:after="0" w:line="360" w:lineRule="auto"/>
        <w:jc w:val="both"/>
        <w:rPr>
          <w:rFonts w:ascii="Times New Roman" w:hAnsi="Times New Roman" w:cs="Times New Roman"/>
          <w:color w:val="auto"/>
          <w:sz w:val="24"/>
        </w:rPr>
      </w:pPr>
    </w:p>
    <w:p w14:paraId="00EEBFA4">
      <w:pPr>
        <w:spacing w:after="0" w:line="360" w:lineRule="auto"/>
        <w:jc w:val="both"/>
        <w:rPr>
          <w:rFonts w:ascii="Times New Roman" w:hAnsi="Times New Roman" w:cs="Times New Roman"/>
          <w:b/>
          <w:bCs/>
          <w:color w:val="auto"/>
          <w:sz w:val="24"/>
        </w:rPr>
      </w:pPr>
      <w:r>
        <w:rPr>
          <w:rFonts w:ascii="Times New Roman" w:hAnsi="Times New Roman" w:cs="Times New Roman"/>
          <w:b/>
          <w:bCs/>
          <w:color w:val="auto"/>
          <w:sz w:val="24"/>
        </w:rPr>
        <w:t>Characterization of Cu-PN NPs</w:t>
      </w:r>
    </w:p>
    <w:p w14:paraId="623AACD3">
      <w:pPr>
        <w:spacing w:after="0" w:line="360" w:lineRule="auto"/>
        <w:jc w:val="both"/>
        <w:rPr>
          <w:rFonts w:ascii="Times New Roman" w:hAnsi="Times New Roman" w:cs="Times New Roman"/>
          <w:color w:val="auto"/>
          <w:sz w:val="24"/>
        </w:rPr>
      </w:pPr>
      <w:r>
        <w:rPr>
          <w:rFonts w:ascii="Times New Roman" w:hAnsi="Times New Roman" w:cs="Times New Roman"/>
          <w:color w:val="auto"/>
          <w:sz w:val="24"/>
        </w:rPr>
        <w:t>The morphology and elemental composition of Cu-PN NPs were observed using transmission electron microscopy and elemental mapping. The hydrodynamic diameter and Zeta potential of Cu-PN NPs were measured by dynamic light scattering (DLS). The composition of Cu-PN NPs was analyzed using ultraviolet-visible spectroscopy (UV-Vis), Fourier transform infrared spectroscopy (FT-IR), and X-ray photoelectron spectroscopy (XPS).</w:t>
      </w:r>
    </w:p>
    <w:p w14:paraId="000507FA">
      <w:pPr>
        <w:spacing w:after="0" w:line="360" w:lineRule="auto"/>
        <w:jc w:val="both"/>
        <w:rPr>
          <w:rFonts w:ascii="Times New Roman" w:hAnsi="Times New Roman" w:cs="Times New Roman"/>
          <w:color w:val="auto"/>
          <w:sz w:val="24"/>
        </w:rPr>
      </w:pPr>
    </w:p>
    <w:p w14:paraId="5C0FC148">
      <w:pPr>
        <w:spacing w:after="0" w:line="360" w:lineRule="auto"/>
        <w:jc w:val="both"/>
        <w:rPr>
          <w:rFonts w:ascii="Times New Roman" w:hAnsi="Times New Roman" w:cs="Times New Roman"/>
          <w:b/>
          <w:bCs/>
          <w:color w:val="auto"/>
          <w:sz w:val="24"/>
        </w:rPr>
      </w:pPr>
      <w:r>
        <w:rPr>
          <w:rFonts w:ascii="Times New Roman" w:hAnsi="Times New Roman" w:cs="Times New Roman"/>
          <w:b/>
          <w:bCs/>
          <w:color w:val="auto"/>
          <w:sz w:val="24"/>
        </w:rPr>
        <w:t>Cytotoxicity of Cu-PN NPs at Various Concentrations</w:t>
      </w:r>
    </w:p>
    <w:p w14:paraId="6376E197">
      <w:pPr>
        <w:spacing w:after="0" w:line="360" w:lineRule="auto"/>
        <w:jc w:val="both"/>
        <w:rPr>
          <w:rFonts w:ascii="Times New Roman" w:hAnsi="Times New Roman" w:cs="Times New Roman"/>
          <w:color w:val="auto"/>
          <w:sz w:val="24"/>
        </w:rPr>
      </w:pPr>
      <w:r>
        <w:rPr>
          <w:rFonts w:ascii="Times New Roman" w:hAnsi="Times New Roman" w:cs="Times New Roman"/>
          <w:color w:val="auto"/>
          <w:sz w:val="24"/>
        </w:rPr>
        <w:t>CT26 cells were seeded in 96-well plates at a density of 5×10</w:t>
      </w:r>
      <w:r>
        <w:rPr>
          <w:rFonts w:ascii="Times New Roman" w:hAnsi="Times New Roman" w:cs="Times New Roman"/>
          <w:color w:val="auto"/>
          <w:sz w:val="24"/>
          <w:vertAlign w:val="superscript"/>
        </w:rPr>
        <w:t>3</w:t>
      </w:r>
      <w:r>
        <w:rPr>
          <w:rFonts w:ascii="Times New Roman" w:hAnsi="Times New Roman" w:cs="Times New Roman"/>
          <w:color w:val="auto"/>
          <w:sz w:val="24"/>
        </w:rPr>
        <w:t xml:space="preserve"> cells per well and incubated at 37℃ for 24 hours. After cell attachment, fresh medium containing 0, 10, 20, 30, 40, 50, 60, 70 μg/mL Cu-PN NPs was added, and incubation continued for 24 hours. CCK-8 detection reagent was added, and the OD value was measured at 450 nm using a microplate reader.</w:t>
      </w:r>
      <w:r>
        <w:rPr>
          <w:rFonts w:hint="eastAsia" w:ascii="Times New Roman" w:hAnsi="Times New Roman" w:cs="Times New Roman"/>
          <w:color w:val="auto"/>
          <w:sz w:val="24"/>
        </w:rPr>
        <w:t xml:space="preserve"> </w:t>
      </w:r>
    </w:p>
    <w:p w14:paraId="62B93DE9">
      <w:pPr>
        <w:spacing w:after="0" w:line="360" w:lineRule="auto"/>
        <w:jc w:val="both"/>
        <w:rPr>
          <w:rFonts w:ascii="Times New Roman" w:hAnsi="Times New Roman" w:cs="Times New Roman"/>
          <w:color w:val="auto"/>
          <w:sz w:val="24"/>
        </w:rPr>
      </w:pPr>
    </w:p>
    <w:p w14:paraId="77890E99">
      <w:pPr>
        <w:spacing w:after="0" w:line="360" w:lineRule="auto"/>
        <w:jc w:val="both"/>
        <w:rPr>
          <w:rFonts w:ascii="Times New Roman" w:hAnsi="Times New Roman" w:cs="Times New Roman"/>
          <w:b/>
          <w:bCs/>
          <w:color w:val="auto"/>
          <w:sz w:val="24"/>
        </w:rPr>
      </w:pPr>
      <w:r>
        <w:rPr>
          <w:rFonts w:ascii="Times New Roman" w:hAnsi="Times New Roman" w:cs="Times New Roman"/>
          <w:b/>
          <w:bCs/>
          <w:color w:val="auto"/>
          <w:sz w:val="24"/>
        </w:rPr>
        <w:t>Comparative Cytotoxicity of Different Drug Components</w:t>
      </w:r>
    </w:p>
    <w:p w14:paraId="6002068E">
      <w:pPr>
        <w:spacing w:after="0" w:line="360" w:lineRule="auto"/>
        <w:jc w:val="both"/>
        <w:rPr>
          <w:rFonts w:ascii="Times New Roman" w:hAnsi="Times New Roman" w:cs="Times New Roman"/>
          <w:color w:val="auto"/>
          <w:sz w:val="24"/>
        </w:rPr>
      </w:pPr>
      <w:r>
        <w:rPr>
          <w:rFonts w:ascii="Times New Roman" w:hAnsi="Times New Roman" w:cs="Times New Roman"/>
          <w:color w:val="auto"/>
          <w:sz w:val="24"/>
        </w:rPr>
        <w:t>CT26 cells were seeded in 96-well plates at a density of 5×103 cells per well and incubated at 37℃ for 24 hours. After cell attachment, fresh medium containing PBS,Cu(OAc)2, Propranolol, or Cu-PN NPs was added, and incubation continued for 24 hours. CCK-8 detection reagent was added, and the OD value was measured at 450 nm using a microplate reader.</w:t>
      </w:r>
    </w:p>
    <w:p w14:paraId="48C262E8">
      <w:pPr>
        <w:spacing w:after="0" w:line="360" w:lineRule="auto"/>
        <w:jc w:val="both"/>
        <w:rPr>
          <w:rFonts w:ascii="Times New Roman" w:hAnsi="Times New Roman" w:cs="Times New Roman"/>
          <w:color w:val="auto"/>
          <w:sz w:val="24"/>
          <w:highlight w:val="yellow"/>
        </w:rPr>
      </w:pPr>
    </w:p>
    <w:p w14:paraId="645938A5">
      <w:pPr>
        <w:spacing w:after="0" w:line="360" w:lineRule="auto"/>
        <w:jc w:val="both"/>
        <w:rPr>
          <w:rFonts w:ascii="Times New Roman" w:hAnsi="Times New Roman" w:cs="Times New Roman"/>
          <w:b/>
          <w:bCs/>
          <w:color w:val="auto"/>
          <w:sz w:val="24"/>
        </w:rPr>
      </w:pPr>
      <w:r>
        <w:rPr>
          <w:rFonts w:ascii="Times New Roman" w:hAnsi="Times New Roman" w:cs="Times New Roman"/>
          <w:b/>
          <w:bCs/>
          <w:color w:val="auto"/>
          <w:sz w:val="24"/>
        </w:rPr>
        <w:t>EDU Cell Proliferation Assay</w:t>
      </w:r>
    </w:p>
    <w:p w14:paraId="4DDEEE07">
      <w:pPr>
        <w:spacing w:after="0" w:line="360" w:lineRule="auto"/>
        <w:jc w:val="both"/>
        <w:rPr>
          <w:rFonts w:ascii="Times New Roman" w:hAnsi="Times New Roman" w:cs="Times New Roman"/>
          <w:color w:val="auto"/>
          <w:sz w:val="24"/>
        </w:rPr>
      </w:pPr>
      <w:r>
        <w:rPr>
          <w:rFonts w:ascii="Times New Roman" w:hAnsi="Times New Roman" w:cs="Times New Roman"/>
          <w:color w:val="auto"/>
          <w:sz w:val="24"/>
        </w:rPr>
        <w:t>CT26 cells were seeded in 24-well plates at a density of 2.5×10</w:t>
      </w:r>
      <w:r>
        <w:rPr>
          <w:rFonts w:ascii="Times New Roman" w:hAnsi="Times New Roman" w:eastAsia="微软雅黑" w:cs="Times New Roman"/>
          <w:color w:val="auto"/>
          <w:sz w:val="24"/>
        </w:rPr>
        <w:t>⁴</w:t>
      </w:r>
      <w:r>
        <w:rPr>
          <w:rFonts w:ascii="Times New Roman" w:hAnsi="Times New Roman" w:cs="Times New Roman"/>
          <w:color w:val="auto"/>
          <w:sz w:val="24"/>
        </w:rPr>
        <w:t xml:space="preserve"> cells per well and incubated at 37</w:t>
      </w:r>
      <w:r>
        <w:rPr>
          <w:rFonts w:ascii="Times New Roman" w:hAnsi="Times New Roman" w:eastAsia="等线" w:cs="Times New Roman"/>
          <w:color w:val="auto"/>
          <w:sz w:val="24"/>
        </w:rPr>
        <w:t>℃</w:t>
      </w:r>
      <w:r>
        <w:rPr>
          <w:rFonts w:ascii="Times New Roman" w:hAnsi="Times New Roman" w:cs="Times New Roman"/>
          <w:color w:val="auto"/>
          <w:sz w:val="24"/>
        </w:rPr>
        <w:t xml:space="preserve"> for 24 hours. After cell attachment, fresh medium containing PBS,Cu(OAc)</w:t>
      </w:r>
      <w:r>
        <w:rPr>
          <w:rFonts w:ascii="Times New Roman" w:hAnsi="Times New Roman" w:cs="Times New Roman"/>
          <w:color w:val="auto"/>
          <w:sz w:val="24"/>
          <w:vertAlign w:val="subscript"/>
        </w:rPr>
        <w:t>2</w:t>
      </w:r>
      <w:r>
        <w:rPr>
          <w:rFonts w:ascii="Times New Roman" w:hAnsi="Times New Roman" w:cs="Times New Roman"/>
          <w:color w:val="auto"/>
          <w:sz w:val="24"/>
        </w:rPr>
        <w:t xml:space="preserve">, Propranolol, or Cu-PN NPs was added, and incubation continued for 24 hours. EDU labeling solution was added to each well and incubated for 2 hours. Cells were washed with PBS, fixed with 4% paraformaldehyde at room temperature for 30 </w:t>
      </w:r>
      <w:r>
        <w:rPr>
          <w:rFonts w:hint="eastAsia" w:ascii="Times New Roman" w:hAnsi="Times New Roman" w:cs="Times New Roman"/>
          <w:color w:val="auto"/>
          <w:sz w:val="24"/>
        </w:rPr>
        <w:t>min</w:t>
      </w:r>
      <w:r>
        <w:rPr>
          <w:rFonts w:ascii="Times New Roman" w:hAnsi="Times New Roman" w:cs="Times New Roman"/>
          <w:color w:val="auto"/>
          <w:sz w:val="24"/>
        </w:rPr>
        <w:t xml:space="preserve">, washed again with PBS, permeabilized with 0.5% Triton X-100 at room temperature for 20 </w:t>
      </w:r>
      <w:r>
        <w:rPr>
          <w:rFonts w:hint="eastAsia" w:ascii="Times New Roman" w:hAnsi="Times New Roman" w:cs="Times New Roman"/>
          <w:color w:val="auto"/>
          <w:sz w:val="24"/>
        </w:rPr>
        <w:t>min</w:t>
      </w:r>
      <w:r>
        <w:rPr>
          <w:rFonts w:ascii="Times New Roman" w:hAnsi="Times New Roman" w:cs="Times New Roman"/>
          <w:color w:val="auto"/>
          <w:sz w:val="24"/>
        </w:rPr>
        <w:t xml:space="preserve">, washed with PBS, incubated with EDU detection reaction solution in the dark at room temperature for 30 </w:t>
      </w:r>
      <w:r>
        <w:rPr>
          <w:rFonts w:hint="eastAsia" w:ascii="Times New Roman" w:hAnsi="Times New Roman" w:cs="Times New Roman"/>
          <w:color w:val="auto"/>
          <w:sz w:val="24"/>
        </w:rPr>
        <w:t>min</w:t>
      </w:r>
      <w:r>
        <w:rPr>
          <w:rFonts w:ascii="Times New Roman" w:hAnsi="Times New Roman" w:cs="Times New Roman"/>
          <w:color w:val="auto"/>
          <w:sz w:val="24"/>
        </w:rPr>
        <w:t xml:space="preserve">, washed with PBS, stained with DAPI for 10 </w:t>
      </w:r>
      <w:r>
        <w:rPr>
          <w:rFonts w:hint="eastAsia" w:ascii="Times New Roman" w:hAnsi="Times New Roman" w:cs="Times New Roman"/>
          <w:color w:val="auto"/>
          <w:sz w:val="24"/>
        </w:rPr>
        <w:t>min</w:t>
      </w:r>
      <w:r>
        <w:rPr>
          <w:rFonts w:ascii="Times New Roman" w:hAnsi="Times New Roman" w:cs="Times New Roman"/>
          <w:color w:val="auto"/>
          <w:sz w:val="24"/>
        </w:rPr>
        <w:t>, washed with PBS, and observed/photographed under a fluorescence microscope. Image J software was used to count EDU-positive cells and total cells.</w:t>
      </w:r>
    </w:p>
    <w:p w14:paraId="7C5E6572">
      <w:pPr>
        <w:spacing w:after="0" w:line="360" w:lineRule="auto"/>
        <w:jc w:val="both"/>
        <w:rPr>
          <w:rFonts w:ascii="Times New Roman" w:hAnsi="Times New Roman" w:cs="Times New Roman"/>
          <w:color w:val="auto"/>
          <w:sz w:val="24"/>
        </w:rPr>
      </w:pPr>
    </w:p>
    <w:p w14:paraId="4C66BDA0">
      <w:pPr>
        <w:spacing w:after="0" w:line="360" w:lineRule="auto"/>
        <w:jc w:val="both"/>
        <w:rPr>
          <w:rFonts w:ascii="Times New Roman" w:hAnsi="Times New Roman" w:cs="Times New Roman"/>
          <w:b/>
          <w:bCs/>
          <w:color w:val="auto"/>
          <w:sz w:val="24"/>
        </w:rPr>
      </w:pPr>
      <w:r>
        <w:rPr>
          <w:rFonts w:hint="eastAsia" w:ascii="Times New Roman" w:hAnsi="Times New Roman" w:cs="Times New Roman"/>
          <w:b/>
          <w:bCs/>
          <w:color w:val="auto"/>
          <w:sz w:val="24"/>
        </w:rPr>
        <w:t>Organoids culture</w:t>
      </w:r>
      <w:r>
        <w:rPr>
          <w:rFonts w:ascii="Times New Roman" w:hAnsi="Times New Roman" w:cs="Times New Roman"/>
          <w:b/>
          <w:bCs/>
          <w:color w:val="auto"/>
          <w:sz w:val="24"/>
        </w:rPr>
        <w:t>:</w:t>
      </w:r>
    </w:p>
    <w:p w14:paraId="1C857CAB">
      <w:pPr>
        <w:spacing w:after="0" w:line="360" w:lineRule="auto"/>
        <w:jc w:val="both"/>
        <w:rPr>
          <w:rFonts w:ascii="Times New Roman" w:hAnsi="Times New Roman" w:cs="Times New Roman"/>
          <w:color w:val="auto"/>
          <w:sz w:val="24"/>
        </w:rPr>
      </w:pPr>
      <w:r>
        <w:rPr>
          <w:rFonts w:hint="eastAsia" w:ascii="Times New Roman" w:hAnsi="Times New Roman" w:cs="Times New Roman"/>
          <w:color w:val="auto"/>
          <w:sz w:val="24"/>
        </w:rPr>
        <w:t xml:space="preserve">The CRC PDO model was donated by Signet Therapeutics (Shenzheng,China). For passage, use TrypLE Express enzyme (Gibco) to dissociate organoids at 37 </w:t>
      </w:r>
      <w:r>
        <w:rPr>
          <w:rFonts w:ascii="Times New Roman" w:hAnsi="Times New Roman" w:cs="Times New Roman"/>
          <w:color w:val="auto"/>
          <w:sz w:val="24"/>
        </w:rPr>
        <w:t>℃</w:t>
      </w:r>
      <w:r>
        <w:rPr>
          <w:rFonts w:hint="eastAsia" w:ascii="Times New Roman" w:hAnsi="Times New Roman" w:cs="Times New Roman"/>
          <w:color w:val="auto"/>
          <w:sz w:val="24"/>
        </w:rPr>
        <w:t xml:space="preserve"> for 6 min. Mix cells (3 × 10</w:t>
      </w:r>
      <w:r>
        <w:rPr>
          <w:rFonts w:hint="eastAsia" w:ascii="Times New Roman" w:hAnsi="Times New Roman" w:cs="Times New Roman"/>
          <w:color w:val="auto"/>
          <w:sz w:val="24"/>
          <w:vertAlign w:val="superscript"/>
        </w:rPr>
        <w:t>5</w:t>
      </w:r>
      <w:r>
        <w:rPr>
          <w:rFonts w:hint="eastAsia" w:ascii="Times New Roman" w:hAnsi="Times New Roman" w:cs="Times New Roman"/>
          <w:color w:val="auto"/>
          <w:sz w:val="24"/>
        </w:rPr>
        <w:t xml:space="preserve">) with 200 </w:t>
      </w:r>
      <w:r>
        <w:rPr>
          <w:rFonts w:ascii="Times New Roman" w:hAnsi="Times New Roman" w:cs="Times New Roman"/>
          <w:color w:val="auto"/>
          <w:sz w:val="24"/>
        </w:rPr>
        <w:t>μ</w:t>
      </w:r>
      <w:r>
        <w:rPr>
          <w:rFonts w:hint="eastAsia" w:ascii="Times New Roman" w:hAnsi="Times New Roman" w:cs="Times New Roman"/>
          <w:color w:val="auto"/>
          <w:sz w:val="24"/>
        </w:rPr>
        <w:t xml:space="preserve">L Matrigel (Corning, 354234) on ice. Inoculate 6 portions of cell matrix gel suspension (25-30 </w:t>
      </w:r>
      <w:r>
        <w:rPr>
          <w:rFonts w:ascii="Times New Roman" w:hAnsi="Times New Roman" w:cs="Times New Roman"/>
          <w:color w:val="auto"/>
          <w:sz w:val="24"/>
        </w:rPr>
        <w:t>μ</w:t>
      </w:r>
      <w:r>
        <w:rPr>
          <w:rFonts w:hint="eastAsia" w:ascii="Times New Roman" w:hAnsi="Times New Roman" w:cs="Times New Roman"/>
          <w:color w:val="auto"/>
          <w:sz w:val="24"/>
        </w:rPr>
        <w:t xml:space="preserve">L each) into a 6-well plate. To polymerize the matrix gel, the plate was incubated upside down at 37 </w:t>
      </w:r>
      <w:r>
        <w:rPr>
          <w:rFonts w:ascii="Times New Roman" w:hAnsi="Times New Roman" w:cs="Times New Roman"/>
          <w:color w:val="auto"/>
          <w:sz w:val="24"/>
        </w:rPr>
        <w:t>℃</w:t>
      </w:r>
      <w:r>
        <w:rPr>
          <w:rFonts w:hint="eastAsia" w:ascii="Times New Roman" w:hAnsi="Times New Roman" w:cs="Times New Roman"/>
          <w:color w:val="auto"/>
          <w:sz w:val="24"/>
        </w:rPr>
        <w:t xml:space="preserve"> to prevent cells from adhering to the surface of the plate. After 5 min, restore the board to an upright position. Add 2.5 mL PDO medium (Advanced DMEM/F12 with 1X GlutaMax, 1X HEPES, 1X Penicillin Streptomycin Solution, 1X B-27, 50% L-WRN, 50ng/mL EGF, 200 ng/mL FGF10, 1mM N-acetylcysteine, 1nM Gastrin, 2 </w:t>
      </w:r>
      <w:r>
        <w:rPr>
          <w:rFonts w:ascii="Times New Roman" w:hAnsi="Times New Roman" w:cs="Times New Roman"/>
          <w:color w:val="auto"/>
          <w:sz w:val="24"/>
        </w:rPr>
        <w:t>μ</w:t>
      </w:r>
      <w:r>
        <w:rPr>
          <w:rFonts w:hint="eastAsia" w:ascii="Times New Roman" w:hAnsi="Times New Roman" w:cs="Times New Roman"/>
          <w:color w:val="auto"/>
          <w:sz w:val="24"/>
        </w:rPr>
        <w:t>M A83-01) to each well after 30min.</w:t>
      </w:r>
    </w:p>
    <w:p w14:paraId="480C61EB">
      <w:pPr>
        <w:spacing w:after="0" w:line="360" w:lineRule="auto"/>
        <w:jc w:val="both"/>
        <w:rPr>
          <w:rFonts w:ascii="Times New Roman" w:hAnsi="Times New Roman" w:cs="Times New Roman"/>
          <w:color w:val="auto"/>
          <w:sz w:val="24"/>
        </w:rPr>
      </w:pPr>
    </w:p>
    <w:p w14:paraId="1E155E3F">
      <w:pPr>
        <w:spacing w:after="0" w:line="360" w:lineRule="auto"/>
        <w:jc w:val="both"/>
        <w:rPr>
          <w:rFonts w:ascii="Times New Roman" w:hAnsi="Times New Roman" w:cs="Times New Roman"/>
          <w:b/>
          <w:bCs/>
          <w:color w:val="auto"/>
          <w:sz w:val="24"/>
        </w:rPr>
      </w:pPr>
      <w:r>
        <w:rPr>
          <w:rFonts w:ascii="Times New Roman" w:hAnsi="Times New Roman" w:cs="Times New Roman"/>
          <w:b/>
          <w:bCs/>
          <w:color w:val="auto"/>
          <w:sz w:val="24"/>
        </w:rPr>
        <w:t>Western Blot Experiment</w:t>
      </w:r>
    </w:p>
    <w:p w14:paraId="34CD639D">
      <w:pPr>
        <w:spacing w:after="0" w:line="360" w:lineRule="auto"/>
        <w:jc w:val="both"/>
        <w:rPr>
          <w:rFonts w:ascii="Times New Roman" w:hAnsi="Times New Roman" w:cs="Times New Roman"/>
          <w:color w:val="auto"/>
          <w:sz w:val="24"/>
        </w:rPr>
      </w:pPr>
      <w:r>
        <w:rPr>
          <w:rFonts w:ascii="Times New Roman" w:hAnsi="Times New Roman" w:cs="Times New Roman"/>
          <w:color w:val="auto"/>
          <w:sz w:val="24"/>
        </w:rPr>
        <w:t>CT26 cells were seeded in 6-well plates and incubated at 37℃ until confluent. Fresh medium containing PBS, Cu(OAc)</w:t>
      </w:r>
      <w:r>
        <w:rPr>
          <w:rFonts w:ascii="Times New Roman" w:hAnsi="Times New Roman" w:cs="Times New Roman"/>
          <w:color w:val="auto"/>
          <w:sz w:val="24"/>
          <w:vertAlign w:val="subscript"/>
        </w:rPr>
        <w:t>2</w:t>
      </w:r>
      <w:r>
        <w:rPr>
          <w:rFonts w:ascii="Times New Roman" w:hAnsi="Times New Roman" w:cs="Times New Roman"/>
          <w:color w:val="auto"/>
          <w:sz w:val="24"/>
        </w:rPr>
        <w:t xml:space="preserve">, Propranolol, or Cu-PN NPs was added, and incubation continued for 24 hours. Cells were scraped, centrifuged, and lysed on ice for 30 </w:t>
      </w:r>
      <w:r>
        <w:rPr>
          <w:rFonts w:hint="eastAsia" w:ascii="Times New Roman" w:hAnsi="Times New Roman" w:cs="Times New Roman"/>
          <w:color w:val="auto"/>
          <w:sz w:val="24"/>
        </w:rPr>
        <w:t>min</w:t>
      </w:r>
      <w:r>
        <w:rPr>
          <w:rFonts w:ascii="Times New Roman" w:hAnsi="Times New Roman" w:cs="Times New Roman"/>
          <w:color w:val="auto"/>
          <w:sz w:val="24"/>
        </w:rPr>
        <w:t xml:space="preserve"> in RIPA lysis buffer containing protease and phosphatase inhibitors (100:1). After high-speed centrifugation, the supernatant was collected, mixed with Loading Buffer, and heated at 100℃ for 10 </w:t>
      </w:r>
      <w:r>
        <w:rPr>
          <w:rFonts w:hint="eastAsia" w:ascii="Times New Roman" w:hAnsi="Times New Roman" w:cs="Times New Roman"/>
          <w:color w:val="auto"/>
          <w:sz w:val="24"/>
        </w:rPr>
        <w:t>min</w:t>
      </w:r>
      <w:r>
        <w:rPr>
          <w:rFonts w:ascii="Times New Roman" w:hAnsi="Times New Roman" w:cs="Times New Roman"/>
          <w:color w:val="auto"/>
          <w:sz w:val="24"/>
        </w:rPr>
        <w:t xml:space="preserve"> (DLAT was mixed with non-denaturing Loading Buffer and not heated), then stored at -80℃. Equal amounts of protein were electrophoresed and transferred to PVDF membranes. Membranes were blocked with 5% skim milk (or BSA for phosphoproteins) at room temperature for 1.5 hours, then incubated overnight at 4℃ with primary antibodies against MEK, p-MEK, ERK, p-ERK, CREB, DLAT, HSP70, LIAS, FDX1, and β-actin. After TBST washing, membranes were incubated with corresponding secondary antibodies at room temperature with shaking for 1.5 hours. Ultra-sensitive chemiluminescent solution was used for development.</w:t>
      </w:r>
      <w:r>
        <w:rPr>
          <w:rFonts w:hint="eastAsia" w:ascii="Times New Roman" w:hAnsi="Times New Roman" w:cs="Times New Roman"/>
          <w:color w:val="auto"/>
          <w:sz w:val="24"/>
        </w:rPr>
        <w:t xml:space="preserve"> </w:t>
      </w:r>
    </w:p>
    <w:p w14:paraId="467357E0">
      <w:pPr>
        <w:spacing w:after="0" w:line="360" w:lineRule="auto"/>
        <w:jc w:val="both"/>
        <w:rPr>
          <w:rFonts w:ascii="Times New Roman" w:hAnsi="Times New Roman" w:cs="Times New Roman"/>
          <w:color w:val="auto"/>
          <w:sz w:val="24"/>
        </w:rPr>
      </w:pPr>
    </w:p>
    <w:p w14:paraId="51FEFE0C">
      <w:pPr>
        <w:spacing w:after="0" w:line="360" w:lineRule="auto"/>
        <w:jc w:val="both"/>
        <w:rPr>
          <w:rFonts w:ascii="Times New Roman" w:hAnsi="Times New Roman" w:cs="Times New Roman"/>
          <w:b/>
          <w:bCs/>
          <w:color w:val="auto"/>
          <w:sz w:val="24"/>
        </w:rPr>
      </w:pPr>
      <w:r>
        <w:rPr>
          <w:rFonts w:ascii="Times New Roman" w:hAnsi="Times New Roman" w:cs="Times New Roman"/>
          <w:b/>
          <w:bCs/>
          <w:color w:val="auto"/>
          <w:sz w:val="24"/>
        </w:rPr>
        <w:t>Immunofluorescence Assay</w:t>
      </w:r>
    </w:p>
    <w:p w14:paraId="3E64EBC0">
      <w:pPr>
        <w:spacing w:after="0" w:line="360" w:lineRule="auto"/>
        <w:jc w:val="both"/>
        <w:rPr>
          <w:rFonts w:ascii="Times New Roman" w:hAnsi="Times New Roman" w:cs="Times New Roman"/>
          <w:color w:val="auto"/>
          <w:sz w:val="24"/>
        </w:rPr>
      </w:pPr>
      <w:r>
        <w:rPr>
          <w:rFonts w:ascii="Times New Roman" w:hAnsi="Times New Roman" w:cs="Times New Roman"/>
          <w:color w:val="auto"/>
          <w:sz w:val="24"/>
        </w:rPr>
        <w:t>CT26 cells were seeded in confocal dishes and incubated at 37℃ for 24 hours. Fresh medium containing PBS, Cu(OAc)</w:t>
      </w:r>
      <w:r>
        <w:rPr>
          <w:rFonts w:ascii="Times New Roman" w:hAnsi="Times New Roman" w:cs="Times New Roman"/>
          <w:color w:val="auto"/>
          <w:sz w:val="24"/>
          <w:vertAlign w:val="subscript"/>
        </w:rPr>
        <w:t>2</w:t>
      </w:r>
      <w:r>
        <w:rPr>
          <w:rFonts w:ascii="Times New Roman" w:hAnsi="Times New Roman" w:cs="Times New Roman"/>
          <w:color w:val="auto"/>
          <w:sz w:val="24"/>
        </w:rPr>
        <w:t xml:space="preserve">, Propranolol, or Cu-PN NPs was added, and incubation continued for 24 hours. Cells were washed with PBS, fixed with 4% paraformaldehyde at room temperature for 30 </w:t>
      </w:r>
      <w:r>
        <w:rPr>
          <w:rFonts w:hint="eastAsia" w:ascii="Times New Roman" w:hAnsi="Times New Roman" w:cs="Times New Roman"/>
          <w:color w:val="auto"/>
          <w:sz w:val="24"/>
        </w:rPr>
        <w:t>min</w:t>
      </w:r>
      <w:r>
        <w:rPr>
          <w:rFonts w:ascii="Times New Roman" w:hAnsi="Times New Roman" w:cs="Times New Roman"/>
          <w:color w:val="auto"/>
          <w:sz w:val="24"/>
        </w:rPr>
        <w:t xml:space="preserve">, washed with PBS, permeabilized with 0.5% Triton X-100 at room temperature for 20 </w:t>
      </w:r>
      <w:r>
        <w:rPr>
          <w:rFonts w:hint="eastAsia" w:ascii="Times New Roman" w:hAnsi="Times New Roman" w:cs="Times New Roman"/>
          <w:color w:val="auto"/>
          <w:sz w:val="24"/>
        </w:rPr>
        <w:t>min</w:t>
      </w:r>
      <w:r>
        <w:rPr>
          <w:rFonts w:ascii="Times New Roman" w:hAnsi="Times New Roman" w:cs="Times New Roman"/>
          <w:color w:val="auto"/>
          <w:sz w:val="24"/>
        </w:rPr>
        <w:t xml:space="preserve">, washed with PBS, blocked with 5% BSA blocking solution at room temperature for 1 hour. Blocking solution was discarded, and primary antibodies against CRT or HMGB1 were added and incubated overnight at 4℃. After PBS washing, fluorescently labeled secondary antibodies of the corresponding species were added and incubated in the dark at room temperature for 1.5 hours. Cells were washed with PBS, stained with DAPI nuclear stain in the dark at room temperature for 10 </w:t>
      </w:r>
      <w:r>
        <w:rPr>
          <w:rFonts w:hint="eastAsia" w:ascii="Times New Roman" w:hAnsi="Times New Roman" w:cs="Times New Roman"/>
          <w:color w:val="auto"/>
          <w:sz w:val="24"/>
        </w:rPr>
        <w:t>min</w:t>
      </w:r>
      <w:r>
        <w:rPr>
          <w:rFonts w:ascii="Times New Roman" w:hAnsi="Times New Roman" w:cs="Times New Roman"/>
          <w:color w:val="auto"/>
          <w:sz w:val="24"/>
        </w:rPr>
        <w:t>, and observed/photographed using a fluorescence microscope.</w:t>
      </w:r>
    </w:p>
    <w:p w14:paraId="40B4F2FA">
      <w:pPr>
        <w:spacing w:after="0" w:line="360" w:lineRule="auto"/>
        <w:jc w:val="both"/>
        <w:rPr>
          <w:rFonts w:ascii="Times New Roman" w:hAnsi="Times New Roman" w:cs="Times New Roman"/>
          <w:color w:val="auto"/>
          <w:sz w:val="24"/>
        </w:rPr>
      </w:pPr>
    </w:p>
    <w:p w14:paraId="78DA2C92">
      <w:pPr>
        <w:spacing w:after="0" w:line="360" w:lineRule="auto"/>
        <w:jc w:val="both"/>
        <w:rPr>
          <w:rFonts w:ascii="Times New Roman" w:hAnsi="Times New Roman" w:cs="Times New Roman"/>
          <w:b/>
          <w:bCs/>
          <w:color w:val="auto"/>
          <w:sz w:val="24"/>
        </w:rPr>
      </w:pPr>
      <w:r>
        <w:rPr>
          <w:rFonts w:ascii="Times New Roman" w:hAnsi="Times New Roman" w:cs="Times New Roman"/>
          <w:b/>
          <w:bCs/>
          <w:i/>
          <w:iCs/>
          <w:color w:val="auto"/>
          <w:sz w:val="24"/>
        </w:rPr>
        <w:t xml:space="preserve">In vitro </w:t>
      </w:r>
      <w:r>
        <w:rPr>
          <w:rFonts w:ascii="Times New Roman" w:hAnsi="Times New Roman" w:cs="Times New Roman"/>
          <w:b/>
          <w:bCs/>
          <w:color w:val="auto"/>
          <w:sz w:val="24"/>
        </w:rPr>
        <w:t>Induction of DC Maturation</w:t>
      </w:r>
    </w:p>
    <w:p w14:paraId="64ECCF61">
      <w:pPr>
        <w:spacing w:after="0" w:line="360" w:lineRule="auto"/>
        <w:jc w:val="both"/>
        <w:rPr>
          <w:rFonts w:ascii="Times New Roman" w:hAnsi="Times New Roman" w:cs="Times New Roman"/>
          <w:color w:val="auto"/>
          <w:sz w:val="24"/>
        </w:rPr>
      </w:pPr>
      <w:r>
        <w:rPr>
          <w:rFonts w:ascii="Times New Roman" w:hAnsi="Times New Roman" w:cs="Times New Roman"/>
          <w:color w:val="auto"/>
          <w:sz w:val="24"/>
        </w:rPr>
        <w:t>Bone marrow cells were isolated from the femurs and tibias of 6-8 week-old BALB/c mice and seeded in 6-well plates at a density of 5×105 cells per well. Cells were cultured for 7 days at 37</w:t>
      </w:r>
      <w:r>
        <w:rPr>
          <w:rFonts w:hint="eastAsia" w:ascii="Times New Roman" w:hAnsi="Times New Roman" w:cs="Times New Roman"/>
          <w:color w:val="auto"/>
          <w:sz w:val="24"/>
        </w:rPr>
        <w:t xml:space="preserve"> </w:t>
      </w:r>
      <w:r>
        <w:rPr>
          <w:rFonts w:ascii="Times New Roman" w:hAnsi="Times New Roman" w:cs="Times New Roman"/>
          <w:color w:val="auto"/>
          <w:sz w:val="24"/>
        </w:rPr>
        <w:t>℃ in complete RPMI-1640 medium containing rmGM-CSF (20 ng/mL) and rmIL-4 (10 ng/mL) to generate BMDCs. CT26 cells were treated with medium containing PBS,Cu(OAc)</w:t>
      </w:r>
      <w:r>
        <w:rPr>
          <w:rFonts w:ascii="Times New Roman" w:hAnsi="Times New Roman" w:cs="Times New Roman"/>
          <w:color w:val="auto"/>
          <w:sz w:val="24"/>
          <w:vertAlign w:val="subscript"/>
        </w:rPr>
        <w:t>2</w:t>
      </w:r>
      <w:r>
        <w:rPr>
          <w:rFonts w:ascii="Times New Roman" w:hAnsi="Times New Roman" w:cs="Times New Roman"/>
          <w:color w:val="auto"/>
          <w:sz w:val="24"/>
        </w:rPr>
        <w:t>, Propranolol, or Cu-PN NPs. After 24 hours, the supernatant was collected and co-cultured with the prepared BMDCs for 24 hours. BMDCs were collected, stained with anti-CD80 and anti-CD86 antibodies at 4℃ in the dark for 1 hour, washed with PBS, resuspended, and analyzed by flow cytometry.</w:t>
      </w:r>
    </w:p>
    <w:p w14:paraId="6BDC9D45">
      <w:pPr>
        <w:spacing w:after="0" w:line="360" w:lineRule="auto"/>
        <w:jc w:val="both"/>
        <w:rPr>
          <w:rFonts w:ascii="Times New Roman" w:hAnsi="Times New Roman" w:cs="Times New Roman"/>
          <w:color w:val="auto"/>
          <w:sz w:val="24"/>
        </w:rPr>
      </w:pPr>
    </w:p>
    <w:p w14:paraId="098A4287">
      <w:pPr>
        <w:spacing w:after="0" w:line="360" w:lineRule="auto"/>
        <w:jc w:val="both"/>
        <w:rPr>
          <w:rFonts w:ascii="Times New Roman" w:hAnsi="Times New Roman" w:cs="Times New Roman"/>
          <w:b/>
          <w:bCs/>
          <w:color w:val="auto"/>
          <w:sz w:val="24"/>
        </w:rPr>
      </w:pPr>
      <w:r>
        <w:rPr>
          <w:rFonts w:ascii="Times New Roman" w:hAnsi="Times New Roman" w:cs="Times New Roman"/>
          <w:b/>
          <w:bCs/>
          <w:i/>
          <w:iCs/>
          <w:color w:val="auto"/>
          <w:sz w:val="24"/>
        </w:rPr>
        <w:t>In vitro</w:t>
      </w:r>
      <w:r>
        <w:rPr>
          <w:rFonts w:ascii="Times New Roman" w:hAnsi="Times New Roman" w:cs="Times New Roman"/>
          <w:b/>
          <w:bCs/>
          <w:color w:val="auto"/>
          <w:sz w:val="24"/>
        </w:rPr>
        <w:t xml:space="preserve"> Restoration of T Cell Function</w:t>
      </w:r>
    </w:p>
    <w:p w14:paraId="1826DC3C">
      <w:pPr>
        <w:spacing w:after="0" w:line="360" w:lineRule="auto"/>
        <w:jc w:val="both"/>
        <w:rPr>
          <w:rFonts w:ascii="Times New Roman" w:hAnsi="Times New Roman" w:cs="Times New Roman"/>
          <w:color w:val="auto"/>
          <w:sz w:val="24"/>
        </w:rPr>
      </w:pPr>
      <w:r>
        <w:rPr>
          <w:rFonts w:ascii="Times New Roman" w:hAnsi="Times New Roman" w:cs="Times New Roman"/>
          <w:color w:val="auto"/>
          <w:sz w:val="24"/>
        </w:rPr>
        <w:t>CD8</w:t>
      </w:r>
      <w:r>
        <w:rPr>
          <w:rFonts w:ascii="Times New Roman" w:hAnsi="Times New Roman" w:eastAsia="MS Mincho" w:cs="Times New Roman"/>
          <w:color w:val="auto"/>
          <w:sz w:val="24"/>
        </w:rPr>
        <w:t>⁺</w:t>
      </w:r>
      <w:r>
        <w:rPr>
          <w:rFonts w:hint="eastAsia" w:ascii="Times New Roman" w:hAnsi="Times New Roman" w:cs="Times New Roman"/>
          <w:color w:val="auto"/>
          <w:sz w:val="24"/>
        </w:rPr>
        <w:t xml:space="preserve"> </w:t>
      </w:r>
      <w:r>
        <w:rPr>
          <w:rFonts w:ascii="Times New Roman" w:hAnsi="Times New Roman" w:cs="Times New Roman"/>
          <w:color w:val="auto"/>
          <w:sz w:val="24"/>
        </w:rPr>
        <w:t>T cells were isolated from the spleens of 6-8 week-old BALB/c mice. Cells were seeded at a density of 5</w:t>
      </w:r>
      <w:r>
        <w:rPr>
          <w:rFonts w:ascii="Times New Roman" w:hAnsi="Times New Roman" w:eastAsia="等线" w:cs="Times New Roman"/>
          <w:color w:val="auto"/>
          <w:sz w:val="24"/>
        </w:rPr>
        <w:t>×</w:t>
      </w:r>
      <w:r>
        <w:rPr>
          <w:rFonts w:ascii="Times New Roman" w:hAnsi="Times New Roman" w:cs="Times New Roman"/>
          <w:color w:val="auto"/>
          <w:sz w:val="24"/>
        </w:rPr>
        <w:t>10</w:t>
      </w:r>
      <w:r>
        <w:rPr>
          <w:rFonts w:ascii="Times New Roman" w:hAnsi="Times New Roman" w:cs="Times New Roman"/>
          <w:color w:val="auto"/>
          <w:sz w:val="24"/>
          <w:vertAlign w:val="superscript"/>
        </w:rPr>
        <w:t>5</w:t>
      </w:r>
      <w:r>
        <w:rPr>
          <w:rFonts w:ascii="Times New Roman" w:hAnsi="Times New Roman" w:cs="Times New Roman"/>
          <w:color w:val="auto"/>
          <w:sz w:val="24"/>
        </w:rPr>
        <w:t xml:space="preserve"> cells per well in 48-well plates pre-coated with anti-CD3 antibody (5 </w:t>
      </w:r>
      <w:r>
        <w:rPr>
          <w:rFonts w:ascii="Times New Roman" w:hAnsi="Times New Roman" w:eastAsia="等线" w:cs="Times New Roman"/>
          <w:color w:val="auto"/>
          <w:sz w:val="24"/>
        </w:rPr>
        <w:t>μ</w:t>
      </w:r>
      <w:r>
        <w:rPr>
          <w:rFonts w:ascii="Times New Roman" w:hAnsi="Times New Roman" w:cs="Times New Roman"/>
          <w:color w:val="auto"/>
          <w:sz w:val="24"/>
        </w:rPr>
        <w:t>g/mL), and soluble anti-CD28 antibody (2 μg/mL) was added. Cells were incubated at 37</w:t>
      </w:r>
      <w:r>
        <w:rPr>
          <w:rFonts w:hint="eastAsia" w:ascii="Times New Roman" w:hAnsi="Times New Roman" w:cs="Times New Roman"/>
          <w:color w:val="auto"/>
          <w:sz w:val="24"/>
        </w:rPr>
        <w:t xml:space="preserve"> </w:t>
      </w:r>
      <w:r>
        <w:rPr>
          <w:rFonts w:ascii="Times New Roman" w:hAnsi="Times New Roman" w:cs="Times New Roman"/>
          <w:color w:val="auto"/>
          <w:sz w:val="24"/>
        </w:rPr>
        <w:t>℃ for initial activation (3 days). On day 3, the medium was replaced with medium containing anti-CD3 antibody (5 μg/mL) and epinephrine (E, 10 μM) to induce exhaustion, along with fresh medium containing PBS,Cu(OAc)</w:t>
      </w:r>
      <w:r>
        <w:rPr>
          <w:rFonts w:ascii="Times New Roman" w:hAnsi="Times New Roman" w:cs="Times New Roman"/>
          <w:color w:val="auto"/>
          <w:sz w:val="24"/>
          <w:vertAlign w:val="subscript"/>
        </w:rPr>
        <w:t>2</w:t>
      </w:r>
      <w:r>
        <w:rPr>
          <w:rFonts w:ascii="Times New Roman" w:hAnsi="Times New Roman" w:cs="Times New Roman"/>
          <w:color w:val="auto"/>
          <w:sz w:val="24"/>
        </w:rPr>
        <w:t>, Propranolol, or Cu-PN NPs. Within each group, cells were further divided into three subgroups: CD3-E- (no stimulation), CD3+E- (only anti-CD3 re-stimulation), CD3+E+ (anti-CD3 re-stimulation + epinephrine), and cultured for 7 days. On day 10, cells were harvested, washed with PBS, and stained with anti-PD-1, anti-Lag3, anti-TNF-α, and anti-IFN-γ antibodies at 4</w:t>
      </w:r>
      <w:r>
        <w:rPr>
          <w:rFonts w:hint="eastAsia" w:ascii="Times New Roman" w:hAnsi="Times New Roman" w:cs="Times New Roman"/>
          <w:color w:val="auto"/>
          <w:sz w:val="24"/>
        </w:rPr>
        <w:t xml:space="preserve"> </w:t>
      </w:r>
      <w:r>
        <w:rPr>
          <w:rFonts w:ascii="Times New Roman" w:hAnsi="Times New Roman" w:cs="Times New Roman"/>
          <w:color w:val="auto"/>
          <w:sz w:val="24"/>
        </w:rPr>
        <w:t xml:space="preserve">℃ in the dark for 45 </w:t>
      </w:r>
      <w:r>
        <w:rPr>
          <w:rFonts w:hint="eastAsia" w:ascii="Times New Roman" w:hAnsi="Times New Roman" w:cs="Times New Roman"/>
          <w:color w:val="auto"/>
          <w:sz w:val="24"/>
        </w:rPr>
        <w:t>min</w:t>
      </w:r>
      <w:r>
        <w:rPr>
          <w:rFonts w:ascii="Times New Roman" w:hAnsi="Times New Roman" w:cs="Times New Roman"/>
          <w:color w:val="auto"/>
          <w:sz w:val="24"/>
        </w:rPr>
        <w:t>. After washing with PBS and resuspension, cells were analyzed by flow cytometry.</w:t>
      </w:r>
    </w:p>
    <w:p w14:paraId="25DB9D33">
      <w:pPr>
        <w:spacing w:after="0" w:line="360" w:lineRule="auto"/>
        <w:jc w:val="both"/>
        <w:rPr>
          <w:rFonts w:ascii="Times New Roman" w:hAnsi="Times New Roman" w:cs="Times New Roman"/>
          <w:color w:val="auto"/>
          <w:sz w:val="24"/>
        </w:rPr>
      </w:pPr>
    </w:p>
    <w:p w14:paraId="752A783A">
      <w:pPr>
        <w:spacing w:after="0" w:line="360" w:lineRule="auto"/>
        <w:jc w:val="both"/>
        <w:rPr>
          <w:rFonts w:ascii="Times New Roman" w:hAnsi="Times New Roman" w:cs="Times New Roman"/>
          <w:b/>
          <w:bCs/>
          <w:color w:val="auto"/>
          <w:sz w:val="24"/>
        </w:rPr>
      </w:pPr>
      <w:r>
        <w:rPr>
          <w:rFonts w:ascii="Times New Roman" w:hAnsi="Times New Roman" w:cs="Times New Roman"/>
          <w:b/>
          <w:bCs/>
          <w:i/>
          <w:iCs/>
          <w:color w:val="auto"/>
          <w:sz w:val="24"/>
        </w:rPr>
        <w:t>In vivo</w:t>
      </w:r>
      <w:r>
        <w:rPr>
          <w:rFonts w:ascii="Times New Roman" w:hAnsi="Times New Roman" w:cs="Times New Roman"/>
          <w:b/>
          <w:bCs/>
          <w:color w:val="auto"/>
          <w:sz w:val="24"/>
        </w:rPr>
        <w:t xml:space="preserve"> Antitumor Effect Assessment</w:t>
      </w:r>
    </w:p>
    <w:p w14:paraId="79534CF1">
      <w:pPr>
        <w:spacing w:after="0" w:line="360" w:lineRule="auto"/>
        <w:jc w:val="both"/>
        <w:rPr>
          <w:rFonts w:ascii="Times New Roman" w:hAnsi="Times New Roman" w:cs="Times New Roman"/>
          <w:color w:val="auto"/>
          <w:sz w:val="24"/>
        </w:rPr>
      </w:pPr>
      <w:r>
        <w:rPr>
          <w:rFonts w:ascii="Times New Roman" w:hAnsi="Times New Roman" w:cs="Times New Roman"/>
          <w:color w:val="auto"/>
          <w:sz w:val="24"/>
        </w:rPr>
        <w:t>CT26 cells in logarithmic growth phase (2×106 cells/mouse) were subcutaneously injected into the right flank of BALB/c mice to establish a tumor-bearing model. When tumor volume reached approximately 50 mm</w:t>
      </w:r>
      <w:r>
        <w:rPr>
          <w:rFonts w:ascii="Times New Roman" w:hAnsi="Times New Roman" w:cs="Times New Roman"/>
          <w:color w:val="auto"/>
          <w:sz w:val="24"/>
          <w:vertAlign w:val="superscript"/>
        </w:rPr>
        <w:t>3</w:t>
      </w:r>
      <w:r>
        <w:rPr>
          <w:rFonts w:ascii="Times New Roman" w:hAnsi="Times New Roman" w:cs="Times New Roman"/>
          <w:color w:val="auto"/>
          <w:sz w:val="24"/>
        </w:rPr>
        <w:t>, mice were randomly divided into four groups and administered PBS,</w:t>
      </w:r>
      <w:r>
        <w:rPr>
          <w:rFonts w:hint="eastAsia" w:ascii="Times New Roman" w:hAnsi="Times New Roman" w:cs="Times New Roman"/>
          <w:color w:val="auto"/>
          <w:sz w:val="24"/>
        </w:rPr>
        <w:t xml:space="preserve"> </w:t>
      </w:r>
      <w:r>
        <w:rPr>
          <w:rFonts w:ascii="Times New Roman" w:hAnsi="Times New Roman" w:cs="Times New Roman"/>
          <w:color w:val="auto"/>
          <w:sz w:val="24"/>
        </w:rPr>
        <w:t>Cu(OAc)</w:t>
      </w:r>
      <w:r>
        <w:rPr>
          <w:rFonts w:ascii="Times New Roman" w:hAnsi="Times New Roman" w:cs="Times New Roman"/>
          <w:color w:val="auto"/>
          <w:sz w:val="24"/>
          <w:vertAlign w:val="subscript"/>
        </w:rPr>
        <w:t>2</w:t>
      </w:r>
      <w:r>
        <w:rPr>
          <w:rFonts w:ascii="Times New Roman" w:hAnsi="Times New Roman" w:cs="Times New Roman"/>
          <w:color w:val="auto"/>
          <w:sz w:val="24"/>
        </w:rPr>
        <w:t>, Propranolol, or Cu-PN NPs via tail vein injection. Tumor length (L) and width (W) were measured using calipers on days 0, 2, 4, 6, 8, 10, 12, and 14. Tumor volume was calculated using the formula V = 0.5×L×W</w:t>
      </w:r>
      <w:r>
        <w:rPr>
          <w:rFonts w:hint="eastAsia" w:ascii="Times New Roman" w:hAnsi="Times New Roman" w:cs="Times New Roman"/>
          <w:color w:val="auto"/>
          <w:sz w:val="24"/>
          <w:vertAlign w:val="superscript"/>
        </w:rPr>
        <w:t>2</w:t>
      </w:r>
      <w:r>
        <w:rPr>
          <w:rFonts w:ascii="Times New Roman" w:hAnsi="Times New Roman" w:cs="Times New Roman"/>
          <w:color w:val="auto"/>
          <w:sz w:val="24"/>
        </w:rPr>
        <w:t>. On day 14, mice were euthanized, tumors were completely excised, and tumor mass was weighed and recorded.</w:t>
      </w:r>
    </w:p>
    <w:p w14:paraId="0BBBADC5">
      <w:pPr>
        <w:spacing w:after="0" w:line="360" w:lineRule="auto"/>
        <w:jc w:val="both"/>
        <w:rPr>
          <w:rFonts w:ascii="Times New Roman" w:hAnsi="Times New Roman" w:cs="Times New Roman"/>
          <w:color w:val="auto"/>
          <w:sz w:val="24"/>
        </w:rPr>
      </w:pPr>
    </w:p>
    <w:p w14:paraId="3A06078E">
      <w:pPr>
        <w:spacing w:after="0" w:line="360" w:lineRule="auto"/>
        <w:jc w:val="both"/>
        <w:rPr>
          <w:rFonts w:ascii="Times New Roman" w:hAnsi="Times New Roman" w:cs="Times New Roman"/>
          <w:b/>
          <w:bCs/>
          <w:color w:val="auto"/>
          <w:sz w:val="24"/>
        </w:rPr>
      </w:pPr>
      <w:r>
        <w:rPr>
          <w:rFonts w:ascii="Times New Roman" w:hAnsi="Times New Roman" w:cs="Times New Roman"/>
          <w:b/>
          <w:bCs/>
          <w:color w:val="auto"/>
          <w:sz w:val="24"/>
        </w:rPr>
        <w:t>Near-Infrared Fluorescence Imaging for Biodistribution and Tumor Targeting</w:t>
      </w:r>
    </w:p>
    <w:p w14:paraId="145C93C7">
      <w:pPr>
        <w:spacing w:after="0" w:line="360" w:lineRule="auto"/>
        <w:jc w:val="both"/>
        <w:rPr>
          <w:rFonts w:ascii="Times New Roman" w:hAnsi="Times New Roman" w:cs="Times New Roman"/>
          <w:color w:val="auto"/>
          <w:sz w:val="24"/>
        </w:rPr>
      </w:pPr>
      <w:r>
        <w:rPr>
          <w:rFonts w:ascii="Times New Roman" w:hAnsi="Times New Roman" w:cs="Times New Roman"/>
          <w:color w:val="auto"/>
          <w:sz w:val="24"/>
        </w:rPr>
        <w:t>To evaluate the</w:t>
      </w:r>
      <w:r>
        <w:rPr>
          <w:rFonts w:hint="eastAsia" w:ascii="Times New Roman" w:hAnsi="Times New Roman" w:cs="Times New Roman"/>
          <w:color w:val="auto"/>
          <w:sz w:val="24"/>
        </w:rPr>
        <w:t xml:space="preserve"> </w:t>
      </w:r>
      <w:r>
        <w:rPr>
          <w:rFonts w:ascii="Times New Roman" w:hAnsi="Times New Roman" w:cs="Times New Roman"/>
          <w:i/>
          <w:iCs/>
          <w:color w:val="auto"/>
          <w:sz w:val="24"/>
        </w:rPr>
        <w:t>in vivo</w:t>
      </w:r>
      <w:r>
        <w:rPr>
          <w:rFonts w:hint="eastAsia" w:ascii="Times New Roman" w:hAnsi="Times New Roman" w:cs="Times New Roman"/>
          <w:color w:val="auto"/>
          <w:sz w:val="24"/>
        </w:rPr>
        <w:t xml:space="preserve"> </w:t>
      </w:r>
      <w:r>
        <w:rPr>
          <w:rFonts w:ascii="Times New Roman" w:hAnsi="Times New Roman" w:cs="Times New Roman"/>
          <w:color w:val="auto"/>
          <w:sz w:val="24"/>
        </w:rPr>
        <w:t>biodistribution and tumor-targeting capability of Cu-PN NPs, near-infrared fluorescence imaging was performed. CT26 tumor-bearing BALB/c mice (6-week-old male, tumor volume ≈ 100 mm³) were randomly divided into two groups (n = 3) and intravenously injected with free Cy5.5 or Cy5.5-labeled Cu-PN NPs (CuPN@Cy5.5 NPs), respectively.</w:t>
      </w:r>
      <w:r>
        <w:rPr>
          <w:rFonts w:hint="eastAsia" w:ascii="Times New Roman" w:hAnsi="Times New Roman" w:cs="Times New Roman"/>
          <w:color w:val="auto"/>
          <w:sz w:val="24"/>
        </w:rPr>
        <w:t xml:space="preserve"> </w:t>
      </w:r>
      <w:r>
        <w:rPr>
          <w:rFonts w:ascii="Times New Roman" w:hAnsi="Times New Roman" w:cs="Times New Roman"/>
          <w:i/>
          <w:iCs/>
          <w:color w:val="auto"/>
          <w:sz w:val="24"/>
        </w:rPr>
        <w:t>In vivo</w:t>
      </w:r>
      <w:r>
        <w:rPr>
          <w:rFonts w:hint="eastAsia" w:ascii="Times New Roman" w:hAnsi="Times New Roman" w:cs="Times New Roman"/>
          <w:color w:val="auto"/>
          <w:sz w:val="24"/>
        </w:rPr>
        <w:t xml:space="preserve"> </w:t>
      </w:r>
      <w:r>
        <w:rPr>
          <w:rFonts w:ascii="Times New Roman" w:hAnsi="Times New Roman" w:cs="Times New Roman"/>
          <w:color w:val="auto"/>
          <w:sz w:val="24"/>
        </w:rPr>
        <w:t>fluorescence imaging was conducted at 2, 8, 16, and 24 hours post-injection using an</w:t>
      </w:r>
      <w:r>
        <w:rPr>
          <w:rFonts w:hint="eastAsia" w:ascii="Times New Roman" w:hAnsi="Times New Roman" w:cs="Times New Roman"/>
          <w:color w:val="auto"/>
          <w:sz w:val="24"/>
        </w:rPr>
        <w:t xml:space="preserve"> </w:t>
      </w:r>
      <w:r>
        <w:rPr>
          <w:rFonts w:ascii="Times New Roman" w:hAnsi="Times New Roman" w:cs="Times New Roman"/>
          <w:i/>
          <w:iCs/>
          <w:color w:val="auto"/>
          <w:sz w:val="24"/>
        </w:rPr>
        <w:t>in vivo</w:t>
      </w:r>
      <w:r>
        <w:rPr>
          <w:rFonts w:hint="eastAsia" w:ascii="Times New Roman" w:hAnsi="Times New Roman" w:cs="Times New Roman"/>
          <w:color w:val="auto"/>
          <w:sz w:val="24"/>
        </w:rPr>
        <w:t xml:space="preserve"> </w:t>
      </w:r>
      <w:r>
        <w:rPr>
          <w:rFonts w:ascii="Times New Roman" w:hAnsi="Times New Roman" w:cs="Times New Roman"/>
          <w:color w:val="auto"/>
          <w:sz w:val="24"/>
        </w:rPr>
        <w:t>imaging system (IVIS) to monitor the real-time distribution of the agents. At 24 hours after administration, the mice were euthanized, and major organs (heart, liver, spleen, lung, kidney) together with tumors were harvested for</w:t>
      </w:r>
      <w:r>
        <w:rPr>
          <w:rFonts w:hint="eastAsia" w:ascii="Times New Roman" w:hAnsi="Times New Roman" w:cs="Times New Roman"/>
          <w:color w:val="auto"/>
          <w:sz w:val="24"/>
        </w:rPr>
        <w:t xml:space="preserve"> </w:t>
      </w:r>
      <w:r>
        <w:rPr>
          <w:rFonts w:ascii="Times New Roman" w:hAnsi="Times New Roman" w:cs="Times New Roman"/>
          <w:i/>
          <w:iCs/>
          <w:color w:val="auto"/>
          <w:sz w:val="24"/>
        </w:rPr>
        <w:t>ex vivo</w:t>
      </w:r>
      <w:r>
        <w:rPr>
          <w:rFonts w:hint="eastAsia" w:ascii="Times New Roman" w:hAnsi="Times New Roman" w:cs="Times New Roman"/>
          <w:color w:val="auto"/>
          <w:sz w:val="24"/>
        </w:rPr>
        <w:t xml:space="preserve"> </w:t>
      </w:r>
      <w:r>
        <w:rPr>
          <w:rFonts w:ascii="Times New Roman" w:hAnsi="Times New Roman" w:cs="Times New Roman"/>
          <w:color w:val="auto"/>
          <w:sz w:val="24"/>
        </w:rPr>
        <w:t>fluorescence imaging to quantitatively assess the accumulation of nanoparticles in various tissues.</w:t>
      </w:r>
    </w:p>
    <w:p w14:paraId="3E9DEDD1">
      <w:pPr>
        <w:spacing w:after="0" w:line="360" w:lineRule="auto"/>
        <w:jc w:val="both"/>
        <w:rPr>
          <w:rFonts w:ascii="Times New Roman" w:hAnsi="Times New Roman" w:cs="Times New Roman"/>
          <w:color w:val="auto"/>
          <w:sz w:val="24"/>
        </w:rPr>
      </w:pPr>
    </w:p>
    <w:p w14:paraId="4BB9516D">
      <w:pPr>
        <w:spacing w:after="0" w:line="360" w:lineRule="auto"/>
        <w:jc w:val="both"/>
        <w:rPr>
          <w:rFonts w:ascii="Times New Roman" w:hAnsi="Times New Roman" w:cs="Times New Roman"/>
          <w:b/>
          <w:bCs/>
          <w:color w:val="auto"/>
          <w:sz w:val="24"/>
        </w:rPr>
      </w:pPr>
      <w:r>
        <w:rPr>
          <w:rFonts w:ascii="Times New Roman" w:hAnsi="Times New Roman" w:cs="Times New Roman"/>
          <w:b/>
          <w:bCs/>
          <w:color w:val="auto"/>
          <w:sz w:val="24"/>
        </w:rPr>
        <w:t>IHC Analysis</w:t>
      </w:r>
    </w:p>
    <w:p w14:paraId="1F75AF05">
      <w:pPr>
        <w:spacing w:after="0" w:line="360" w:lineRule="auto"/>
        <w:jc w:val="both"/>
        <w:rPr>
          <w:rFonts w:ascii="Times New Roman" w:hAnsi="Times New Roman" w:cs="Times New Roman"/>
          <w:color w:val="auto"/>
          <w:sz w:val="24"/>
        </w:rPr>
      </w:pPr>
      <w:r>
        <w:rPr>
          <w:rFonts w:ascii="Times New Roman" w:hAnsi="Times New Roman" w:cs="Times New Roman"/>
          <w:color w:val="auto"/>
          <w:sz w:val="24"/>
        </w:rPr>
        <w:t>Tumor</w:t>
      </w:r>
      <w:r>
        <w:rPr>
          <w:rFonts w:hint="eastAsia" w:ascii="Times New Roman" w:hAnsi="Times New Roman" w:cs="Times New Roman"/>
          <w:color w:val="auto"/>
          <w:sz w:val="24"/>
        </w:rPr>
        <w:t xml:space="preserve"> </w:t>
      </w:r>
      <w:r>
        <w:rPr>
          <w:rFonts w:ascii="Times New Roman" w:hAnsi="Times New Roman" w:cs="Times New Roman"/>
          <w:color w:val="auto"/>
          <w:sz w:val="24"/>
        </w:rPr>
        <w:t xml:space="preserve">tissues excised on day 14 of the </w:t>
      </w:r>
      <w:r>
        <w:rPr>
          <w:rFonts w:ascii="Times New Roman" w:hAnsi="Times New Roman" w:cs="Times New Roman"/>
          <w:i/>
          <w:iCs/>
          <w:color w:val="auto"/>
          <w:sz w:val="24"/>
        </w:rPr>
        <w:t>in vivo</w:t>
      </w:r>
      <w:r>
        <w:rPr>
          <w:rFonts w:ascii="Times New Roman" w:hAnsi="Times New Roman" w:cs="Times New Roman"/>
          <w:color w:val="auto"/>
          <w:sz w:val="24"/>
        </w:rPr>
        <w:t xml:space="preserve"> antitumor experiment were fixed in 4% paraformaldehyde for 24 hours, paraffin-embedded, and sectioned at 4 μm thickness. Sections were deparaffinized in xylene, rehydrated through graded ethanol, and subjected to antigen retrieval in citrate buffer (pH 6.0) at 95</w:t>
      </w:r>
      <w:r>
        <w:rPr>
          <w:rFonts w:hint="eastAsia" w:ascii="Times New Roman" w:hAnsi="Times New Roman" w:cs="Times New Roman"/>
          <w:color w:val="auto"/>
          <w:sz w:val="24"/>
        </w:rPr>
        <w:t xml:space="preserve"> </w:t>
      </w:r>
      <w:r>
        <w:rPr>
          <w:rFonts w:ascii="Times New Roman" w:hAnsi="Times New Roman" w:cs="Times New Roman"/>
          <w:color w:val="auto"/>
          <w:sz w:val="24"/>
        </w:rPr>
        <w:t xml:space="preserve">℃ for 15 </w:t>
      </w:r>
      <w:r>
        <w:rPr>
          <w:rFonts w:hint="eastAsia" w:ascii="Times New Roman" w:hAnsi="Times New Roman" w:cs="Times New Roman"/>
          <w:color w:val="auto"/>
          <w:sz w:val="24"/>
        </w:rPr>
        <w:t>min</w:t>
      </w:r>
      <w:r>
        <w:rPr>
          <w:rFonts w:ascii="Times New Roman" w:hAnsi="Times New Roman" w:cs="Times New Roman"/>
          <w:color w:val="auto"/>
          <w:sz w:val="24"/>
        </w:rPr>
        <w:t>. After cooling, endogenous peroxidase was blocked with 3% H</w:t>
      </w:r>
      <w:r>
        <w:rPr>
          <w:rFonts w:ascii="Times New Roman" w:hAnsi="Times New Roman" w:cs="Times New Roman"/>
          <w:color w:val="auto"/>
          <w:sz w:val="24"/>
          <w:vertAlign w:val="subscript"/>
        </w:rPr>
        <w:t>2</w:t>
      </w:r>
      <w:r>
        <w:rPr>
          <w:rFonts w:ascii="Times New Roman" w:hAnsi="Times New Roman" w:cs="Times New Roman"/>
          <w:color w:val="auto"/>
          <w:sz w:val="24"/>
        </w:rPr>
        <w:t>O</w:t>
      </w:r>
      <w:r>
        <w:rPr>
          <w:rFonts w:ascii="Times New Roman" w:hAnsi="Times New Roman" w:cs="Times New Roman"/>
          <w:color w:val="auto"/>
          <w:sz w:val="24"/>
          <w:vertAlign w:val="subscript"/>
        </w:rPr>
        <w:t>2</w:t>
      </w:r>
      <w:r>
        <w:rPr>
          <w:rFonts w:ascii="Times New Roman" w:hAnsi="Times New Roman" w:cs="Times New Roman"/>
          <w:color w:val="auto"/>
          <w:sz w:val="24"/>
        </w:rPr>
        <w:t>, and sections were blocked with 5</w:t>
      </w:r>
      <w:r>
        <w:rPr>
          <w:rFonts w:hint="eastAsia" w:ascii="Times New Roman" w:hAnsi="Times New Roman" w:cs="Times New Roman"/>
          <w:color w:val="auto"/>
          <w:sz w:val="24"/>
        </w:rPr>
        <w:t xml:space="preserve"> </w:t>
      </w:r>
      <w:r>
        <w:rPr>
          <w:rFonts w:ascii="Times New Roman" w:hAnsi="Times New Roman" w:cs="Times New Roman"/>
          <w:color w:val="auto"/>
          <w:sz w:val="24"/>
        </w:rPr>
        <w:t>% BSA at room temperature for 1 hour. Sections were incubated overnight at 4</w:t>
      </w:r>
      <w:r>
        <w:rPr>
          <w:rFonts w:hint="eastAsia" w:ascii="Times New Roman" w:hAnsi="Times New Roman" w:cs="Times New Roman"/>
          <w:color w:val="auto"/>
          <w:sz w:val="24"/>
        </w:rPr>
        <w:t xml:space="preserve"> </w:t>
      </w:r>
      <w:r>
        <w:rPr>
          <w:rFonts w:ascii="Times New Roman" w:hAnsi="Times New Roman" w:cs="Times New Roman"/>
          <w:color w:val="auto"/>
          <w:sz w:val="24"/>
        </w:rPr>
        <w:t>℃</w:t>
      </w:r>
      <w:r>
        <w:rPr>
          <w:rFonts w:hint="eastAsia" w:ascii="Times New Roman" w:hAnsi="Times New Roman" w:cs="Times New Roman"/>
          <w:color w:val="auto"/>
          <w:sz w:val="24"/>
        </w:rPr>
        <w:t xml:space="preserve"> </w:t>
      </w:r>
      <w:r>
        <w:rPr>
          <w:rFonts w:ascii="Times New Roman" w:hAnsi="Times New Roman" w:cs="Times New Roman"/>
          <w:color w:val="auto"/>
          <w:sz w:val="24"/>
        </w:rPr>
        <w:t>with primary antibodies against Ki67, FDX1, LIAS, p-ERK, or p-CREB. After PBS washing, HRP-labeled secondary antibodies were added and incubated at room temperature for 1 hour. DAB chromogen solution was used for color development, followed by hematoxylin counterstaining for 10 seconds. Sections were dehydrated through graded ethanol, cleared in xylene, and mounted with neutral resin. Observation was performed using an optical microscope.</w:t>
      </w:r>
    </w:p>
    <w:p w14:paraId="00C8264A">
      <w:pPr>
        <w:spacing w:after="0" w:line="360" w:lineRule="auto"/>
        <w:jc w:val="both"/>
        <w:rPr>
          <w:rFonts w:ascii="Times New Roman" w:hAnsi="Times New Roman" w:cs="Times New Roman"/>
          <w:color w:val="auto"/>
          <w:sz w:val="24"/>
        </w:rPr>
      </w:pPr>
    </w:p>
    <w:p w14:paraId="1971A5B3">
      <w:pPr>
        <w:spacing w:after="0" w:line="360" w:lineRule="auto"/>
        <w:jc w:val="both"/>
        <w:rPr>
          <w:rFonts w:ascii="Times New Roman" w:hAnsi="Times New Roman" w:cs="Times New Roman"/>
          <w:b/>
          <w:bCs/>
          <w:color w:val="auto"/>
          <w:sz w:val="24"/>
        </w:rPr>
      </w:pPr>
      <w:r>
        <w:rPr>
          <w:rFonts w:ascii="Times New Roman" w:hAnsi="Times New Roman" w:cs="Times New Roman"/>
          <w:b/>
          <w:bCs/>
          <w:i/>
          <w:iCs/>
          <w:color w:val="auto"/>
          <w:sz w:val="24"/>
        </w:rPr>
        <w:t>In vivo</w:t>
      </w:r>
      <w:r>
        <w:rPr>
          <w:rFonts w:ascii="Times New Roman" w:hAnsi="Times New Roman" w:cs="Times New Roman"/>
          <w:b/>
          <w:bCs/>
          <w:color w:val="auto"/>
          <w:sz w:val="24"/>
        </w:rPr>
        <w:t xml:space="preserve"> Immune Effect Assessment</w:t>
      </w:r>
    </w:p>
    <w:p w14:paraId="37EE7C13">
      <w:pPr>
        <w:spacing w:after="0" w:line="360" w:lineRule="auto"/>
        <w:jc w:val="both"/>
        <w:rPr>
          <w:rFonts w:ascii="Times New Roman" w:hAnsi="Times New Roman" w:cs="Times New Roman"/>
          <w:color w:val="auto"/>
          <w:sz w:val="24"/>
        </w:rPr>
      </w:pPr>
      <w:r>
        <w:rPr>
          <w:rFonts w:ascii="Times New Roman" w:hAnsi="Times New Roman" w:cs="Times New Roman"/>
          <w:color w:val="auto"/>
          <w:sz w:val="24"/>
        </w:rPr>
        <w:t xml:space="preserve">Tumor tissues excised on day 14 of the </w:t>
      </w:r>
      <w:r>
        <w:rPr>
          <w:rFonts w:ascii="Times New Roman" w:hAnsi="Times New Roman" w:cs="Times New Roman"/>
          <w:i/>
          <w:iCs/>
          <w:color w:val="auto"/>
          <w:sz w:val="24"/>
        </w:rPr>
        <w:t>in vivo</w:t>
      </w:r>
      <w:r>
        <w:rPr>
          <w:rFonts w:ascii="Times New Roman" w:hAnsi="Times New Roman" w:cs="Times New Roman"/>
          <w:color w:val="auto"/>
          <w:sz w:val="24"/>
        </w:rPr>
        <w:t xml:space="preserve"> antitumor experiment were mechanically minced and digested with collagenase IV (1 mg/mL) and DNase I (0.5 mg/mL) at 37</w:t>
      </w:r>
      <w:r>
        <w:rPr>
          <w:rFonts w:hint="eastAsia" w:ascii="Times New Roman" w:hAnsi="Times New Roman" w:cs="Times New Roman"/>
          <w:color w:val="auto"/>
          <w:sz w:val="24"/>
        </w:rPr>
        <w:t xml:space="preserve"> </w:t>
      </w:r>
      <w:r>
        <w:rPr>
          <w:rFonts w:ascii="Times New Roman" w:hAnsi="Times New Roman" w:cs="Times New Roman"/>
          <w:color w:val="auto"/>
          <w:sz w:val="24"/>
        </w:rPr>
        <w:t xml:space="preserve">℃ for 30 </w:t>
      </w:r>
      <w:r>
        <w:rPr>
          <w:rFonts w:hint="eastAsia" w:ascii="Times New Roman" w:hAnsi="Times New Roman" w:cs="Times New Roman"/>
          <w:color w:val="auto"/>
          <w:sz w:val="24"/>
        </w:rPr>
        <w:t>min</w:t>
      </w:r>
      <w:r>
        <w:rPr>
          <w:rFonts w:ascii="Times New Roman" w:hAnsi="Times New Roman" w:cs="Times New Roman"/>
          <w:color w:val="auto"/>
          <w:sz w:val="24"/>
        </w:rPr>
        <w:t xml:space="preserve"> to prepare single-cell suspensions. After red blood cell lysis, cells were washed with PBS. Cells were aliquoted and stained with antibodies against CD80, CD86, CD8, PD-1, Lag3, TNF-α, IFN-γ, CD4, CD25, and Foxp3 (for intracellular staining of TNF-α, IFN-γ, and Foxp3, cells were first permeabilized for 40 </w:t>
      </w:r>
      <w:r>
        <w:rPr>
          <w:rFonts w:hint="eastAsia" w:ascii="Times New Roman" w:hAnsi="Times New Roman" w:cs="Times New Roman"/>
          <w:color w:val="auto"/>
          <w:sz w:val="24"/>
        </w:rPr>
        <w:t>min</w:t>
      </w:r>
      <w:r>
        <w:rPr>
          <w:rFonts w:ascii="Times New Roman" w:hAnsi="Times New Roman" w:cs="Times New Roman"/>
          <w:color w:val="auto"/>
          <w:sz w:val="24"/>
        </w:rPr>
        <w:t>) at 4</w:t>
      </w:r>
      <w:r>
        <w:rPr>
          <w:rFonts w:hint="eastAsia" w:ascii="Times New Roman" w:hAnsi="Times New Roman" w:cs="Times New Roman"/>
          <w:color w:val="auto"/>
          <w:sz w:val="24"/>
        </w:rPr>
        <w:t xml:space="preserve"> </w:t>
      </w:r>
      <w:r>
        <w:rPr>
          <w:rFonts w:ascii="Times New Roman" w:hAnsi="Times New Roman" w:cs="Times New Roman"/>
          <w:color w:val="auto"/>
          <w:sz w:val="24"/>
        </w:rPr>
        <w:t xml:space="preserve">℃ in the dark for 45 </w:t>
      </w:r>
      <w:r>
        <w:rPr>
          <w:rFonts w:hint="eastAsia" w:ascii="Times New Roman" w:hAnsi="Times New Roman" w:cs="Times New Roman"/>
          <w:color w:val="auto"/>
          <w:sz w:val="24"/>
        </w:rPr>
        <w:t>min</w:t>
      </w:r>
      <w:r>
        <w:rPr>
          <w:rFonts w:ascii="Times New Roman" w:hAnsi="Times New Roman" w:cs="Times New Roman"/>
          <w:color w:val="auto"/>
          <w:sz w:val="24"/>
        </w:rPr>
        <w:t>. After washing with PBS and resuspension, cells were analyzed by flow cytometry.</w:t>
      </w:r>
      <w:r>
        <w:rPr>
          <w:rFonts w:hint="eastAsia" w:ascii="Times New Roman" w:hAnsi="Times New Roman" w:cs="Times New Roman"/>
          <w:color w:val="auto"/>
          <w:sz w:val="24"/>
        </w:rPr>
        <w:t xml:space="preserve"> </w:t>
      </w:r>
    </w:p>
    <w:p w14:paraId="531AC526">
      <w:pPr>
        <w:spacing w:after="0" w:line="360" w:lineRule="auto"/>
        <w:jc w:val="both"/>
        <w:rPr>
          <w:rFonts w:ascii="Times New Roman" w:hAnsi="Times New Roman" w:cs="Times New Roman"/>
          <w:color w:val="auto"/>
          <w:sz w:val="24"/>
        </w:rPr>
      </w:pPr>
      <w:r>
        <w:rPr>
          <w:rFonts w:hint="eastAsia" w:ascii="Times New Roman" w:hAnsi="Times New Roman" w:cs="Times New Roman"/>
          <w:b/>
          <w:bCs/>
          <w:color w:val="auto"/>
          <w:sz w:val="24"/>
        </w:rPr>
        <w:t xml:space="preserve">The gating strategy was shown as the following: </w:t>
      </w:r>
      <w:r>
        <w:rPr>
          <w:rFonts w:hint="eastAsia" w:ascii="Times New Roman" w:hAnsi="Times New Roman" w:cs="Times New Roman"/>
          <w:color w:val="auto"/>
          <w:sz w:val="24"/>
        </w:rPr>
        <w:t>representative flow cytometry plots show the sequential gating strategy used to identify CD3⁺CD8⁺ T cells from single-cell suspensions of tumor tissues. Cells were first gated on lymphocytes based on FSC-A and SSC-A, followed by selection of single cells using FSC-H vs FSC-A. CD45⁺leukocytes were then identified, from which CD3⁺CD8⁺T cell populations were analyzed. The percentage values indicate the proportion of parent population at each gating step (</w:t>
      </w:r>
      <w:r>
        <w:rPr>
          <w:rFonts w:hint="eastAsia" w:ascii="Times New Roman" w:hAnsi="Times New Roman" w:cs="Times New Roman"/>
          <w:b/>
          <w:bCs/>
          <w:color w:val="auto"/>
          <w:sz w:val="24"/>
        </w:rPr>
        <w:t>Figure S17</w:t>
      </w:r>
      <w:r>
        <w:rPr>
          <w:rFonts w:hint="eastAsia" w:ascii="Times New Roman" w:hAnsi="Times New Roman" w:cs="Times New Roman"/>
          <w:color w:val="auto"/>
          <w:sz w:val="24"/>
        </w:rPr>
        <w:t>).</w:t>
      </w:r>
      <w:r>
        <w:rPr>
          <w:rFonts w:hint="eastAsia" w:ascii="Times New Roman" w:hAnsi="Times New Roman" w:cs="Times New Roman"/>
          <w:color w:val="auto"/>
          <w:sz w:val="24"/>
        </w:rPr>
        <w:t xml:space="preserve"> </w:t>
      </w:r>
    </w:p>
    <w:p w14:paraId="450A15AD">
      <w:pPr>
        <w:spacing w:after="0" w:line="360" w:lineRule="auto"/>
        <w:jc w:val="both"/>
        <w:rPr>
          <w:rFonts w:ascii="Times New Roman" w:hAnsi="Times New Roman" w:cs="Times New Roman"/>
          <w:color w:val="auto"/>
          <w:sz w:val="24"/>
        </w:rPr>
      </w:pPr>
    </w:p>
    <w:p w14:paraId="2EEE63A4">
      <w:pPr>
        <w:spacing w:after="0" w:line="360" w:lineRule="auto"/>
        <w:jc w:val="center"/>
        <w:rPr>
          <w:rFonts w:hint="eastAsia"/>
          <w:color w:val="auto"/>
        </w:rPr>
      </w:pPr>
      <w:r>
        <w:rPr>
          <w:rFonts w:hint="eastAsia"/>
          <w:color w:val="auto"/>
        </w:rPr>
        <w:br w:type="page"/>
      </w:r>
    </w:p>
    <w:p w14:paraId="0A716399">
      <w:pPr>
        <w:kinsoku w:val="0"/>
        <w:snapToGrid w:val="0"/>
        <w:spacing w:line="240" w:lineRule="auto"/>
        <w:jc w:val="center"/>
        <w:rPr>
          <w:rFonts w:ascii="Times New Roman" w:hAnsi="Times New Roman" w:cs="Times New Roman"/>
          <w:color w:val="auto"/>
          <w:sz w:val="24"/>
        </w:rPr>
      </w:pPr>
      <w:r>
        <w:rPr>
          <w:rFonts w:hint="eastAsia" w:ascii="Times New Roman" w:hAnsi="Times New Roman" w:cs="Times New Roman"/>
          <w:color w:val="auto"/>
          <w:sz w:val="24"/>
        </w:rPr>
        <w:drawing>
          <wp:inline distT="0" distB="0" distL="114300" distR="114300">
            <wp:extent cx="2947670" cy="2703830"/>
            <wp:effectExtent l="0" t="0" r="11430" b="1270"/>
            <wp:docPr id="16" name="图片 16" descr="Figure S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Figure S16"/>
                    <pic:cNvPicPr>
                      <a:picLocks noChangeAspect="1"/>
                    </pic:cNvPicPr>
                  </pic:nvPicPr>
                  <pic:blipFill>
                    <a:blip r:embed="rId13"/>
                    <a:stretch>
                      <a:fillRect/>
                    </a:stretch>
                  </pic:blipFill>
                  <pic:spPr>
                    <a:xfrm>
                      <a:off x="0" y="0"/>
                      <a:ext cx="2947670" cy="2703830"/>
                    </a:xfrm>
                    <a:prstGeom prst="rect">
                      <a:avLst/>
                    </a:prstGeom>
                  </pic:spPr>
                </pic:pic>
              </a:graphicData>
            </a:graphic>
          </wp:inline>
        </w:drawing>
      </w:r>
    </w:p>
    <w:p w14:paraId="3B068FF7">
      <w:pPr>
        <w:kinsoku w:val="0"/>
        <w:snapToGrid w:val="0"/>
        <w:spacing w:line="240" w:lineRule="auto"/>
        <w:jc w:val="center"/>
        <w:rPr>
          <w:rFonts w:ascii="Times New Roman" w:hAnsi="Times New Roman" w:cs="Times New Roman"/>
          <w:color w:val="auto"/>
          <w:sz w:val="24"/>
        </w:rPr>
      </w:pPr>
      <w:r>
        <w:rPr>
          <w:rFonts w:hint="eastAsia" w:ascii="Times New Roman" w:hAnsi="Times New Roman" w:cs="Times New Roman"/>
          <w:b/>
          <w:bCs/>
          <w:color w:val="auto"/>
          <w:sz w:val="24"/>
        </w:rPr>
        <w:t xml:space="preserve">Figure S1. </w:t>
      </w:r>
      <w:r>
        <w:rPr>
          <w:rFonts w:hint="eastAsia" w:ascii="Times New Roman" w:hAnsi="Times New Roman" w:cs="Times New Roman"/>
          <w:color w:val="auto"/>
          <w:sz w:val="24"/>
        </w:rPr>
        <w:t xml:space="preserve">Stability evaluation of Cu-PN NPs under physiological conditions. The hydrodynamic diameter of Cu-PN NPs was monitored over 7 days in 5% BSA solution at pH 7.4 and 37℃. </w:t>
      </w:r>
      <w:r>
        <w:rPr>
          <w:rFonts w:ascii="Times New Roman" w:hAnsi="Times New Roman" w:cs="Times New Roman"/>
          <w:color w:val="auto"/>
          <w:sz w:val="24"/>
        </w:rPr>
        <w:t>Data are presented as mean ± standard deviation</w:t>
      </w:r>
      <w:r>
        <w:rPr>
          <w:rFonts w:hint="eastAsia" w:ascii="Times New Roman" w:hAnsi="Times New Roman" w:cs="Times New Roman"/>
          <w:color w:val="auto"/>
          <w:sz w:val="24"/>
        </w:rPr>
        <w:t>. (n=3).</w:t>
      </w:r>
    </w:p>
    <w:p w14:paraId="05CDD718">
      <w:pPr>
        <w:kinsoku w:val="0"/>
        <w:snapToGrid w:val="0"/>
        <w:spacing w:line="240" w:lineRule="auto"/>
        <w:jc w:val="center"/>
        <w:rPr>
          <w:rFonts w:ascii="Times New Roman" w:hAnsi="Times New Roman" w:cs="Times New Roman"/>
          <w:color w:val="auto"/>
          <w:sz w:val="24"/>
        </w:rPr>
      </w:pPr>
    </w:p>
    <w:p w14:paraId="44C15776">
      <w:pPr>
        <w:spacing w:after="0" w:line="360" w:lineRule="auto"/>
        <w:jc w:val="center"/>
        <w:rPr>
          <w:rFonts w:hint="eastAsia"/>
          <w:color w:val="auto"/>
        </w:rPr>
      </w:pPr>
      <w:r>
        <w:rPr>
          <w:rFonts w:hint="eastAsia"/>
          <w:color w:val="auto"/>
        </w:rPr>
        <w:drawing>
          <wp:inline distT="0" distB="0" distL="114300" distR="114300">
            <wp:extent cx="3590290" cy="280416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90781" cy="2804160"/>
                    </a:xfrm>
                    <a:prstGeom prst="rect">
                      <a:avLst/>
                    </a:prstGeom>
                  </pic:spPr>
                </pic:pic>
              </a:graphicData>
            </a:graphic>
          </wp:inline>
        </w:drawing>
      </w:r>
    </w:p>
    <w:p w14:paraId="484515FF">
      <w:pPr>
        <w:jc w:val="both"/>
        <w:rPr>
          <w:rFonts w:ascii="Times New Roman" w:hAnsi="Times New Roman" w:cs="Times New Roman"/>
          <w:color w:val="auto"/>
          <w:sz w:val="24"/>
        </w:rPr>
      </w:pPr>
      <w:r>
        <w:rPr>
          <w:rFonts w:hint="eastAsia" w:ascii="Times New Roman" w:hAnsi="Times New Roman" w:cs="Times New Roman"/>
          <w:b/>
          <w:bCs/>
          <w:color w:val="auto"/>
          <w:sz w:val="24"/>
        </w:rPr>
        <w:t xml:space="preserve">Figure S2. </w:t>
      </w:r>
      <w:r>
        <w:rPr>
          <w:rFonts w:hint="eastAsia" w:ascii="Times New Roman" w:hAnsi="Times New Roman" w:cs="Times New Roman"/>
          <w:color w:val="auto"/>
          <w:sz w:val="24"/>
        </w:rPr>
        <w:t>Release profile of propranolol from Cu-PN NPs under different pH conditions (pH 5.3, pH 6.5, and pH 7.4).</w:t>
      </w:r>
    </w:p>
    <w:p w14:paraId="1D69A018">
      <w:pPr>
        <w:jc w:val="both"/>
        <w:rPr>
          <w:rFonts w:ascii="Times New Roman" w:hAnsi="Times New Roman" w:cs="Times New Roman"/>
          <w:b/>
          <w:bCs/>
          <w:color w:val="auto"/>
          <w:sz w:val="24"/>
        </w:rPr>
      </w:pPr>
      <w:r>
        <w:rPr>
          <w:rFonts w:ascii="Times New Roman" w:hAnsi="Times New Roman" w:cs="Times New Roman"/>
          <w:b/>
          <w:bCs/>
          <w:color w:val="auto"/>
          <w:sz w:val="24"/>
        </w:rPr>
        <w:drawing>
          <wp:inline distT="0" distB="0" distL="114300" distR="114300">
            <wp:extent cx="5273675" cy="4037330"/>
            <wp:effectExtent l="0" t="0" r="9525" b="1270"/>
            <wp:docPr id="4" name="图片 4" descr="药物稳定性3D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药物稳定性3D图"/>
                    <pic:cNvPicPr>
                      <a:picLocks noChangeAspect="1"/>
                    </pic:cNvPicPr>
                  </pic:nvPicPr>
                  <pic:blipFill>
                    <a:blip r:embed="rId15"/>
                    <a:stretch>
                      <a:fillRect/>
                    </a:stretch>
                  </pic:blipFill>
                  <pic:spPr>
                    <a:xfrm>
                      <a:off x="0" y="0"/>
                      <a:ext cx="5273675" cy="4037330"/>
                    </a:xfrm>
                    <a:prstGeom prst="rect">
                      <a:avLst/>
                    </a:prstGeom>
                  </pic:spPr>
                </pic:pic>
              </a:graphicData>
            </a:graphic>
          </wp:inline>
        </w:drawing>
      </w:r>
    </w:p>
    <w:p w14:paraId="782F84FE">
      <w:pPr>
        <w:jc w:val="both"/>
        <w:rPr>
          <w:rFonts w:ascii="Times New Roman" w:hAnsi="Times New Roman" w:cs="Times New Roman"/>
          <w:color w:val="auto"/>
          <w:sz w:val="24"/>
        </w:rPr>
      </w:pPr>
      <w:r>
        <w:rPr>
          <w:rFonts w:ascii="Times New Roman" w:hAnsi="Times New Roman" w:cs="Times New Roman"/>
          <w:b/>
          <w:bCs/>
          <w:color w:val="auto"/>
          <w:sz w:val="24"/>
        </w:rPr>
        <w:t xml:space="preserve">Figure </w:t>
      </w:r>
      <w:r>
        <w:rPr>
          <w:rFonts w:hint="eastAsia" w:ascii="Times New Roman" w:hAnsi="Times New Roman" w:cs="Times New Roman"/>
          <w:b/>
          <w:bCs/>
          <w:color w:val="auto"/>
          <w:sz w:val="24"/>
        </w:rPr>
        <w:t>S3</w:t>
      </w:r>
      <w:r>
        <w:rPr>
          <w:rFonts w:ascii="Times New Roman" w:hAnsi="Times New Roman" w:cs="Times New Roman"/>
          <w:b/>
          <w:bCs/>
          <w:color w:val="auto"/>
          <w:sz w:val="24"/>
        </w:rPr>
        <w:t>.</w:t>
      </w:r>
      <w:r>
        <w:rPr>
          <w:rFonts w:hint="eastAsia" w:ascii="Times New Roman" w:hAnsi="Times New Roman" w:cs="Times New Roman"/>
          <w:b/>
          <w:bCs/>
          <w:color w:val="auto"/>
          <w:sz w:val="24"/>
        </w:rPr>
        <w:t xml:space="preserve"> </w:t>
      </w:r>
      <w:r>
        <w:rPr>
          <w:rFonts w:ascii="Times New Roman" w:hAnsi="Times New Roman" w:cs="Times New Roman"/>
          <w:color w:val="auto"/>
          <w:sz w:val="24"/>
        </w:rPr>
        <w:t>Stability evaluation of CU-PN NPs over 7 days</w:t>
      </w:r>
      <w:r>
        <w:rPr>
          <w:rFonts w:hint="eastAsia" w:ascii="Times New Roman" w:hAnsi="Times New Roman" w:cs="Times New Roman"/>
          <w:color w:val="auto"/>
          <w:sz w:val="24"/>
        </w:rPr>
        <w:t>.The three-dimensional plot depicts the evolution of absorbance as a function of wavelength (200-800 nm) from Day 0 to Day 7.</w:t>
      </w:r>
    </w:p>
    <w:p w14:paraId="520E0107">
      <w:pPr>
        <w:jc w:val="both"/>
        <w:rPr>
          <w:rFonts w:ascii="Times New Roman" w:hAnsi="Times New Roman" w:cs="Times New Roman"/>
          <w:color w:val="auto"/>
          <w:sz w:val="24"/>
        </w:rPr>
      </w:pPr>
    </w:p>
    <w:p w14:paraId="7E4A5403">
      <w:pPr>
        <w:jc w:val="center"/>
        <w:rPr>
          <w:rFonts w:hint="eastAsia"/>
          <w:color w:val="auto"/>
        </w:rPr>
      </w:pPr>
      <w:r>
        <w:rPr>
          <w:rFonts w:hint="eastAsia"/>
          <w:color w:val="auto"/>
        </w:rPr>
        <w:drawing>
          <wp:inline distT="0" distB="0" distL="114300" distR="114300">
            <wp:extent cx="5270500" cy="1448435"/>
            <wp:effectExtent l="0" t="0" r="12700" b="24765"/>
            <wp:docPr id="1" name="图片 1" descr="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S1"/>
                    <pic:cNvPicPr>
                      <a:picLocks noChangeAspect="1"/>
                    </pic:cNvPicPr>
                  </pic:nvPicPr>
                  <pic:blipFill>
                    <a:blip r:embed="rId16"/>
                    <a:stretch>
                      <a:fillRect/>
                    </a:stretch>
                  </pic:blipFill>
                  <pic:spPr>
                    <a:xfrm>
                      <a:off x="0" y="0"/>
                      <a:ext cx="5270500" cy="1448435"/>
                    </a:xfrm>
                    <a:prstGeom prst="rect">
                      <a:avLst/>
                    </a:prstGeom>
                  </pic:spPr>
                </pic:pic>
              </a:graphicData>
            </a:graphic>
          </wp:inline>
        </w:drawing>
      </w:r>
    </w:p>
    <w:p w14:paraId="0485FB91">
      <w:pPr>
        <w:jc w:val="both"/>
        <w:rPr>
          <w:rFonts w:ascii="Times New Roman" w:hAnsi="Times New Roman" w:cs="Times New Roman"/>
          <w:color w:val="auto"/>
          <w:sz w:val="24"/>
        </w:rPr>
      </w:pPr>
      <w:r>
        <w:rPr>
          <w:rFonts w:ascii="Times New Roman" w:hAnsi="Times New Roman" w:cs="Times New Roman"/>
          <w:b/>
          <w:bCs/>
          <w:color w:val="auto"/>
          <w:sz w:val="24"/>
        </w:rPr>
        <w:t>Figure S</w:t>
      </w:r>
      <w:r>
        <w:rPr>
          <w:rFonts w:hint="eastAsia" w:ascii="Times New Roman" w:hAnsi="Times New Roman" w:cs="Times New Roman"/>
          <w:b/>
          <w:bCs/>
          <w:color w:val="auto"/>
          <w:sz w:val="24"/>
        </w:rPr>
        <w:t>4</w:t>
      </w:r>
      <w:r>
        <w:rPr>
          <w:rFonts w:ascii="Times New Roman" w:hAnsi="Times New Roman" w:cs="Times New Roman"/>
          <w:b/>
          <w:bCs/>
          <w:color w:val="auto"/>
          <w:sz w:val="24"/>
        </w:rPr>
        <w:t>.</w:t>
      </w:r>
      <w:r>
        <w:rPr>
          <w:rFonts w:hint="eastAsia" w:ascii="Times New Roman" w:hAnsi="Times New Roman" w:cs="Times New Roman"/>
          <w:b/>
          <w:bCs/>
          <w:color w:val="auto"/>
          <w:sz w:val="24"/>
        </w:rPr>
        <w:t xml:space="preserve"> </w:t>
      </w:r>
      <w:r>
        <w:rPr>
          <w:rFonts w:hint="eastAsia" w:ascii="Times New Roman" w:hAnsi="Times New Roman" w:cs="Times New Roman"/>
          <w:color w:val="auto"/>
          <w:sz w:val="24"/>
        </w:rPr>
        <w:t>Images of CRC PDOs from different groups at the beginning and the end of treatments.</w:t>
      </w:r>
      <w:r>
        <w:rPr>
          <w:rFonts w:ascii="Times New Roman" w:hAnsi="Times New Roman" w:cs="Times New Roman"/>
          <w:color w:val="auto"/>
          <w:sz w:val="24"/>
        </w:rPr>
        <w:t xml:space="preserve"> Scale bar: </w:t>
      </w:r>
      <w:r>
        <w:rPr>
          <w:rFonts w:hint="eastAsia" w:ascii="Times New Roman" w:hAnsi="Times New Roman" w:cs="Times New Roman"/>
          <w:color w:val="auto"/>
          <w:sz w:val="24"/>
        </w:rPr>
        <w:t>100</w:t>
      </w:r>
      <w:r>
        <w:rPr>
          <w:rFonts w:ascii="Times New Roman" w:hAnsi="Times New Roman" w:cs="Times New Roman"/>
          <w:color w:val="auto"/>
          <w:sz w:val="24"/>
        </w:rPr>
        <w:t xml:space="preserve"> μm.</w:t>
      </w:r>
      <w:r>
        <w:rPr>
          <w:rFonts w:hint="eastAsia" w:ascii="Times New Roman" w:hAnsi="Times New Roman" w:cs="Times New Roman"/>
          <w:color w:val="auto"/>
          <w:sz w:val="24"/>
        </w:rPr>
        <w:t xml:space="preserve"> </w:t>
      </w:r>
      <w:r>
        <w:rPr>
          <w:rFonts w:ascii="Times New Roman" w:hAnsi="Times New Roman" w:cs="Times New Roman"/>
          <w:color w:val="auto"/>
          <w:sz w:val="24"/>
        </w:rPr>
        <w:t>n=3</w:t>
      </w:r>
      <w:r>
        <w:rPr>
          <w:rFonts w:hint="eastAsia" w:ascii="Times New Roman" w:hAnsi="Times New Roman" w:cs="Times New Roman"/>
          <w:color w:val="auto"/>
          <w:sz w:val="24"/>
        </w:rPr>
        <w:t>.</w:t>
      </w:r>
    </w:p>
    <w:p w14:paraId="2310A28C">
      <w:pPr>
        <w:jc w:val="center"/>
        <w:rPr>
          <w:rFonts w:hint="eastAsia"/>
          <w:color w:val="auto"/>
          <w14:ligatures w14:val="none"/>
        </w:rPr>
      </w:pPr>
    </w:p>
    <w:p w14:paraId="5038A987">
      <w:pPr>
        <w:jc w:val="center"/>
        <w:rPr>
          <w:rFonts w:ascii="Times New Roman" w:hAnsi="Times New Roman" w:cs="Times New Roman"/>
          <w:color w:val="auto"/>
          <w:sz w:val="24"/>
        </w:rPr>
      </w:pPr>
      <w:r>
        <w:rPr>
          <w:color w:val="auto"/>
          <w14:ligatures w14:val="none"/>
        </w:rPr>
        <w:drawing>
          <wp:inline distT="0" distB="0" distL="114300" distR="114300">
            <wp:extent cx="4794885" cy="2755265"/>
            <wp:effectExtent l="0" t="0" r="5715" b="13335"/>
            <wp:docPr id="2" name="图片 2" descr="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S2"/>
                    <pic:cNvPicPr>
                      <a:picLocks noChangeAspect="1"/>
                    </pic:cNvPicPr>
                  </pic:nvPicPr>
                  <pic:blipFill>
                    <a:blip r:embed="rId17"/>
                    <a:srcRect l="18278" t="4415" r="22233" b="34826"/>
                    <a:stretch>
                      <a:fillRect/>
                    </a:stretch>
                  </pic:blipFill>
                  <pic:spPr>
                    <a:xfrm>
                      <a:off x="0" y="0"/>
                      <a:ext cx="4794885" cy="2755265"/>
                    </a:xfrm>
                    <a:prstGeom prst="rect">
                      <a:avLst/>
                    </a:prstGeom>
                  </pic:spPr>
                </pic:pic>
              </a:graphicData>
            </a:graphic>
          </wp:inline>
        </w:drawing>
      </w:r>
    </w:p>
    <w:p w14:paraId="28CC83A0">
      <w:pPr>
        <w:jc w:val="both"/>
        <w:rPr>
          <w:rFonts w:ascii="Times New Roman" w:hAnsi="Times New Roman" w:cs="Times New Roman"/>
          <w:color w:val="auto"/>
          <w:sz w:val="24"/>
        </w:rPr>
      </w:pPr>
      <w:r>
        <w:rPr>
          <w:rFonts w:ascii="Times New Roman" w:hAnsi="Times New Roman" w:cs="Times New Roman"/>
          <w:b/>
          <w:bCs/>
          <w:color w:val="auto"/>
          <w:sz w:val="24"/>
        </w:rPr>
        <w:t>Figure S</w:t>
      </w:r>
      <w:r>
        <w:rPr>
          <w:rFonts w:hint="eastAsia" w:ascii="Times New Roman" w:hAnsi="Times New Roman" w:cs="Times New Roman"/>
          <w:b/>
          <w:bCs/>
          <w:color w:val="auto"/>
          <w:sz w:val="24"/>
        </w:rPr>
        <w:t>5</w:t>
      </w:r>
      <w:r>
        <w:rPr>
          <w:rFonts w:ascii="Times New Roman" w:hAnsi="Times New Roman" w:cs="Times New Roman"/>
          <w:b/>
          <w:bCs/>
          <w:color w:val="auto"/>
          <w:sz w:val="24"/>
        </w:rPr>
        <w:t>.</w:t>
      </w:r>
      <w:r>
        <w:rPr>
          <w:rFonts w:hint="eastAsia" w:ascii="Times New Roman" w:hAnsi="Times New Roman" w:cs="Times New Roman"/>
          <w:b/>
          <w:bCs/>
          <w:color w:val="auto"/>
          <w:sz w:val="24"/>
        </w:rPr>
        <w:t xml:space="preserve"> </w:t>
      </w:r>
      <w:r>
        <w:rPr>
          <w:rFonts w:hint="eastAsia" w:ascii="Times New Roman" w:hAnsi="Times New Roman" w:cs="Times New Roman"/>
          <w:color w:val="auto"/>
          <w:sz w:val="24"/>
        </w:rPr>
        <w:t>Fluorescence microscopy images of live/dead staining of CRC PDOs after various treatments.</w:t>
      </w:r>
      <w:r>
        <w:rPr>
          <w:rFonts w:ascii="Times New Roman" w:hAnsi="Times New Roman" w:cs="Times New Roman"/>
          <w:color w:val="auto"/>
          <w:sz w:val="24"/>
        </w:rPr>
        <w:t xml:space="preserve"> Scale bar: 75 μm.</w:t>
      </w:r>
      <w:r>
        <w:rPr>
          <w:rFonts w:hint="eastAsia" w:ascii="Times New Roman" w:hAnsi="Times New Roman" w:cs="Times New Roman"/>
          <w:color w:val="auto"/>
          <w:sz w:val="24"/>
        </w:rPr>
        <w:t xml:space="preserve"> </w:t>
      </w:r>
      <w:r>
        <w:rPr>
          <w:rFonts w:ascii="Times New Roman" w:hAnsi="Times New Roman" w:cs="Times New Roman"/>
          <w:color w:val="auto"/>
          <w:sz w:val="24"/>
        </w:rPr>
        <w:t>n=3</w:t>
      </w:r>
      <w:r>
        <w:rPr>
          <w:rFonts w:hint="eastAsia" w:ascii="Times New Roman" w:hAnsi="Times New Roman" w:cs="Times New Roman"/>
          <w:color w:val="auto"/>
          <w:sz w:val="24"/>
        </w:rPr>
        <w:t>.</w:t>
      </w:r>
    </w:p>
    <w:p w14:paraId="48E253F6">
      <w:pPr>
        <w:jc w:val="both"/>
        <w:rPr>
          <w:rFonts w:ascii="Times New Roman" w:hAnsi="Times New Roman" w:cs="Times New Roman"/>
          <w:color w:val="auto"/>
          <w:sz w:val="24"/>
        </w:rPr>
      </w:pPr>
      <w:r>
        <w:rPr>
          <w:rFonts w:hint="eastAsia" w:ascii="Times New Roman" w:hAnsi="Times New Roman" w:cs="Times New Roman"/>
          <w:color w:val="auto"/>
          <w:sz w:val="24"/>
        </w:rPr>
        <w:t>.</w:t>
      </w:r>
    </w:p>
    <w:p w14:paraId="2DBBDF1B">
      <w:pPr>
        <w:wordWrap w:val="0"/>
        <w:spacing w:line="240" w:lineRule="auto"/>
        <w:jc w:val="center"/>
        <w:rPr>
          <w:rFonts w:ascii="Times New Roman" w:hAnsi="Times New Roman" w:cs="Times New Roman"/>
          <w:color w:val="auto"/>
          <w:sz w:val="24"/>
        </w:rPr>
      </w:pPr>
      <w:r>
        <w:rPr>
          <w:rFonts w:hint="eastAsia" w:ascii="Times New Roman" w:hAnsi="Times New Roman" w:cs="Times New Roman"/>
          <w:color w:val="auto"/>
          <w:sz w:val="24"/>
        </w:rPr>
        <w:drawing>
          <wp:inline distT="0" distB="0" distL="114300" distR="114300">
            <wp:extent cx="3041650" cy="3270250"/>
            <wp:effectExtent l="0" t="0" r="6350" b="6350"/>
            <wp:docPr id="13" name="图片 13" descr="Figure S13 TTM回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igure S13 TTM回复"/>
                    <pic:cNvPicPr>
                      <a:picLocks noChangeAspect="1"/>
                    </pic:cNvPicPr>
                  </pic:nvPicPr>
                  <pic:blipFill>
                    <a:blip r:embed="rId18"/>
                    <a:stretch>
                      <a:fillRect/>
                    </a:stretch>
                  </pic:blipFill>
                  <pic:spPr>
                    <a:xfrm>
                      <a:off x="0" y="0"/>
                      <a:ext cx="3041650" cy="3270250"/>
                    </a:xfrm>
                    <a:prstGeom prst="rect">
                      <a:avLst/>
                    </a:prstGeom>
                  </pic:spPr>
                </pic:pic>
              </a:graphicData>
            </a:graphic>
          </wp:inline>
        </w:drawing>
      </w:r>
    </w:p>
    <w:p w14:paraId="1B6AE760">
      <w:pPr>
        <w:wordWrap w:val="0"/>
        <w:spacing w:line="240" w:lineRule="auto"/>
        <w:jc w:val="center"/>
        <w:rPr>
          <w:rFonts w:ascii="Times New Roman" w:hAnsi="Times New Roman" w:cs="Times New Roman"/>
          <w:color w:val="auto"/>
          <w:sz w:val="24"/>
        </w:rPr>
      </w:pPr>
      <w:r>
        <w:rPr>
          <w:rFonts w:ascii="Times New Roman" w:hAnsi="Times New Roman" w:cs="Times New Roman"/>
          <w:b/>
          <w:bCs/>
          <w:color w:val="auto"/>
          <w:sz w:val="24"/>
        </w:rPr>
        <w:t>Figure S</w:t>
      </w:r>
      <w:r>
        <w:rPr>
          <w:rFonts w:hint="eastAsia" w:ascii="Times New Roman" w:hAnsi="Times New Roman" w:cs="Times New Roman"/>
          <w:b/>
          <w:bCs/>
          <w:color w:val="auto"/>
          <w:sz w:val="24"/>
        </w:rPr>
        <w:t>6</w:t>
      </w:r>
      <w:r>
        <w:rPr>
          <w:rFonts w:ascii="Times New Roman" w:hAnsi="Times New Roman" w:cs="Times New Roman"/>
          <w:b/>
          <w:bCs/>
          <w:color w:val="auto"/>
          <w:sz w:val="24"/>
        </w:rPr>
        <w:t>.</w:t>
      </w:r>
      <w:r>
        <w:rPr>
          <w:rFonts w:hint="eastAsia" w:ascii="Times New Roman" w:hAnsi="Times New Roman" w:cs="Times New Roman"/>
          <w:b/>
          <w:bCs/>
          <w:color w:val="auto"/>
          <w:sz w:val="24"/>
        </w:rPr>
        <w:t xml:space="preserve"> </w:t>
      </w:r>
      <w:r>
        <w:rPr>
          <w:rFonts w:ascii="Times New Roman" w:hAnsi="Times New Roman" w:cs="Times New Roman"/>
          <w:color w:val="auto"/>
          <w:sz w:val="24"/>
        </w:rPr>
        <w:t>The copper chelator TTM reverses the cytotoxicity of Cu-PN NPs.</w:t>
      </w:r>
      <w:r>
        <w:rPr>
          <w:rFonts w:hint="eastAsia" w:ascii="Times New Roman" w:hAnsi="Times New Roman" w:cs="Times New Roman"/>
          <w:color w:val="auto"/>
          <w:sz w:val="24"/>
        </w:rPr>
        <w:t xml:space="preserve"> </w:t>
      </w:r>
      <w:r>
        <w:rPr>
          <w:rFonts w:ascii="Times New Roman" w:hAnsi="Times New Roman" w:cs="Times New Roman"/>
          <w:color w:val="auto"/>
          <w:sz w:val="24"/>
        </w:rPr>
        <w:t>Cell viability of CT26 cells was assessed by CCK-8 assay after treatment with TTM alone, Cu-PN NPs + TTM, or PN (Propranolol) + TTM.</w:t>
      </w:r>
      <w:r>
        <w:rPr>
          <w:rFonts w:hint="eastAsia" w:ascii="Times New Roman" w:hAnsi="Times New Roman" w:cs="Times New Roman"/>
          <w:color w:val="auto"/>
          <w:sz w:val="24"/>
        </w:rPr>
        <w:t xml:space="preserve"> </w:t>
      </w:r>
      <w:r>
        <w:rPr>
          <w:rFonts w:ascii="Times New Roman" w:hAnsi="Times New Roman" w:cs="Times New Roman"/>
          <w:color w:val="auto"/>
          <w:sz w:val="24"/>
        </w:rPr>
        <w:t xml:space="preserve"> Data are presented as mean ± standard deviation</w:t>
      </w:r>
      <w:r>
        <w:rPr>
          <w:rFonts w:hint="eastAsia" w:ascii="Times New Roman" w:hAnsi="Times New Roman" w:cs="Times New Roman"/>
          <w:color w:val="auto"/>
          <w:sz w:val="24"/>
        </w:rPr>
        <w:t>.</w:t>
      </w:r>
      <w:r>
        <w:rPr>
          <w:rFonts w:ascii="Times New Roman" w:hAnsi="Times New Roman" w:cs="Times New Roman"/>
          <w:color w:val="auto"/>
          <w:sz w:val="24"/>
        </w:rPr>
        <w:t xml:space="preserve"> ****</w:t>
      </w:r>
      <w:r>
        <w:rPr>
          <w:rFonts w:hint="eastAsia" w:ascii="Times New Roman" w:hAnsi="Times New Roman" w:cs="Times New Roman"/>
          <w:b/>
          <w:bCs/>
          <w:i/>
          <w:iCs/>
          <w:color w:val="auto"/>
          <w:sz w:val="24"/>
        </w:rPr>
        <w:t>P</w:t>
      </w:r>
      <w:r>
        <w:rPr>
          <w:rFonts w:ascii="Times New Roman" w:hAnsi="Times New Roman" w:cs="Times New Roman"/>
          <w:color w:val="auto"/>
          <w:sz w:val="24"/>
        </w:rPr>
        <w:t xml:space="preserve"> &lt; 0.0001.</w:t>
      </w:r>
    </w:p>
    <w:p w14:paraId="6F3B1C2C">
      <w:pPr>
        <w:jc w:val="both"/>
        <w:rPr>
          <w:rFonts w:ascii="Times New Roman" w:hAnsi="Times New Roman" w:cs="Times New Roman"/>
          <w:color w:val="auto"/>
          <w:sz w:val="24"/>
        </w:rPr>
      </w:pPr>
    </w:p>
    <w:p w14:paraId="49B4BD11">
      <w:pPr>
        <w:kinsoku w:val="0"/>
        <w:snapToGrid w:val="0"/>
        <w:spacing w:line="240" w:lineRule="auto"/>
        <w:jc w:val="center"/>
        <w:rPr>
          <w:rFonts w:ascii="Times New Roman" w:hAnsi="Times New Roman" w:cs="Times New Roman"/>
          <w:color w:val="auto"/>
          <w:sz w:val="24"/>
        </w:rPr>
      </w:pPr>
      <w:r>
        <w:rPr>
          <w:rFonts w:hint="eastAsia" w:ascii="Times New Roman" w:hAnsi="Times New Roman" w:cs="Times New Roman"/>
          <w:b/>
          <w:bCs/>
          <w:color w:val="auto"/>
          <w:sz w:val="24"/>
        </w:rPr>
        <w:drawing>
          <wp:inline distT="0" distB="0" distL="114300" distR="114300">
            <wp:extent cx="5271135" cy="6577330"/>
            <wp:effectExtent l="0" t="0" r="12065" b="1270"/>
            <wp:docPr id="18" name="图片 18" descr="Figure 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Figure S7"/>
                    <pic:cNvPicPr>
                      <a:picLocks noChangeAspect="1"/>
                    </pic:cNvPicPr>
                  </pic:nvPicPr>
                  <pic:blipFill>
                    <a:blip r:embed="rId19"/>
                    <a:stretch>
                      <a:fillRect/>
                    </a:stretch>
                  </pic:blipFill>
                  <pic:spPr>
                    <a:xfrm>
                      <a:off x="0" y="0"/>
                      <a:ext cx="5271135" cy="6577330"/>
                    </a:xfrm>
                    <a:prstGeom prst="rect">
                      <a:avLst/>
                    </a:prstGeom>
                  </pic:spPr>
                </pic:pic>
              </a:graphicData>
            </a:graphic>
          </wp:inline>
        </w:drawing>
      </w:r>
      <w:r>
        <w:rPr>
          <w:rFonts w:hint="eastAsia" w:ascii="Times New Roman" w:hAnsi="Times New Roman" w:cs="Times New Roman"/>
          <w:b/>
          <w:bCs/>
          <w:color w:val="auto"/>
          <w:sz w:val="24"/>
        </w:rPr>
        <w:t>Figure S7.</w:t>
      </w:r>
      <w:r>
        <w:rPr>
          <w:rFonts w:hint="eastAsia" w:ascii="Times New Roman" w:hAnsi="Times New Roman" w:cs="Times New Roman"/>
          <w:color w:val="auto"/>
          <w:sz w:val="24"/>
        </w:rPr>
        <w:t xml:space="preserve"> Quantitative analysis of apoptosis-related protein expression. Densitometric analysis of Western blot bands from Figure 3A. </w:t>
      </w:r>
      <w:r>
        <w:rPr>
          <w:rFonts w:ascii="Times New Roman" w:hAnsi="Times New Roman" w:cs="Times New Roman"/>
          <w:color w:val="auto"/>
          <w:sz w:val="24"/>
        </w:rPr>
        <w:t>Data are presented as mean ± standard deviation</w:t>
      </w:r>
      <w:r>
        <w:rPr>
          <w:rFonts w:hint="eastAsia" w:ascii="Times New Roman" w:hAnsi="Times New Roman" w:cs="Times New Roman"/>
          <w:color w:val="auto"/>
          <w:sz w:val="24"/>
        </w:rPr>
        <w:t>. *</w:t>
      </w:r>
      <w:r>
        <w:rPr>
          <w:rFonts w:hint="eastAsia" w:ascii="Times New Roman" w:hAnsi="Times New Roman" w:cs="Times New Roman"/>
          <w:b/>
          <w:bCs/>
          <w:i/>
          <w:iCs/>
          <w:color w:val="auto"/>
          <w:sz w:val="24"/>
        </w:rPr>
        <w:t>P</w:t>
      </w:r>
      <w:r>
        <w:rPr>
          <w:rFonts w:hint="eastAsia" w:ascii="Times New Roman" w:hAnsi="Times New Roman" w:cs="Times New Roman"/>
          <w:color w:val="auto"/>
          <w:sz w:val="24"/>
        </w:rPr>
        <w:t xml:space="preserve"> &lt; 0.05, **</w:t>
      </w:r>
      <w:r>
        <w:rPr>
          <w:rFonts w:hint="eastAsia" w:ascii="Times New Roman" w:hAnsi="Times New Roman" w:cs="Times New Roman"/>
          <w:b/>
          <w:bCs/>
          <w:i/>
          <w:iCs/>
          <w:color w:val="auto"/>
          <w:sz w:val="24"/>
        </w:rPr>
        <w:t>P</w:t>
      </w:r>
      <w:r>
        <w:rPr>
          <w:rFonts w:hint="eastAsia" w:ascii="Times New Roman" w:hAnsi="Times New Roman" w:cs="Times New Roman"/>
          <w:color w:val="auto"/>
          <w:sz w:val="24"/>
        </w:rPr>
        <w:t xml:space="preserve"> &lt; 0.01, ***</w:t>
      </w:r>
      <w:r>
        <w:rPr>
          <w:rFonts w:hint="eastAsia" w:ascii="Times New Roman" w:hAnsi="Times New Roman" w:cs="Times New Roman"/>
          <w:b/>
          <w:bCs/>
          <w:i/>
          <w:iCs/>
          <w:color w:val="auto"/>
          <w:sz w:val="24"/>
        </w:rPr>
        <w:t>P</w:t>
      </w:r>
      <w:r>
        <w:rPr>
          <w:rFonts w:hint="eastAsia" w:ascii="Times New Roman" w:hAnsi="Times New Roman" w:cs="Times New Roman"/>
          <w:color w:val="auto"/>
          <w:sz w:val="24"/>
        </w:rPr>
        <w:t xml:space="preserve"> &lt; 0.001, ****</w:t>
      </w:r>
      <w:r>
        <w:rPr>
          <w:rFonts w:hint="eastAsia" w:ascii="Times New Roman" w:hAnsi="Times New Roman" w:cs="Times New Roman"/>
          <w:b/>
          <w:bCs/>
          <w:i/>
          <w:iCs/>
          <w:color w:val="auto"/>
          <w:sz w:val="24"/>
        </w:rPr>
        <w:t>P</w:t>
      </w:r>
      <w:r>
        <w:rPr>
          <w:rFonts w:hint="eastAsia" w:ascii="Times New Roman" w:hAnsi="Times New Roman" w:cs="Times New Roman"/>
          <w:color w:val="auto"/>
          <w:sz w:val="24"/>
        </w:rPr>
        <w:t xml:space="preserve"> &lt; 0.0001, </w:t>
      </w:r>
      <w:r>
        <w:rPr>
          <w:rFonts w:ascii="Times New Roman" w:hAnsi="Times New Roman" w:cs="Times New Roman"/>
          <w:color w:val="auto"/>
          <w:sz w:val="24"/>
        </w:rPr>
        <w:t>ns, not significant.</w:t>
      </w:r>
      <w:r>
        <w:rPr>
          <w:rFonts w:hint="eastAsia" w:ascii="Times New Roman" w:hAnsi="Times New Roman" w:cs="Times New Roman"/>
          <w:color w:val="auto"/>
          <w:sz w:val="24"/>
        </w:rPr>
        <w:t xml:space="preserve"> </w:t>
      </w:r>
    </w:p>
    <w:p w14:paraId="35C62365">
      <w:pPr>
        <w:jc w:val="both"/>
        <w:rPr>
          <w:rFonts w:ascii="Times New Roman" w:hAnsi="Times New Roman" w:cs="Times New Roman"/>
          <w:color w:val="auto"/>
          <w:sz w:val="24"/>
        </w:rPr>
      </w:pPr>
    </w:p>
    <w:p w14:paraId="0D48BAF4">
      <w:pPr>
        <w:jc w:val="center"/>
        <w:rPr>
          <w:rFonts w:hint="eastAsia"/>
          <w:color w:val="auto"/>
        </w:rPr>
      </w:pPr>
      <w:r>
        <w:rPr>
          <w:rFonts w:hint="eastAsia"/>
          <w:color w:val="auto"/>
        </w:rPr>
        <w:drawing>
          <wp:inline distT="0" distB="0" distL="114300" distR="114300">
            <wp:extent cx="2858770" cy="2947670"/>
            <wp:effectExtent l="0" t="0" r="11430" b="11430"/>
            <wp:docPr id="11" name="图片 11" descr="Figure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igure S3"/>
                    <pic:cNvPicPr>
                      <a:picLocks noChangeAspect="1"/>
                    </pic:cNvPicPr>
                  </pic:nvPicPr>
                  <pic:blipFill>
                    <a:blip r:embed="rId20"/>
                    <a:stretch>
                      <a:fillRect/>
                    </a:stretch>
                  </pic:blipFill>
                  <pic:spPr>
                    <a:xfrm>
                      <a:off x="0" y="0"/>
                      <a:ext cx="2858770" cy="2947670"/>
                    </a:xfrm>
                    <a:prstGeom prst="rect">
                      <a:avLst/>
                    </a:prstGeom>
                  </pic:spPr>
                </pic:pic>
              </a:graphicData>
            </a:graphic>
          </wp:inline>
        </w:drawing>
      </w:r>
    </w:p>
    <w:p w14:paraId="3A38CD47">
      <w:pPr>
        <w:wordWrap w:val="0"/>
        <w:spacing w:line="240" w:lineRule="auto"/>
        <w:jc w:val="center"/>
        <w:rPr>
          <w:rFonts w:ascii="Times New Roman" w:hAnsi="Times New Roman" w:cs="Times New Roman"/>
          <w:color w:val="auto"/>
          <w:sz w:val="24"/>
        </w:rPr>
      </w:pPr>
      <w:r>
        <w:rPr>
          <w:rFonts w:ascii="Times New Roman" w:hAnsi="Times New Roman" w:cs="Times New Roman"/>
          <w:b/>
          <w:bCs/>
          <w:color w:val="auto"/>
          <w:sz w:val="24"/>
        </w:rPr>
        <w:t>Figure S</w:t>
      </w:r>
      <w:r>
        <w:rPr>
          <w:rFonts w:hint="eastAsia" w:ascii="Times New Roman" w:hAnsi="Times New Roman" w:cs="Times New Roman"/>
          <w:b/>
          <w:bCs/>
          <w:color w:val="auto"/>
          <w:sz w:val="24"/>
        </w:rPr>
        <w:t>8</w:t>
      </w:r>
      <w:r>
        <w:rPr>
          <w:rFonts w:ascii="Times New Roman" w:hAnsi="Times New Roman" w:cs="Times New Roman"/>
          <w:b/>
          <w:bCs/>
          <w:color w:val="auto"/>
          <w:sz w:val="24"/>
        </w:rPr>
        <w:t>.</w:t>
      </w:r>
      <w:r>
        <w:rPr>
          <w:rFonts w:ascii="Times New Roman" w:hAnsi="Times New Roman" w:cs="Times New Roman"/>
          <w:color w:val="auto"/>
          <w:sz w:val="24"/>
        </w:rPr>
        <w:t xml:space="preserve"> Quantification of the CRT means fluorescence intensity in CT26 cells after different treatments . Data are presented as means ± SD. **</w:t>
      </w:r>
      <w:r>
        <w:rPr>
          <w:rFonts w:ascii="Times New Roman" w:hAnsi="Times New Roman" w:cs="Times New Roman"/>
          <w:b/>
          <w:bCs/>
          <w:i/>
          <w:iCs/>
          <w:color w:val="auto"/>
          <w:sz w:val="24"/>
        </w:rPr>
        <w:t>P</w:t>
      </w:r>
      <w:r>
        <w:rPr>
          <w:rFonts w:ascii="Times New Roman" w:hAnsi="Times New Roman" w:cs="Times New Roman"/>
          <w:color w:val="auto"/>
          <w:sz w:val="24"/>
        </w:rPr>
        <w:t xml:space="preserve"> &lt; 0.01, ns, not significant.</w:t>
      </w:r>
    </w:p>
    <w:p w14:paraId="3027DDD5">
      <w:pPr>
        <w:wordWrap w:val="0"/>
        <w:spacing w:line="240" w:lineRule="auto"/>
        <w:jc w:val="center"/>
        <w:rPr>
          <w:rFonts w:ascii="Times New Roman" w:hAnsi="Times New Roman" w:cs="Times New Roman"/>
          <w:color w:val="auto"/>
          <w:sz w:val="24"/>
        </w:rPr>
      </w:pPr>
    </w:p>
    <w:p w14:paraId="04760156">
      <w:pPr>
        <w:jc w:val="center"/>
        <w:rPr>
          <w:rFonts w:hint="eastAsia"/>
          <w:color w:val="auto"/>
        </w:rPr>
      </w:pPr>
      <w:r>
        <w:rPr>
          <w:rFonts w:hint="eastAsia"/>
          <w:color w:val="auto"/>
        </w:rPr>
        <w:drawing>
          <wp:inline distT="0" distB="0" distL="114300" distR="114300">
            <wp:extent cx="2325370" cy="2974975"/>
            <wp:effectExtent l="0" t="0" r="11430" b="9525"/>
            <wp:docPr id="12" name="图片 12" descr="Figure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igure S4"/>
                    <pic:cNvPicPr>
                      <a:picLocks noChangeAspect="1"/>
                    </pic:cNvPicPr>
                  </pic:nvPicPr>
                  <pic:blipFill>
                    <a:blip r:embed="rId21"/>
                    <a:stretch>
                      <a:fillRect/>
                    </a:stretch>
                  </pic:blipFill>
                  <pic:spPr>
                    <a:xfrm>
                      <a:off x="0" y="0"/>
                      <a:ext cx="2325370" cy="2974975"/>
                    </a:xfrm>
                    <a:prstGeom prst="rect">
                      <a:avLst/>
                    </a:prstGeom>
                  </pic:spPr>
                </pic:pic>
              </a:graphicData>
            </a:graphic>
          </wp:inline>
        </w:drawing>
      </w:r>
    </w:p>
    <w:p w14:paraId="3E1DE243">
      <w:pPr>
        <w:wordWrap w:val="0"/>
        <w:spacing w:line="240" w:lineRule="auto"/>
        <w:jc w:val="center"/>
        <w:rPr>
          <w:rFonts w:ascii="Times New Roman" w:hAnsi="Times New Roman" w:cs="Times New Roman"/>
          <w:color w:val="auto"/>
          <w:sz w:val="24"/>
        </w:rPr>
      </w:pPr>
      <w:r>
        <w:rPr>
          <w:rFonts w:ascii="Times New Roman" w:hAnsi="Times New Roman" w:cs="Times New Roman"/>
          <w:b/>
          <w:bCs/>
          <w:color w:val="auto"/>
          <w:sz w:val="24"/>
        </w:rPr>
        <w:t>Figure S</w:t>
      </w:r>
      <w:r>
        <w:rPr>
          <w:rFonts w:hint="eastAsia" w:ascii="Times New Roman" w:hAnsi="Times New Roman" w:cs="Times New Roman"/>
          <w:b/>
          <w:bCs/>
          <w:color w:val="auto"/>
          <w:sz w:val="24"/>
        </w:rPr>
        <w:t>9</w:t>
      </w:r>
      <w:r>
        <w:rPr>
          <w:rFonts w:ascii="Times New Roman" w:hAnsi="Times New Roman" w:cs="Times New Roman"/>
          <w:b/>
          <w:bCs/>
          <w:color w:val="auto"/>
          <w:sz w:val="24"/>
        </w:rPr>
        <w:t>.</w:t>
      </w:r>
      <w:r>
        <w:rPr>
          <w:rFonts w:ascii="Times New Roman" w:hAnsi="Times New Roman" w:cs="Times New Roman"/>
          <w:color w:val="auto"/>
          <w:sz w:val="24"/>
        </w:rPr>
        <w:t xml:space="preserve"> Quantification of the HMGB1 means fluorescence intensity in CT26 cells after different treatments . Data are presented as means ± SD. **</w:t>
      </w:r>
      <w:r>
        <w:rPr>
          <w:rFonts w:ascii="Times New Roman" w:hAnsi="Times New Roman" w:cs="Times New Roman"/>
          <w:b/>
          <w:bCs/>
          <w:i/>
          <w:iCs/>
          <w:color w:val="auto"/>
          <w:sz w:val="24"/>
        </w:rPr>
        <w:t>P</w:t>
      </w:r>
      <w:r>
        <w:rPr>
          <w:rFonts w:ascii="Times New Roman" w:hAnsi="Times New Roman" w:cs="Times New Roman"/>
          <w:color w:val="auto"/>
          <w:sz w:val="24"/>
        </w:rPr>
        <w:t xml:space="preserve"> &lt; 0.01, ns, not significant.</w:t>
      </w:r>
    </w:p>
    <w:p w14:paraId="1B7DE9A7">
      <w:pPr>
        <w:wordWrap w:val="0"/>
        <w:spacing w:line="240" w:lineRule="auto"/>
        <w:jc w:val="center"/>
        <w:rPr>
          <w:rFonts w:ascii="Times New Roman" w:hAnsi="Times New Roman" w:cs="Times New Roman"/>
          <w:color w:val="auto"/>
          <w:sz w:val="24"/>
        </w:rPr>
      </w:pPr>
    </w:p>
    <w:p w14:paraId="48795FD1">
      <w:pPr>
        <w:jc w:val="center"/>
        <w:rPr>
          <w:rFonts w:hint="eastAsia"/>
          <w:color w:val="auto"/>
        </w:rPr>
      </w:pPr>
      <w:r>
        <w:rPr>
          <w:rFonts w:hint="eastAsia"/>
          <w:color w:val="auto"/>
        </w:rPr>
        <w:drawing>
          <wp:inline distT="0" distB="0" distL="114300" distR="114300">
            <wp:extent cx="2018030" cy="1515110"/>
            <wp:effectExtent l="0" t="0" r="1270" b="8890"/>
            <wp:docPr id="10" name="图片 10" descr="W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WB"/>
                    <pic:cNvPicPr>
                      <a:picLocks noChangeAspect="1"/>
                    </pic:cNvPicPr>
                  </pic:nvPicPr>
                  <pic:blipFill>
                    <a:blip r:embed="rId22"/>
                    <a:stretch>
                      <a:fillRect/>
                    </a:stretch>
                  </pic:blipFill>
                  <pic:spPr>
                    <a:xfrm>
                      <a:off x="0" y="0"/>
                      <a:ext cx="2018030" cy="1515110"/>
                    </a:xfrm>
                    <a:prstGeom prst="rect">
                      <a:avLst/>
                    </a:prstGeom>
                  </pic:spPr>
                </pic:pic>
              </a:graphicData>
            </a:graphic>
          </wp:inline>
        </w:drawing>
      </w:r>
    </w:p>
    <w:p w14:paraId="735DBEF2">
      <w:pPr>
        <w:jc w:val="center"/>
        <w:rPr>
          <w:rFonts w:ascii="Times New Roman" w:hAnsi="Times New Roman" w:cs="Times New Roman"/>
          <w:color w:val="auto"/>
          <w:sz w:val="24"/>
        </w:rPr>
      </w:pPr>
      <w:r>
        <w:rPr>
          <w:rFonts w:ascii="Times New Roman" w:hAnsi="Times New Roman" w:cs="Times New Roman"/>
          <w:b/>
          <w:bCs/>
          <w:color w:val="auto"/>
          <w:sz w:val="24"/>
        </w:rPr>
        <w:t>Figure S</w:t>
      </w:r>
      <w:r>
        <w:rPr>
          <w:rFonts w:hint="eastAsia" w:ascii="Times New Roman" w:hAnsi="Times New Roman" w:cs="Times New Roman"/>
          <w:b/>
          <w:bCs/>
          <w:color w:val="auto"/>
          <w:sz w:val="24"/>
        </w:rPr>
        <w:t>10</w:t>
      </w:r>
      <w:r>
        <w:rPr>
          <w:rFonts w:ascii="Times New Roman" w:hAnsi="Times New Roman" w:cs="Times New Roman"/>
          <w:color w:val="auto"/>
          <w:sz w:val="24"/>
        </w:rPr>
        <w:t xml:space="preserve">. </w:t>
      </w:r>
      <w:r>
        <w:rPr>
          <w:rFonts w:hint="eastAsia" w:ascii="Times New Roman" w:hAnsi="Times New Roman" w:cs="Times New Roman"/>
          <w:color w:val="auto"/>
          <w:sz w:val="24"/>
        </w:rPr>
        <w:t>Protein expressions of ADRB1</w:t>
      </w:r>
      <w:r>
        <w:rPr>
          <w:rFonts w:ascii="Times New Roman" w:hAnsi="Times New Roman" w:cs="Times New Roman"/>
          <w:color w:val="auto"/>
          <w:sz w:val="24"/>
        </w:rPr>
        <w:t xml:space="preserve"> and β</w:t>
      </w:r>
      <w:r>
        <w:rPr>
          <w:rFonts w:hint="eastAsia" w:ascii="Times New Roman" w:hAnsi="Times New Roman" w:cs="Times New Roman"/>
          <w:color w:val="auto"/>
          <w:sz w:val="24"/>
        </w:rPr>
        <w:t>-actin in CD8</w:t>
      </w:r>
      <w:r>
        <w:rPr>
          <w:rFonts w:hint="eastAsia" w:ascii="Times New Roman" w:hAnsi="Times New Roman" w:cs="Times New Roman"/>
          <w:color w:val="auto"/>
          <w:sz w:val="24"/>
          <w:vertAlign w:val="superscript"/>
        </w:rPr>
        <w:t>+</w:t>
      </w:r>
      <w:r>
        <w:rPr>
          <w:rFonts w:hint="eastAsia" w:ascii="Times New Roman" w:hAnsi="Times New Roman" w:cs="Times New Roman"/>
          <w:color w:val="auto"/>
          <w:sz w:val="24"/>
        </w:rPr>
        <w:t>T cells determined by Western blot.</w:t>
      </w:r>
    </w:p>
    <w:p w14:paraId="6E734AF0">
      <w:pPr>
        <w:jc w:val="both"/>
        <w:rPr>
          <w:rFonts w:ascii="Times New Roman" w:hAnsi="Times New Roman" w:cs="Times New Roman"/>
          <w:color w:val="auto"/>
          <w:sz w:val="24"/>
        </w:rPr>
      </w:pPr>
    </w:p>
    <w:p w14:paraId="580ED14C">
      <w:pPr>
        <w:jc w:val="center"/>
        <w:rPr>
          <w:rFonts w:hint="eastAsia"/>
          <w:color w:val="auto"/>
        </w:rPr>
      </w:pPr>
      <w:r>
        <w:rPr>
          <w:rFonts w:hint="eastAsia"/>
          <w:color w:val="auto"/>
        </w:rPr>
        <w:drawing>
          <wp:inline distT="0" distB="0" distL="114300" distR="114300">
            <wp:extent cx="2654935" cy="2909570"/>
            <wp:effectExtent l="0" t="0" r="12065" b="11430"/>
            <wp:docPr id="8" name="图片 8" descr="Ki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Ki67"/>
                    <pic:cNvPicPr>
                      <a:picLocks noChangeAspect="1"/>
                    </pic:cNvPicPr>
                  </pic:nvPicPr>
                  <pic:blipFill>
                    <a:blip r:embed="rId23"/>
                    <a:stretch>
                      <a:fillRect/>
                    </a:stretch>
                  </pic:blipFill>
                  <pic:spPr>
                    <a:xfrm>
                      <a:off x="0" y="0"/>
                      <a:ext cx="2654935" cy="2909570"/>
                    </a:xfrm>
                    <a:prstGeom prst="rect">
                      <a:avLst/>
                    </a:prstGeom>
                  </pic:spPr>
                </pic:pic>
              </a:graphicData>
            </a:graphic>
          </wp:inline>
        </w:drawing>
      </w:r>
    </w:p>
    <w:p w14:paraId="4B80310B">
      <w:pPr>
        <w:wordWrap w:val="0"/>
        <w:spacing w:line="240" w:lineRule="auto"/>
        <w:jc w:val="center"/>
        <w:rPr>
          <w:rFonts w:ascii="Times New Roman" w:hAnsi="Times New Roman" w:cs="Times New Roman"/>
          <w:color w:val="auto"/>
          <w:sz w:val="24"/>
        </w:rPr>
      </w:pPr>
      <w:r>
        <w:rPr>
          <w:rFonts w:ascii="Times New Roman" w:hAnsi="Times New Roman" w:cs="Times New Roman"/>
          <w:b/>
          <w:bCs/>
          <w:color w:val="auto"/>
          <w:sz w:val="24"/>
        </w:rPr>
        <w:t>Figure S</w:t>
      </w:r>
      <w:r>
        <w:rPr>
          <w:rFonts w:hint="eastAsia" w:ascii="Times New Roman" w:hAnsi="Times New Roman" w:cs="Times New Roman"/>
          <w:b/>
          <w:bCs/>
          <w:color w:val="auto"/>
          <w:sz w:val="24"/>
        </w:rPr>
        <w:t>11</w:t>
      </w:r>
      <w:r>
        <w:rPr>
          <w:rFonts w:ascii="Times New Roman" w:hAnsi="Times New Roman" w:cs="Times New Roman"/>
          <w:b/>
          <w:bCs/>
          <w:color w:val="auto"/>
          <w:sz w:val="24"/>
        </w:rPr>
        <w:t>.</w:t>
      </w:r>
      <w:r>
        <w:rPr>
          <w:rFonts w:ascii="Times New Roman" w:hAnsi="Times New Roman" w:cs="Times New Roman"/>
          <w:color w:val="auto"/>
          <w:sz w:val="24"/>
        </w:rPr>
        <w:t xml:space="preserve"> Quantification of the average IHC staining intensity of Ki67 in tumor tissue after receiving different treatments . Data are presented as mean ± standard deviation. **</w:t>
      </w:r>
      <w:r>
        <w:rPr>
          <w:rFonts w:ascii="Times New Roman" w:hAnsi="Times New Roman" w:cs="Times New Roman"/>
          <w:b/>
          <w:bCs/>
          <w:i/>
          <w:iCs/>
          <w:color w:val="auto"/>
          <w:sz w:val="24"/>
        </w:rPr>
        <w:t>P</w:t>
      </w:r>
      <w:r>
        <w:rPr>
          <w:rFonts w:ascii="Times New Roman" w:hAnsi="Times New Roman" w:cs="Times New Roman"/>
          <w:color w:val="auto"/>
          <w:sz w:val="24"/>
        </w:rPr>
        <w:t xml:space="preserve"> &lt; 0.01, ns, not significant.</w:t>
      </w:r>
    </w:p>
    <w:p w14:paraId="0FE64412">
      <w:pPr>
        <w:wordWrap w:val="0"/>
        <w:spacing w:line="240" w:lineRule="auto"/>
        <w:jc w:val="center"/>
        <w:rPr>
          <w:rFonts w:hint="eastAsia"/>
          <w:color w:val="auto"/>
        </w:rPr>
      </w:pPr>
    </w:p>
    <w:p w14:paraId="0FCE2E8C">
      <w:pPr>
        <w:jc w:val="center"/>
        <w:rPr>
          <w:rFonts w:hint="eastAsia"/>
          <w:color w:val="auto"/>
        </w:rPr>
      </w:pPr>
      <w:r>
        <w:rPr>
          <w:rFonts w:hint="eastAsia"/>
          <w:color w:val="auto"/>
        </w:rPr>
        <w:drawing>
          <wp:inline distT="0" distB="0" distL="114300" distR="114300">
            <wp:extent cx="2654935" cy="2909570"/>
            <wp:effectExtent l="0" t="0" r="12065" b="11430"/>
            <wp:docPr id="9" name="图片 9" descr="FDX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DX1"/>
                    <pic:cNvPicPr>
                      <a:picLocks noChangeAspect="1"/>
                    </pic:cNvPicPr>
                  </pic:nvPicPr>
                  <pic:blipFill>
                    <a:blip r:embed="rId24"/>
                    <a:stretch>
                      <a:fillRect/>
                    </a:stretch>
                  </pic:blipFill>
                  <pic:spPr>
                    <a:xfrm>
                      <a:off x="0" y="0"/>
                      <a:ext cx="2654935" cy="2909570"/>
                    </a:xfrm>
                    <a:prstGeom prst="rect">
                      <a:avLst/>
                    </a:prstGeom>
                  </pic:spPr>
                </pic:pic>
              </a:graphicData>
            </a:graphic>
          </wp:inline>
        </w:drawing>
      </w:r>
    </w:p>
    <w:p w14:paraId="73DC79B0">
      <w:pPr>
        <w:wordWrap w:val="0"/>
        <w:spacing w:line="240" w:lineRule="auto"/>
        <w:jc w:val="center"/>
        <w:rPr>
          <w:rFonts w:ascii="Times New Roman" w:hAnsi="Times New Roman" w:cs="Times New Roman"/>
          <w:color w:val="auto"/>
          <w:sz w:val="24"/>
        </w:rPr>
      </w:pPr>
      <w:r>
        <w:rPr>
          <w:rFonts w:ascii="Times New Roman" w:hAnsi="Times New Roman" w:cs="Times New Roman"/>
          <w:b/>
          <w:bCs/>
          <w:color w:val="auto"/>
          <w:sz w:val="24"/>
        </w:rPr>
        <w:t>Figure S</w:t>
      </w:r>
      <w:r>
        <w:rPr>
          <w:rFonts w:hint="eastAsia" w:ascii="Times New Roman" w:hAnsi="Times New Roman" w:cs="Times New Roman"/>
          <w:b/>
          <w:bCs/>
          <w:color w:val="auto"/>
          <w:sz w:val="24"/>
        </w:rPr>
        <w:t>12</w:t>
      </w:r>
      <w:r>
        <w:rPr>
          <w:rFonts w:ascii="Times New Roman" w:hAnsi="Times New Roman" w:cs="Times New Roman"/>
          <w:b/>
          <w:bCs/>
          <w:color w:val="auto"/>
          <w:sz w:val="24"/>
        </w:rPr>
        <w:t>.</w:t>
      </w:r>
      <w:r>
        <w:rPr>
          <w:rFonts w:ascii="Times New Roman" w:hAnsi="Times New Roman" w:cs="Times New Roman"/>
          <w:color w:val="auto"/>
          <w:sz w:val="24"/>
        </w:rPr>
        <w:t xml:space="preserve"> Quantification of the average IHC staining intensity of FDX1 in tumor tissue after receiving different treatments . Data are presented as mean ± standard deviation. ****</w:t>
      </w:r>
      <w:r>
        <w:rPr>
          <w:rFonts w:hint="eastAsia" w:ascii="Times New Roman" w:hAnsi="Times New Roman" w:cs="Times New Roman"/>
          <w:b/>
          <w:bCs/>
          <w:i/>
          <w:iCs/>
          <w:color w:val="auto"/>
          <w:sz w:val="24"/>
        </w:rPr>
        <w:t>P</w:t>
      </w:r>
      <w:r>
        <w:rPr>
          <w:rFonts w:ascii="Times New Roman" w:hAnsi="Times New Roman" w:cs="Times New Roman"/>
          <w:color w:val="auto"/>
          <w:sz w:val="24"/>
        </w:rPr>
        <w:t xml:space="preserve"> &lt; 0.0001, ns, not significant.</w:t>
      </w:r>
    </w:p>
    <w:p w14:paraId="6C35440E">
      <w:pPr>
        <w:wordWrap w:val="0"/>
        <w:spacing w:line="240" w:lineRule="auto"/>
        <w:jc w:val="center"/>
        <w:rPr>
          <w:rFonts w:ascii="Times New Roman" w:hAnsi="Times New Roman" w:cs="Times New Roman"/>
          <w:color w:val="auto"/>
          <w:sz w:val="24"/>
        </w:rPr>
      </w:pPr>
    </w:p>
    <w:p w14:paraId="5280B54F">
      <w:pPr>
        <w:jc w:val="center"/>
        <w:rPr>
          <w:rFonts w:hint="eastAsia"/>
          <w:color w:val="auto"/>
        </w:rPr>
      </w:pPr>
      <w:r>
        <w:rPr>
          <w:rFonts w:hint="eastAsia"/>
          <w:color w:val="auto"/>
        </w:rPr>
        <w:drawing>
          <wp:inline distT="0" distB="0" distL="114300" distR="114300">
            <wp:extent cx="2654935" cy="2909570"/>
            <wp:effectExtent l="0" t="0" r="12065" b="11430"/>
            <wp:docPr id="7" name="图片 7" descr="LI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LIAS"/>
                    <pic:cNvPicPr>
                      <a:picLocks noChangeAspect="1"/>
                    </pic:cNvPicPr>
                  </pic:nvPicPr>
                  <pic:blipFill>
                    <a:blip r:embed="rId25"/>
                    <a:stretch>
                      <a:fillRect/>
                    </a:stretch>
                  </pic:blipFill>
                  <pic:spPr>
                    <a:xfrm>
                      <a:off x="0" y="0"/>
                      <a:ext cx="2654935" cy="2909570"/>
                    </a:xfrm>
                    <a:prstGeom prst="rect">
                      <a:avLst/>
                    </a:prstGeom>
                  </pic:spPr>
                </pic:pic>
              </a:graphicData>
            </a:graphic>
          </wp:inline>
        </w:drawing>
      </w:r>
    </w:p>
    <w:p w14:paraId="2EB88B04">
      <w:pPr>
        <w:wordWrap w:val="0"/>
        <w:spacing w:line="240" w:lineRule="auto"/>
        <w:jc w:val="center"/>
        <w:rPr>
          <w:rFonts w:ascii="Times New Roman" w:hAnsi="Times New Roman" w:cs="Times New Roman"/>
          <w:color w:val="auto"/>
          <w:sz w:val="24"/>
        </w:rPr>
      </w:pPr>
      <w:r>
        <w:rPr>
          <w:rFonts w:ascii="Times New Roman" w:hAnsi="Times New Roman" w:cs="Times New Roman"/>
          <w:b/>
          <w:bCs/>
          <w:color w:val="auto"/>
          <w:sz w:val="24"/>
        </w:rPr>
        <w:t>Figure S</w:t>
      </w:r>
      <w:r>
        <w:rPr>
          <w:rFonts w:hint="eastAsia" w:ascii="Times New Roman" w:hAnsi="Times New Roman" w:cs="Times New Roman"/>
          <w:b/>
          <w:bCs/>
          <w:color w:val="auto"/>
          <w:sz w:val="24"/>
        </w:rPr>
        <w:t>13</w:t>
      </w:r>
      <w:r>
        <w:rPr>
          <w:rFonts w:ascii="Times New Roman" w:hAnsi="Times New Roman" w:cs="Times New Roman"/>
          <w:b/>
          <w:bCs/>
          <w:color w:val="auto"/>
          <w:sz w:val="24"/>
        </w:rPr>
        <w:t>.</w:t>
      </w:r>
      <w:r>
        <w:rPr>
          <w:rFonts w:ascii="Times New Roman" w:hAnsi="Times New Roman" w:cs="Times New Roman"/>
          <w:color w:val="auto"/>
          <w:sz w:val="24"/>
        </w:rPr>
        <w:t xml:space="preserve"> Quantification of the average IHC staining intensity of LIAS in tumor tissue after receiving different treatments . Data are presented as mean ± standard deviation. ****</w:t>
      </w:r>
      <w:r>
        <w:rPr>
          <w:rFonts w:hint="eastAsia" w:ascii="Times New Roman" w:hAnsi="Times New Roman" w:cs="Times New Roman"/>
          <w:b/>
          <w:bCs/>
          <w:i/>
          <w:iCs/>
          <w:color w:val="auto"/>
          <w:sz w:val="24"/>
        </w:rPr>
        <w:t>P</w:t>
      </w:r>
      <w:r>
        <w:rPr>
          <w:rFonts w:ascii="Times New Roman" w:hAnsi="Times New Roman" w:cs="Times New Roman"/>
          <w:color w:val="auto"/>
          <w:sz w:val="24"/>
        </w:rPr>
        <w:t xml:space="preserve"> &lt; 0.0001, ns, not significant.</w:t>
      </w:r>
    </w:p>
    <w:p w14:paraId="78B9E0D5">
      <w:pPr>
        <w:wordWrap w:val="0"/>
        <w:spacing w:line="240" w:lineRule="auto"/>
        <w:jc w:val="center"/>
        <w:rPr>
          <w:rFonts w:ascii="Times New Roman" w:hAnsi="Times New Roman" w:cs="Times New Roman"/>
          <w:color w:val="auto"/>
          <w:sz w:val="24"/>
        </w:rPr>
      </w:pPr>
    </w:p>
    <w:p w14:paraId="0DF3370E">
      <w:pPr>
        <w:jc w:val="center"/>
        <w:rPr>
          <w:rFonts w:hint="eastAsia"/>
          <w:color w:val="auto"/>
        </w:rPr>
      </w:pPr>
      <w:r>
        <w:rPr>
          <w:rFonts w:hint="eastAsia"/>
          <w:color w:val="auto"/>
        </w:rPr>
        <w:drawing>
          <wp:inline distT="0" distB="0" distL="114300" distR="114300">
            <wp:extent cx="2654935" cy="2909570"/>
            <wp:effectExtent l="0" t="0" r="12065" b="11430"/>
            <wp:docPr id="5" name="图片 5" descr="p-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p-ERK"/>
                    <pic:cNvPicPr>
                      <a:picLocks noChangeAspect="1"/>
                    </pic:cNvPicPr>
                  </pic:nvPicPr>
                  <pic:blipFill>
                    <a:blip r:embed="rId26"/>
                    <a:stretch>
                      <a:fillRect/>
                    </a:stretch>
                  </pic:blipFill>
                  <pic:spPr>
                    <a:xfrm>
                      <a:off x="0" y="0"/>
                      <a:ext cx="2654935" cy="2909570"/>
                    </a:xfrm>
                    <a:prstGeom prst="rect">
                      <a:avLst/>
                    </a:prstGeom>
                  </pic:spPr>
                </pic:pic>
              </a:graphicData>
            </a:graphic>
          </wp:inline>
        </w:drawing>
      </w:r>
    </w:p>
    <w:p w14:paraId="4693C850">
      <w:pPr>
        <w:wordWrap w:val="0"/>
        <w:spacing w:line="240" w:lineRule="auto"/>
        <w:jc w:val="center"/>
        <w:rPr>
          <w:rFonts w:ascii="Times New Roman" w:hAnsi="Times New Roman" w:cs="Times New Roman"/>
          <w:color w:val="auto"/>
          <w:sz w:val="24"/>
        </w:rPr>
      </w:pPr>
      <w:r>
        <w:rPr>
          <w:rFonts w:ascii="Times New Roman" w:hAnsi="Times New Roman" w:cs="Times New Roman"/>
          <w:b/>
          <w:bCs/>
          <w:color w:val="auto"/>
          <w:sz w:val="24"/>
        </w:rPr>
        <w:t>Figure S</w:t>
      </w:r>
      <w:r>
        <w:rPr>
          <w:rFonts w:hint="eastAsia" w:ascii="Times New Roman" w:hAnsi="Times New Roman" w:cs="Times New Roman"/>
          <w:b/>
          <w:bCs/>
          <w:color w:val="auto"/>
          <w:sz w:val="24"/>
        </w:rPr>
        <w:t>14</w:t>
      </w:r>
      <w:r>
        <w:rPr>
          <w:rFonts w:ascii="Times New Roman" w:hAnsi="Times New Roman" w:cs="Times New Roman"/>
          <w:b/>
          <w:bCs/>
          <w:color w:val="auto"/>
          <w:sz w:val="24"/>
        </w:rPr>
        <w:t>.</w:t>
      </w:r>
      <w:r>
        <w:rPr>
          <w:rFonts w:ascii="Times New Roman" w:hAnsi="Times New Roman" w:cs="Times New Roman"/>
          <w:color w:val="auto"/>
          <w:sz w:val="24"/>
        </w:rPr>
        <w:t xml:space="preserve"> Quantification of the average IHC staining intensity of p-ERK in tumor tissue after receiving different treatments . Data are presented as mean ± standard deviation. *</w:t>
      </w:r>
      <w:r>
        <w:rPr>
          <w:rFonts w:ascii="Times New Roman" w:hAnsi="Times New Roman" w:cs="Times New Roman"/>
          <w:b/>
          <w:bCs/>
          <w:i/>
          <w:iCs/>
          <w:color w:val="auto"/>
          <w:sz w:val="24"/>
        </w:rPr>
        <w:t>P</w:t>
      </w:r>
      <w:r>
        <w:rPr>
          <w:rFonts w:ascii="Times New Roman" w:hAnsi="Times New Roman" w:cs="Times New Roman"/>
          <w:color w:val="auto"/>
          <w:sz w:val="24"/>
        </w:rPr>
        <w:t xml:space="preserve"> &lt; 0.05,****</w:t>
      </w:r>
      <w:r>
        <w:rPr>
          <w:rFonts w:hint="eastAsia" w:ascii="Times New Roman" w:hAnsi="Times New Roman" w:cs="Times New Roman"/>
          <w:b/>
          <w:bCs/>
          <w:i/>
          <w:iCs/>
          <w:color w:val="auto"/>
          <w:sz w:val="24"/>
        </w:rPr>
        <w:t>P</w:t>
      </w:r>
      <w:r>
        <w:rPr>
          <w:rFonts w:ascii="Times New Roman" w:hAnsi="Times New Roman" w:cs="Times New Roman"/>
          <w:color w:val="auto"/>
          <w:sz w:val="24"/>
        </w:rPr>
        <w:t xml:space="preserve"> &lt; 0.0001, ns, not significant.</w:t>
      </w:r>
    </w:p>
    <w:p w14:paraId="2E786FB1">
      <w:pPr>
        <w:wordWrap w:val="0"/>
        <w:spacing w:line="240" w:lineRule="auto"/>
        <w:jc w:val="center"/>
        <w:rPr>
          <w:rFonts w:ascii="Times New Roman" w:hAnsi="Times New Roman" w:cs="Times New Roman"/>
          <w:color w:val="auto"/>
          <w:sz w:val="24"/>
        </w:rPr>
      </w:pPr>
    </w:p>
    <w:p w14:paraId="5D61AFD7">
      <w:pPr>
        <w:jc w:val="center"/>
        <w:rPr>
          <w:rFonts w:hint="eastAsia"/>
          <w:color w:val="auto"/>
        </w:rPr>
      </w:pPr>
      <w:r>
        <w:rPr>
          <w:rFonts w:hint="eastAsia"/>
          <w:color w:val="auto"/>
        </w:rPr>
        <w:t xml:space="preserve"> </w:t>
      </w:r>
      <w:r>
        <w:rPr>
          <w:rFonts w:hint="eastAsia"/>
          <w:color w:val="auto"/>
        </w:rPr>
        <w:drawing>
          <wp:inline distT="0" distB="0" distL="114300" distR="114300">
            <wp:extent cx="2578735" cy="2909570"/>
            <wp:effectExtent l="0" t="0" r="12065" b="11430"/>
            <wp:docPr id="6" name="图片 6" descr="p-CR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p-CREB"/>
                    <pic:cNvPicPr>
                      <a:picLocks noChangeAspect="1"/>
                    </pic:cNvPicPr>
                  </pic:nvPicPr>
                  <pic:blipFill>
                    <a:blip r:embed="rId27"/>
                    <a:stretch>
                      <a:fillRect/>
                    </a:stretch>
                  </pic:blipFill>
                  <pic:spPr>
                    <a:xfrm>
                      <a:off x="0" y="0"/>
                      <a:ext cx="2578735" cy="2909570"/>
                    </a:xfrm>
                    <a:prstGeom prst="rect">
                      <a:avLst/>
                    </a:prstGeom>
                  </pic:spPr>
                </pic:pic>
              </a:graphicData>
            </a:graphic>
          </wp:inline>
        </w:drawing>
      </w:r>
    </w:p>
    <w:p w14:paraId="07A3C372">
      <w:pPr>
        <w:wordWrap w:val="0"/>
        <w:spacing w:line="240" w:lineRule="auto"/>
        <w:jc w:val="center"/>
        <w:rPr>
          <w:rFonts w:ascii="Times New Roman" w:hAnsi="Times New Roman" w:cs="Times New Roman"/>
          <w:color w:val="auto"/>
          <w:sz w:val="24"/>
        </w:rPr>
      </w:pPr>
      <w:r>
        <w:rPr>
          <w:rFonts w:ascii="Times New Roman" w:hAnsi="Times New Roman" w:cs="Times New Roman"/>
          <w:b/>
          <w:bCs/>
          <w:color w:val="auto"/>
          <w:sz w:val="24"/>
        </w:rPr>
        <w:t>Figure S</w:t>
      </w:r>
      <w:r>
        <w:rPr>
          <w:rFonts w:hint="eastAsia" w:ascii="Times New Roman" w:hAnsi="Times New Roman" w:cs="Times New Roman"/>
          <w:b/>
          <w:bCs/>
          <w:color w:val="auto"/>
          <w:sz w:val="24"/>
        </w:rPr>
        <w:t>15</w:t>
      </w:r>
      <w:r>
        <w:rPr>
          <w:rFonts w:ascii="Times New Roman" w:hAnsi="Times New Roman" w:cs="Times New Roman"/>
          <w:b/>
          <w:bCs/>
          <w:color w:val="auto"/>
          <w:sz w:val="24"/>
        </w:rPr>
        <w:t>.</w:t>
      </w:r>
      <w:r>
        <w:rPr>
          <w:rFonts w:ascii="Times New Roman" w:hAnsi="Times New Roman" w:cs="Times New Roman"/>
          <w:color w:val="auto"/>
          <w:sz w:val="24"/>
        </w:rPr>
        <w:t xml:space="preserve"> Quantification of the average IHC staining intensity of p-CREB in tumor tissue after receiving different treatments . Data are presented as mean ± standard deviation. *</w:t>
      </w:r>
      <w:r>
        <w:rPr>
          <w:rFonts w:ascii="Times New Roman" w:hAnsi="Times New Roman" w:cs="Times New Roman"/>
          <w:b/>
          <w:bCs/>
          <w:i/>
          <w:iCs/>
          <w:color w:val="auto"/>
          <w:sz w:val="24"/>
        </w:rPr>
        <w:t>P</w:t>
      </w:r>
      <w:r>
        <w:rPr>
          <w:rFonts w:ascii="Times New Roman" w:hAnsi="Times New Roman" w:cs="Times New Roman"/>
          <w:color w:val="auto"/>
          <w:sz w:val="24"/>
        </w:rPr>
        <w:t xml:space="preserve"> &lt; 0.05,****</w:t>
      </w:r>
      <w:r>
        <w:rPr>
          <w:rFonts w:hint="eastAsia" w:ascii="Times New Roman" w:hAnsi="Times New Roman" w:cs="Times New Roman"/>
          <w:b/>
          <w:bCs/>
          <w:i/>
          <w:iCs/>
          <w:color w:val="auto"/>
          <w:sz w:val="24"/>
        </w:rPr>
        <w:t>P</w:t>
      </w:r>
      <w:r>
        <w:rPr>
          <w:rFonts w:ascii="Times New Roman" w:hAnsi="Times New Roman" w:cs="Times New Roman"/>
          <w:color w:val="auto"/>
          <w:sz w:val="24"/>
        </w:rPr>
        <w:t xml:space="preserve"> &lt; 0.0001, ns, not significant.</w:t>
      </w:r>
    </w:p>
    <w:p w14:paraId="308D94F4">
      <w:pPr>
        <w:wordWrap w:val="0"/>
        <w:spacing w:line="240" w:lineRule="auto"/>
        <w:jc w:val="center"/>
        <w:rPr>
          <w:rFonts w:ascii="Times New Roman" w:hAnsi="Times New Roman" w:cs="Times New Roman"/>
          <w:color w:val="auto"/>
          <w:sz w:val="24"/>
        </w:rPr>
      </w:pPr>
    </w:p>
    <w:p w14:paraId="42981262">
      <w:pPr>
        <w:jc w:val="both"/>
        <w:rPr>
          <w:rFonts w:ascii="Times New Roman" w:hAnsi="Times New Roman" w:cs="Times New Roman"/>
          <w:color w:val="auto"/>
          <w:sz w:val="24"/>
        </w:rPr>
      </w:pPr>
    </w:p>
    <w:p w14:paraId="5F0606DA">
      <w:pPr>
        <w:jc w:val="center"/>
        <w:rPr>
          <w:rFonts w:ascii="Times New Roman" w:hAnsi="Times New Roman" w:cs="Times New Roman"/>
          <w:color w:val="auto"/>
          <w:sz w:val="24"/>
        </w:rPr>
      </w:pPr>
      <w:r>
        <w:rPr>
          <w:rFonts w:hint="eastAsia" w:ascii="Times New Roman" w:hAnsi="Times New Roman" w:cs="Times New Roman"/>
          <w:color w:val="auto"/>
          <w:sz w:val="24"/>
        </w:rPr>
        <w:drawing>
          <wp:inline distT="0" distB="0" distL="114300" distR="114300">
            <wp:extent cx="5273040" cy="5756910"/>
            <wp:effectExtent l="0" t="0" r="10160" b="8890"/>
            <wp:docPr id="20" name="图片 20" descr="Figure S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Figure S16"/>
                    <pic:cNvPicPr>
                      <a:picLocks noChangeAspect="1"/>
                    </pic:cNvPicPr>
                  </pic:nvPicPr>
                  <pic:blipFill>
                    <a:blip r:embed="rId28"/>
                    <a:stretch>
                      <a:fillRect/>
                    </a:stretch>
                  </pic:blipFill>
                  <pic:spPr>
                    <a:xfrm>
                      <a:off x="0" y="0"/>
                      <a:ext cx="5273040" cy="5756910"/>
                    </a:xfrm>
                    <a:prstGeom prst="rect">
                      <a:avLst/>
                    </a:prstGeom>
                  </pic:spPr>
                </pic:pic>
              </a:graphicData>
            </a:graphic>
          </wp:inline>
        </w:drawing>
      </w:r>
    </w:p>
    <w:p w14:paraId="0541BD74">
      <w:pPr>
        <w:wordWrap w:val="0"/>
        <w:spacing w:line="240" w:lineRule="auto"/>
        <w:jc w:val="center"/>
        <w:rPr>
          <w:rFonts w:ascii="Times New Roman" w:hAnsi="Times New Roman" w:cs="Times New Roman"/>
          <w:color w:val="auto"/>
          <w:sz w:val="24"/>
        </w:rPr>
      </w:pPr>
      <w:r>
        <w:rPr>
          <w:rFonts w:ascii="Times New Roman" w:hAnsi="Times New Roman" w:cs="Times New Roman"/>
          <w:b/>
          <w:bCs/>
          <w:color w:val="auto"/>
          <w:sz w:val="24"/>
        </w:rPr>
        <w:t>Figure S</w:t>
      </w:r>
      <w:r>
        <w:rPr>
          <w:rFonts w:hint="eastAsia" w:ascii="Times New Roman" w:hAnsi="Times New Roman" w:cs="Times New Roman"/>
          <w:b/>
          <w:bCs/>
          <w:color w:val="auto"/>
          <w:sz w:val="24"/>
        </w:rPr>
        <w:t>16</w:t>
      </w:r>
      <w:r>
        <w:rPr>
          <w:rFonts w:ascii="Times New Roman" w:hAnsi="Times New Roman" w:cs="Times New Roman"/>
          <w:b/>
          <w:bCs/>
          <w:color w:val="auto"/>
          <w:sz w:val="24"/>
        </w:rPr>
        <w:t>.</w:t>
      </w:r>
      <w:r>
        <w:rPr>
          <w:rFonts w:hint="eastAsia" w:ascii="Times New Roman" w:hAnsi="Times New Roman" w:cs="Times New Roman"/>
          <w:b/>
          <w:bCs/>
          <w:color w:val="auto"/>
          <w:sz w:val="24"/>
        </w:rPr>
        <w:t xml:space="preserve"> </w:t>
      </w:r>
      <w:r>
        <w:rPr>
          <w:rFonts w:ascii="Times New Roman" w:hAnsi="Times New Roman" w:cs="Times New Roman"/>
          <w:i/>
          <w:iCs/>
          <w:color w:val="auto"/>
          <w:sz w:val="24"/>
        </w:rPr>
        <w:t>In vivo</w:t>
      </w:r>
      <w:r>
        <w:rPr>
          <w:rFonts w:hint="eastAsia" w:ascii="Times New Roman" w:hAnsi="Times New Roman" w:cs="Times New Roman"/>
          <w:color w:val="auto"/>
          <w:sz w:val="24"/>
        </w:rPr>
        <w:t xml:space="preserve"> </w:t>
      </w:r>
      <w:r>
        <w:rPr>
          <w:rFonts w:ascii="Times New Roman" w:hAnsi="Times New Roman" w:cs="Times New Roman"/>
          <w:color w:val="auto"/>
          <w:sz w:val="24"/>
        </w:rPr>
        <w:t>safety evaluation of Cu-PN NPs.</w:t>
      </w:r>
      <w:r>
        <w:rPr>
          <w:rFonts w:hint="eastAsia" w:ascii="Times New Roman" w:hAnsi="Times New Roman" w:cs="Times New Roman"/>
          <w:color w:val="auto"/>
          <w:sz w:val="24"/>
        </w:rPr>
        <w:t xml:space="preserve"> </w:t>
      </w:r>
      <w:r>
        <w:rPr>
          <w:rFonts w:ascii="Times New Roman" w:hAnsi="Times New Roman" w:cs="Times New Roman"/>
          <w:color w:val="auto"/>
          <w:sz w:val="24"/>
        </w:rPr>
        <w:t>Serum biochemical analysis of</w:t>
      </w:r>
      <w:r>
        <w:rPr>
          <w:rFonts w:hint="eastAsia" w:ascii="Times New Roman" w:hAnsi="Times New Roman" w:cs="Times New Roman"/>
          <w:color w:val="auto"/>
          <w:sz w:val="24"/>
        </w:rPr>
        <w:t xml:space="preserve"> </w:t>
      </w:r>
      <w:r>
        <w:rPr>
          <w:rFonts w:ascii="Times New Roman" w:hAnsi="Times New Roman" w:cs="Times New Roman"/>
          <w:color w:val="auto"/>
          <w:sz w:val="24"/>
        </w:rPr>
        <w:t>(A)</w:t>
      </w:r>
      <w:r>
        <w:rPr>
          <w:rFonts w:hint="eastAsia" w:ascii="Times New Roman" w:hAnsi="Times New Roman" w:cs="Times New Roman"/>
          <w:color w:val="auto"/>
          <w:sz w:val="24"/>
        </w:rPr>
        <w:t xml:space="preserve"> </w:t>
      </w:r>
      <w:r>
        <w:rPr>
          <w:rFonts w:ascii="Times New Roman" w:hAnsi="Times New Roman" w:cs="Times New Roman"/>
          <w:color w:val="auto"/>
          <w:sz w:val="24"/>
        </w:rPr>
        <w:t>alanine aminotransferase (ALT),</w:t>
      </w:r>
      <w:r>
        <w:rPr>
          <w:rFonts w:hint="eastAsia" w:ascii="Times New Roman" w:hAnsi="Times New Roman" w:cs="Times New Roman"/>
          <w:color w:val="auto"/>
          <w:sz w:val="24"/>
        </w:rPr>
        <w:t xml:space="preserve"> </w:t>
      </w:r>
      <w:r>
        <w:rPr>
          <w:rFonts w:ascii="Times New Roman" w:hAnsi="Times New Roman" w:cs="Times New Roman"/>
          <w:color w:val="auto"/>
          <w:sz w:val="24"/>
        </w:rPr>
        <w:t>(B)</w:t>
      </w:r>
      <w:r>
        <w:rPr>
          <w:rFonts w:hint="eastAsia" w:ascii="Times New Roman" w:hAnsi="Times New Roman" w:cs="Times New Roman"/>
          <w:color w:val="auto"/>
          <w:sz w:val="24"/>
        </w:rPr>
        <w:t xml:space="preserve"> </w:t>
      </w:r>
      <w:r>
        <w:rPr>
          <w:rFonts w:ascii="Times New Roman" w:hAnsi="Times New Roman" w:cs="Times New Roman"/>
          <w:color w:val="auto"/>
          <w:sz w:val="24"/>
        </w:rPr>
        <w:t>aspartate aminotransferase (AST),</w:t>
      </w:r>
      <w:r>
        <w:rPr>
          <w:rFonts w:hint="eastAsia" w:ascii="Times New Roman" w:hAnsi="Times New Roman" w:cs="Times New Roman"/>
          <w:color w:val="auto"/>
          <w:sz w:val="24"/>
        </w:rPr>
        <w:t xml:space="preserve"> </w:t>
      </w:r>
      <w:r>
        <w:rPr>
          <w:rFonts w:ascii="Times New Roman" w:hAnsi="Times New Roman" w:cs="Times New Roman"/>
          <w:color w:val="auto"/>
          <w:sz w:val="24"/>
        </w:rPr>
        <w:t>(C)</w:t>
      </w:r>
      <w:r>
        <w:rPr>
          <w:rFonts w:hint="eastAsia" w:ascii="Times New Roman" w:hAnsi="Times New Roman" w:cs="Times New Roman"/>
          <w:color w:val="auto"/>
          <w:sz w:val="24"/>
        </w:rPr>
        <w:t xml:space="preserve"> </w:t>
      </w:r>
      <w:r>
        <w:rPr>
          <w:rFonts w:ascii="Times New Roman" w:hAnsi="Times New Roman" w:cs="Times New Roman"/>
          <w:color w:val="auto"/>
          <w:sz w:val="24"/>
        </w:rPr>
        <w:t>creatinine (CREA), and</w:t>
      </w:r>
      <w:r>
        <w:rPr>
          <w:rFonts w:hint="eastAsia" w:ascii="Times New Roman" w:hAnsi="Times New Roman" w:cs="Times New Roman"/>
          <w:color w:val="auto"/>
          <w:sz w:val="24"/>
        </w:rPr>
        <w:t xml:space="preserve"> </w:t>
      </w:r>
      <w:r>
        <w:rPr>
          <w:rFonts w:ascii="Times New Roman" w:hAnsi="Times New Roman" w:cs="Times New Roman"/>
          <w:color w:val="auto"/>
          <w:sz w:val="24"/>
        </w:rPr>
        <w:t>(D)</w:t>
      </w:r>
      <w:r>
        <w:rPr>
          <w:rFonts w:hint="eastAsia" w:ascii="Times New Roman" w:hAnsi="Times New Roman" w:cs="Times New Roman"/>
          <w:color w:val="auto"/>
          <w:sz w:val="24"/>
        </w:rPr>
        <w:t xml:space="preserve"> </w:t>
      </w:r>
      <w:r>
        <w:rPr>
          <w:rFonts w:ascii="Times New Roman" w:hAnsi="Times New Roman" w:cs="Times New Roman"/>
          <w:color w:val="auto"/>
          <w:sz w:val="24"/>
        </w:rPr>
        <w:t>urea (UREA) levels in mice treated with PBS (Control) or Cu-PN NPs.</w:t>
      </w:r>
      <w:r>
        <w:rPr>
          <w:rFonts w:hint="eastAsia" w:ascii="Times New Roman" w:hAnsi="Times New Roman" w:cs="Times New Roman"/>
          <w:color w:val="auto"/>
          <w:sz w:val="24"/>
        </w:rPr>
        <w:t xml:space="preserve"> </w:t>
      </w:r>
      <w:r>
        <w:rPr>
          <w:rFonts w:ascii="Times New Roman" w:hAnsi="Times New Roman" w:cs="Times New Roman"/>
          <w:color w:val="auto"/>
          <w:sz w:val="24"/>
        </w:rPr>
        <w:t>(E)</w:t>
      </w:r>
      <w:r>
        <w:rPr>
          <w:rFonts w:hint="eastAsia" w:ascii="Times New Roman" w:hAnsi="Times New Roman" w:cs="Times New Roman"/>
          <w:color w:val="auto"/>
          <w:sz w:val="24"/>
        </w:rPr>
        <w:t xml:space="preserve"> </w:t>
      </w:r>
      <w:r>
        <w:rPr>
          <w:rFonts w:ascii="Times New Roman" w:hAnsi="Times New Roman" w:cs="Times New Roman"/>
          <w:color w:val="auto"/>
          <w:sz w:val="24"/>
        </w:rPr>
        <w:t xml:space="preserve">Representative H&amp;E-stained images of major organs (heart, liver, spleen, lung, kidney). </w:t>
      </w:r>
      <w:r>
        <w:rPr>
          <w:rFonts w:hint="eastAsia" w:ascii="Times New Roman" w:hAnsi="Times New Roman" w:cs="Times New Roman"/>
          <w:color w:val="auto"/>
          <w:sz w:val="24"/>
        </w:rPr>
        <w:t xml:space="preserve">(F) Biodistribution and tumor accumulation of Cu-PN NPs </w:t>
      </w:r>
      <w:r>
        <w:rPr>
          <w:rFonts w:hint="eastAsia" w:ascii="Times New Roman" w:hAnsi="Times New Roman" w:cs="Times New Roman"/>
          <w:i/>
          <w:iCs/>
          <w:color w:val="auto"/>
          <w:sz w:val="24"/>
        </w:rPr>
        <w:t>in vivo</w:t>
      </w:r>
      <w:r>
        <w:rPr>
          <w:rFonts w:hint="eastAsia" w:ascii="Times New Roman" w:hAnsi="Times New Roman" w:cs="Times New Roman"/>
          <w:color w:val="auto"/>
          <w:sz w:val="24"/>
        </w:rPr>
        <w:t xml:space="preserve">. </w:t>
      </w:r>
      <w:r>
        <w:rPr>
          <w:rFonts w:ascii="Times New Roman" w:hAnsi="Times New Roman" w:cs="Times New Roman"/>
          <w:color w:val="auto"/>
          <w:sz w:val="24"/>
        </w:rPr>
        <w:t>Scale bar: 100 μm. Data are presented as mean ± standard deviation</w:t>
      </w:r>
      <w:r>
        <w:rPr>
          <w:rFonts w:hint="eastAsia" w:ascii="Times New Roman" w:hAnsi="Times New Roman" w:cs="Times New Roman"/>
          <w:color w:val="auto"/>
          <w:sz w:val="24"/>
        </w:rPr>
        <w:t>. n=3</w:t>
      </w:r>
      <w:r>
        <w:rPr>
          <w:rFonts w:ascii="Times New Roman" w:hAnsi="Times New Roman" w:cs="Times New Roman"/>
          <w:color w:val="auto"/>
          <w:sz w:val="24"/>
        </w:rPr>
        <w:t>. ns, not significant.</w:t>
      </w:r>
    </w:p>
    <w:p w14:paraId="460DBFF7">
      <w:pPr>
        <w:wordWrap w:val="0"/>
        <w:spacing w:line="240" w:lineRule="auto"/>
        <w:jc w:val="both"/>
        <w:rPr>
          <w:rFonts w:ascii="Times New Roman" w:hAnsi="Times New Roman" w:cs="Times New Roman"/>
          <w:color w:val="auto"/>
          <w:sz w:val="24"/>
        </w:rPr>
      </w:pPr>
    </w:p>
    <w:p w14:paraId="188A42BF">
      <w:pPr>
        <w:wordWrap w:val="0"/>
        <w:spacing w:line="240" w:lineRule="auto"/>
        <w:jc w:val="center"/>
        <w:rPr>
          <w:rFonts w:ascii="Times New Roman" w:hAnsi="Times New Roman" w:cs="Times New Roman"/>
          <w:color w:val="auto"/>
          <w:sz w:val="24"/>
        </w:rPr>
      </w:pPr>
      <w:r>
        <w:rPr>
          <w:rFonts w:hint="eastAsia" w:ascii="Times New Roman" w:hAnsi="Times New Roman" w:cs="Times New Roman"/>
          <w:color w:val="auto"/>
          <w:sz w:val="24"/>
        </w:rPr>
        <w:drawing>
          <wp:inline distT="0" distB="0" distL="114300" distR="114300">
            <wp:extent cx="5273040" cy="1202055"/>
            <wp:effectExtent l="0" t="0" r="3810" b="7620"/>
            <wp:docPr id="15" name="图片 15" descr="Figure S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igure S15"/>
                    <pic:cNvPicPr>
                      <a:picLocks noChangeAspect="1"/>
                    </pic:cNvPicPr>
                  </pic:nvPicPr>
                  <pic:blipFill>
                    <a:blip r:embed="rId29"/>
                    <a:stretch>
                      <a:fillRect/>
                    </a:stretch>
                  </pic:blipFill>
                  <pic:spPr>
                    <a:xfrm>
                      <a:off x="0" y="0"/>
                      <a:ext cx="5273040" cy="1202055"/>
                    </a:xfrm>
                    <a:prstGeom prst="rect">
                      <a:avLst/>
                    </a:prstGeom>
                  </pic:spPr>
                </pic:pic>
              </a:graphicData>
            </a:graphic>
          </wp:inline>
        </w:drawing>
      </w:r>
    </w:p>
    <w:p w14:paraId="0B2F4EF7">
      <w:pPr>
        <w:kinsoku w:val="0"/>
        <w:snapToGrid w:val="0"/>
        <w:spacing w:line="240" w:lineRule="auto"/>
        <w:jc w:val="center"/>
        <w:rPr>
          <w:rFonts w:ascii="Times New Roman" w:hAnsi="Times New Roman" w:cs="Times New Roman"/>
          <w:color w:val="auto"/>
          <w:sz w:val="24"/>
        </w:rPr>
      </w:pPr>
      <w:r>
        <w:rPr>
          <w:rFonts w:hint="eastAsia" w:ascii="Times New Roman" w:hAnsi="Times New Roman" w:cs="Times New Roman"/>
          <w:b/>
          <w:bCs/>
          <w:color w:val="auto"/>
          <w:sz w:val="24"/>
        </w:rPr>
        <w:t>Figure S17.</w:t>
      </w:r>
      <w:r>
        <w:rPr>
          <w:rFonts w:hint="eastAsia" w:ascii="Times New Roman" w:hAnsi="Times New Roman" w:cs="Times New Roman"/>
          <w:color w:val="auto"/>
          <w:sz w:val="24"/>
        </w:rPr>
        <w:t xml:space="preserve"> Gating strategy for flow cytometric analysis of tumor-infiltrating lymphocytes.</w:t>
      </w:r>
    </w:p>
    <w:p w14:paraId="30F50856">
      <w:pPr>
        <w:kinsoku w:val="0"/>
        <w:snapToGrid w:val="0"/>
        <w:spacing w:line="240" w:lineRule="auto"/>
        <w:jc w:val="center"/>
        <w:rPr>
          <w:rFonts w:ascii="Times New Roman" w:hAnsi="Times New Roman" w:cs="Times New Roman"/>
          <w:color w:val="auto"/>
          <w:sz w:val="24"/>
        </w:rPr>
      </w:pPr>
    </w:p>
    <w:p w14:paraId="434DA455">
      <w:pPr>
        <w:kinsoku w:val="0"/>
        <w:snapToGrid w:val="0"/>
        <w:spacing w:line="240" w:lineRule="auto"/>
        <w:jc w:val="center"/>
        <w:rPr>
          <w:rFonts w:ascii="Times New Roman" w:hAnsi="Times New Roman" w:cs="Times New Roman"/>
          <w:color w:val="auto"/>
          <w:sz w:val="24"/>
        </w:rPr>
      </w:pPr>
    </w:p>
    <w:bookmarkEnd w:id="4"/>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lnNumType w:countBy="1" w:restart="continuou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S Mincho">
    <w:altName w:val="Yu Gothic UI"/>
    <w:panose1 w:val="02020609040205080304"/>
    <w:charset w:val="80"/>
    <w:family w:val="modern"/>
    <w:pitch w:val="default"/>
    <w:sig w:usb0="00000000" w:usb1="00000000" w:usb2="08000012" w:usb3="00000000" w:csb0="0002009F" w:csb1="00000000"/>
  </w:font>
  <w:font w:name="ＭＳ 明朝">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77232705"/>
      <w:docPartObj>
        <w:docPartGallery w:val="AutoText"/>
      </w:docPartObj>
    </w:sdtPr>
    <w:sdtContent>
      <w:p w14:paraId="4ECAC340">
        <w:pPr>
          <w:pStyle w:val="12"/>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117BA0F2">
    <w:pPr>
      <w:pStyle w:val="12"/>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CD06C">
    <w:pPr>
      <w:pStyle w:val="12"/>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231BC">
    <w:pPr>
      <w:pStyle w:val="12"/>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CF9ED">
    <w:pPr>
      <w:pStyle w:val="13"/>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125E3">
    <w:pPr>
      <w:pStyle w:val="13"/>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B3CA9">
    <w:pPr>
      <w:pStyle w:val="13"/>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420"/>
  <w:drawingGridHorizontalSpacing w:val="110"/>
  <w:drawingGridVerticalSpacing w:val="156"/>
  <w:displayHorizontalDrawingGridEvery w:val="2"/>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F2A"/>
    <w:rsid w:val="000007E8"/>
    <w:rsid w:val="00076B9C"/>
    <w:rsid w:val="00093C26"/>
    <w:rsid w:val="000D772F"/>
    <w:rsid w:val="0016029D"/>
    <w:rsid w:val="00170577"/>
    <w:rsid w:val="001D0EB6"/>
    <w:rsid w:val="001E1089"/>
    <w:rsid w:val="00230DE2"/>
    <w:rsid w:val="00290896"/>
    <w:rsid w:val="002A4978"/>
    <w:rsid w:val="002D396E"/>
    <w:rsid w:val="003C14B6"/>
    <w:rsid w:val="003D454B"/>
    <w:rsid w:val="003F2E5A"/>
    <w:rsid w:val="004226D5"/>
    <w:rsid w:val="00436B5F"/>
    <w:rsid w:val="00457519"/>
    <w:rsid w:val="00480406"/>
    <w:rsid w:val="00485878"/>
    <w:rsid w:val="00563A82"/>
    <w:rsid w:val="005A1F2E"/>
    <w:rsid w:val="00601140"/>
    <w:rsid w:val="00646573"/>
    <w:rsid w:val="006833EB"/>
    <w:rsid w:val="00683E7A"/>
    <w:rsid w:val="006973EA"/>
    <w:rsid w:val="006B0C7D"/>
    <w:rsid w:val="006D26EC"/>
    <w:rsid w:val="006D6DD6"/>
    <w:rsid w:val="006D7B04"/>
    <w:rsid w:val="006E27A4"/>
    <w:rsid w:val="00704036"/>
    <w:rsid w:val="00710EC2"/>
    <w:rsid w:val="00716E83"/>
    <w:rsid w:val="007B1F76"/>
    <w:rsid w:val="007E0980"/>
    <w:rsid w:val="007E2BD2"/>
    <w:rsid w:val="007E4E7D"/>
    <w:rsid w:val="008031B7"/>
    <w:rsid w:val="008C2327"/>
    <w:rsid w:val="008D6BFD"/>
    <w:rsid w:val="00936389"/>
    <w:rsid w:val="009875B9"/>
    <w:rsid w:val="009B1604"/>
    <w:rsid w:val="00A027AD"/>
    <w:rsid w:val="00A81B77"/>
    <w:rsid w:val="00A916CA"/>
    <w:rsid w:val="00A93073"/>
    <w:rsid w:val="00AC7435"/>
    <w:rsid w:val="00AE264E"/>
    <w:rsid w:val="00B82AB4"/>
    <w:rsid w:val="00B94497"/>
    <w:rsid w:val="00BC0FAC"/>
    <w:rsid w:val="00C13B24"/>
    <w:rsid w:val="00CD79EB"/>
    <w:rsid w:val="00CF48F6"/>
    <w:rsid w:val="00D45721"/>
    <w:rsid w:val="00D82385"/>
    <w:rsid w:val="00E11EBA"/>
    <w:rsid w:val="00E211F7"/>
    <w:rsid w:val="00ED0585"/>
    <w:rsid w:val="00EE3C74"/>
    <w:rsid w:val="00EE6A63"/>
    <w:rsid w:val="00F370FA"/>
    <w:rsid w:val="00F40031"/>
    <w:rsid w:val="00F451B7"/>
    <w:rsid w:val="00F54234"/>
    <w:rsid w:val="00F93D5F"/>
    <w:rsid w:val="00FA6F2A"/>
    <w:rsid w:val="00FD4628"/>
    <w:rsid w:val="00FE094D"/>
    <w:rsid w:val="00FE41E1"/>
    <w:rsid w:val="037C5657"/>
    <w:rsid w:val="07697D31"/>
    <w:rsid w:val="0B8E44E9"/>
    <w:rsid w:val="0F5A6846"/>
    <w:rsid w:val="11E138CB"/>
    <w:rsid w:val="12575A26"/>
    <w:rsid w:val="14403A45"/>
    <w:rsid w:val="236046F9"/>
    <w:rsid w:val="2BB46F1D"/>
    <w:rsid w:val="2C97651D"/>
    <w:rsid w:val="317C209D"/>
    <w:rsid w:val="3E8C0DB1"/>
    <w:rsid w:val="41E311FC"/>
    <w:rsid w:val="47451645"/>
    <w:rsid w:val="4AFE5195"/>
    <w:rsid w:val="4BBFB3F7"/>
    <w:rsid w:val="4C497D43"/>
    <w:rsid w:val="517B3EB5"/>
    <w:rsid w:val="567137D6"/>
    <w:rsid w:val="69E778CE"/>
    <w:rsid w:val="6B6E64E8"/>
    <w:rsid w:val="71E8354A"/>
    <w:rsid w:val="75FF7EA2"/>
    <w:rsid w:val="7BFF4AE6"/>
    <w:rsid w:val="7D334487"/>
    <w:rsid w:val="7D463A10"/>
    <w:rsid w:val="A6EE6855"/>
    <w:rsid w:val="A8F774B3"/>
    <w:rsid w:val="BB35E3BD"/>
    <w:rsid w:val="BDFB5E05"/>
    <w:rsid w:val="FDF614AA"/>
    <w:rsid w:val="FF7F6A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4"/>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5"/>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6"/>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7"/>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8"/>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9"/>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30"/>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1"/>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2"/>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8"/>
    <w:semiHidden/>
    <w:unhideWhenUsed/>
    <w:qFormat/>
    <w:uiPriority w:val="99"/>
  </w:style>
  <w:style w:type="paragraph" w:styleId="12">
    <w:name w:val="footer"/>
    <w:basedOn w:val="1"/>
    <w:link w:val="43"/>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42"/>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34"/>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33"/>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16">
    <w:name w:val="annotation subject"/>
    <w:basedOn w:val="11"/>
    <w:next w:val="11"/>
    <w:link w:val="49"/>
    <w:semiHidden/>
    <w:unhideWhenUsed/>
    <w:qFormat/>
    <w:uiPriority w:val="99"/>
    <w:rPr>
      <w:b/>
      <w:bCs/>
    </w:rPr>
  </w:style>
  <w:style w:type="character" w:styleId="19">
    <w:name w:val="Strong"/>
    <w:basedOn w:val="18"/>
    <w:qFormat/>
    <w:uiPriority w:val="22"/>
    <w:rPr>
      <w:b/>
    </w:rPr>
  </w:style>
  <w:style w:type="character" w:styleId="20">
    <w:name w:val="Emphasis"/>
    <w:basedOn w:val="18"/>
    <w:qFormat/>
    <w:uiPriority w:val="20"/>
    <w:rPr>
      <w:i/>
    </w:rPr>
  </w:style>
  <w:style w:type="character" w:styleId="21">
    <w:name w:val="line number"/>
    <w:basedOn w:val="18"/>
    <w:semiHidden/>
    <w:unhideWhenUsed/>
    <w:uiPriority w:val="99"/>
  </w:style>
  <w:style w:type="character" w:styleId="22">
    <w:name w:val="Hyperlink"/>
    <w:basedOn w:val="18"/>
    <w:unhideWhenUsed/>
    <w:qFormat/>
    <w:uiPriority w:val="99"/>
    <w:rPr>
      <w:color w:val="467886" w:themeColor="hyperlink"/>
      <w:u w:val="single"/>
      <w14:textFill>
        <w14:solidFill>
          <w14:schemeClr w14:val="hlink"/>
        </w14:solidFill>
      </w14:textFill>
    </w:rPr>
  </w:style>
  <w:style w:type="character" w:styleId="23">
    <w:name w:val="annotation reference"/>
    <w:basedOn w:val="18"/>
    <w:semiHidden/>
    <w:unhideWhenUsed/>
    <w:qFormat/>
    <w:uiPriority w:val="99"/>
    <w:rPr>
      <w:sz w:val="21"/>
      <w:szCs w:val="21"/>
    </w:rPr>
  </w:style>
  <w:style w:type="character" w:customStyle="1" w:styleId="24">
    <w:name w:val="标题 1 字符"/>
    <w:basedOn w:val="18"/>
    <w:link w:val="2"/>
    <w:qFormat/>
    <w:uiPriority w:val="9"/>
    <w:rPr>
      <w:rFonts w:asciiTheme="majorHAnsi" w:hAnsiTheme="majorHAnsi" w:eastAsiaTheme="majorEastAsia" w:cstheme="majorBidi"/>
      <w:color w:val="104862" w:themeColor="accent1" w:themeShade="BF"/>
      <w:sz w:val="48"/>
      <w:szCs w:val="48"/>
    </w:rPr>
  </w:style>
  <w:style w:type="character" w:customStyle="1" w:styleId="25">
    <w:name w:val="标题 2 字符"/>
    <w:basedOn w:val="18"/>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6">
    <w:name w:val="标题 3 字符"/>
    <w:basedOn w:val="18"/>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7">
    <w:name w:val="标题 4 字符"/>
    <w:basedOn w:val="18"/>
    <w:link w:val="5"/>
    <w:semiHidden/>
    <w:qFormat/>
    <w:uiPriority w:val="9"/>
    <w:rPr>
      <w:rFonts w:cstheme="majorBidi"/>
      <w:color w:val="104862" w:themeColor="accent1" w:themeShade="BF"/>
      <w:sz w:val="28"/>
      <w:szCs w:val="28"/>
    </w:rPr>
  </w:style>
  <w:style w:type="character" w:customStyle="1" w:styleId="28">
    <w:name w:val="标题 5 字符"/>
    <w:basedOn w:val="18"/>
    <w:link w:val="6"/>
    <w:semiHidden/>
    <w:qFormat/>
    <w:uiPriority w:val="9"/>
    <w:rPr>
      <w:rFonts w:cstheme="majorBidi"/>
      <w:color w:val="104862" w:themeColor="accent1" w:themeShade="BF"/>
      <w:sz w:val="24"/>
    </w:rPr>
  </w:style>
  <w:style w:type="character" w:customStyle="1" w:styleId="29">
    <w:name w:val="标题 6 字符"/>
    <w:basedOn w:val="18"/>
    <w:link w:val="7"/>
    <w:semiHidden/>
    <w:qFormat/>
    <w:uiPriority w:val="9"/>
    <w:rPr>
      <w:rFonts w:cstheme="majorBidi"/>
      <w:b/>
      <w:bCs/>
      <w:color w:val="104862" w:themeColor="accent1" w:themeShade="BF"/>
    </w:rPr>
  </w:style>
  <w:style w:type="character" w:customStyle="1" w:styleId="30">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1">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2">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3">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34">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5">
    <w:name w:val="Quote"/>
    <w:basedOn w:val="1"/>
    <w:next w:val="1"/>
    <w:link w:val="36"/>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6">
    <w:name w:val="引用 字符"/>
    <w:basedOn w:val="18"/>
    <w:link w:val="35"/>
    <w:qFormat/>
    <w:uiPriority w:val="29"/>
    <w:rPr>
      <w:i/>
      <w:iCs/>
      <w:color w:val="404040" w:themeColor="text1" w:themeTint="BF"/>
      <w14:textFill>
        <w14:solidFill>
          <w14:schemeClr w14:val="tx1">
            <w14:lumMod w14:val="75000"/>
            <w14:lumOff w14:val="25000"/>
          </w14:schemeClr>
        </w14:solidFill>
      </w14:textFill>
    </w:rPr>
  </w:style>
  <w:style w:type="paragraph" w:styleId="37">
    <w:name w:val="List Paragraph"/>
    <w:basedOn w:val="1"/>
    <w:qFormat/>
    <w:uiPriority w:val="34"/>
    <w:pPr>
      <w:ind w:left="720"/>
      <w:contextualSpacing/>
    </w:pPr>
  </w:style>
  <w:style w:type="character" w:customStyle="1" w:styleId="38">
    <w:name w:val="明显强调1"/>
    <w:basedOn w:val="18"/>
    <w:qFormat/>
    <w:uiPriority w:val="21"/>
    <w:rPr>
      <w:i/>
      <w:iCs/>
      <w:color w:val="104862" w:themeColor="accent1" w:themeShade="BF"/>
    </w:rPr>
  </w:style>
  <w:style w:type="paragraph" w:styleId="39">
    <w:name w:val="Intense Quote"/>
    <w:basedOn w:val="1"/>
    <w:next w:val="1"/>
    <w:link w:val="40"/>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0">
    <w:name w:val="明显引用 字符"/>
    <w:basedOn w:val="18"/>
    <w:link w:val="39"/>
    <w:qFormat/>
    <w:uiPriority w:val="30"/>
    <w:rPr>
      <w:i/>
      <w:iCs/>
      <w:color w:val="104862" w:themeColor="accent1" w:themeShade="BF"/>
    </w:rPr>
  </w:style>
  <w:style w:type="character" w:customStyle="1" w:styleId="41">
    <w:name w:val="明显参考1"/>
    <w:basedOn w:val="18"/>
    <w:qFormat/>
    <w:uiPriority w:val="32"/>
    <w:rPr>
      <w:b/>
      <w:bCs/>
      <w:smallCaps/>
      <w:color w:val="104862" w:themeColor="accent1" w:themeShade="BF"/>
      <w:spacing w:val="5"/>
    </w:rPr>
  </w:style>
  <w:style w:type="character" w:customStyle="1" w:styleId="42">
    <w:name w:val="页眉 字符"/>
    <w:basedOn w:val="18"/>
    <w:link w:val="13"/>
    <w:qFormat/>
    <w:uiPriority w:val="99"/>
    <w:rPr>
      <w:sz w:val="18"/>
      <w:szCs w:val="18"/>
    </w:rPr>
  </w:style>
  <w:style w:type="character" w:customStyle="1" w:styleId="43">
    <w:name w:val="页脚 字符"/>
    <w:basedOn w:val="18"/>
    <w:link w:val="12"/>
    <w:qFormat/>
    <w:uiPriority w:val="99"/>
    <w:rPr>
      <w:sz w:val="18"/>
      <w:szCs w:val="18"/>
    </w:rPr>
  </w:style>
  <w:style w:type="paragraph" w:customStyle="1" w:styleId="44">
    <w:name w:val="Title2"/>
    <w:basedOn w:val="1"/>
    <w:qFormat/>
    <w:uiPriority w:val="0"/>
    <w:pPr>
      <w:widowControl/>
      <w:spacing w:after="0" w:line="240" w:lineRule="auto"/>
    </w:pPr>
    <w:rPr>
      <w:rFonts w:ascii="Times New Roman" w:hAnsi="Times New Roman" w:eastAsia="MS Mincho" w:cs="Times New Roman"/>
      <w:b/>
      <w:kern w:val="0"/>
      <w:sz w:val="24"/>
      <w:lang w:eastAsia="ja-JP"/>
      <w14:ligatures w14:val="none"/>
    </w:rPr>
  </w:style>
  <w:style w:type="character" w:customStyle="1" w:styleId="45">
    <w:name w:val="未处理的提及1"/>
    <w:basedOn w:val="18"/>
    <w:semiHidden/>
    <w:unhideWhenUsed/>
    <w:qFormat/>
    <w:uiPriority w:val="99"/>
    <w:rPr>
      <w:color w:val="605E5C"/>
      <w:shd w:val="clear" w:color="auto" w:fill="E1DFDD"/>
    </w:rPr>
  </w:style>
  <w:style w:type="paragraph" w:customStyle="1" w:styleId="46">
    <w:name w:val="Table of contents"/>
    <w:basedOn w:val="1"/>
    <w:autoRedefine/>
    <w:qFormat/>
    <w:uiPriority w:val="0"/>
    <w:pPr>
      <w:widowControl/>
      <w:spacing w:after="0" w:line="360" w:lineRule="auto"/>
      <w:jc w:val="center"/>
    </w:pPr>
    <w:rPr>
      <w:rFonts w:ascii="Times New Roman" w:hAnsi="Times New Roman" w:eastAsia="MS Mincho" w:cs="Times New Roman"/>
      <w:b/>
      <w:bCs/>
      <w:kern w:val="0"/>
      <w:sz w:val="24"/>
      <w:lang w:eastAsia="ja-JP"/>
      <w14:ligatures w14:val="none"/>
    </w:rPr>
  </w:style>
  <w:style w:type="paragraph" w:customStyle="1" w:styleId="47">
    <w:name w:val="修订1"/>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character" w:customStyle="1" w:styleId="48">
    <w:name w:val="批注文字 字符"/>
    <w:basedOn w:val="18"/>
    <w:link w:val="11"/>
    <w:semiHidden/>
    <w:qFormat/>
    <w:uiPriority w:val="99"/>
    <w:rPr>
      <w:kern w:val="2"/>
      <w:sz w:val="22"/>
      <w:szCs w:val="24"/>
      <w14:ligatures w14:val="standardContextual"/>
    </w:rPr>
  </w:style>
  <w:style w:type="character" w:customStyle="1" w:styleId="49">
    <w:name w:val="批注主题 字符"/>
    <w:basedOn w:val="48"/>
    <w:link w:val="16"/>
    <w:semiHidden/>
    <w:qFormat/>
    <w:uiPriority w:val="99"/>
    <w:rPr>
      <w:b/>
      <w:bCs/>
      <w:kern w:val="2"/>
      <w:sz w:val="22"/>
      <w:szCs w:val="24"/>
      <w14:ligatures w14:val="standardContextual"/>
    </w:rPr>
  </w:style>
  <w:style w:type="character" w:customStyle="1" w:styleId="50">
    <w:name w:val="Main text Char"/>
    <w:link w:val="51"/>
    <w:qFormat/>
    <w:uiPriority w:val="0"/>
    <w:rPr>
      <w:lang w:val="en-US"/>
    </w:rPr>
  </w:style>
  <w:style w:type="paragraph" w:customStyle="1" w:styleId="51">
    <w:name w:val="Main text"/>
    <w:basedOn w:val="1"/>
    <w:link w:val="50"/>
    <w:autoRedefine/>
    <w:qFormat/>
    <w:uiPriority w:val="0"/>
    <w:pPr>
      <w:spacing w:line="480" w:lineRule="auto"/>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footnotes" Target="footnotes.xml"/><Relationship Id="rId29" Type="http://schemas.openxmlformats.org/officeDocument/2006/relationships/image" Target="media/image18.tiff"/><Relationship Id="rId28" Type="http://schemas.openxmlformats.org/officeDocument/2006/relationships/image" Target="media/image17.tiff"/><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tiff"/><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tiff"/><Relationship Id="rId18" Type="http://schemas.openxmlformats.org/officeDocument/2006/relationships/image" Target="media/image7.tiff"/><Relationship Id="rId17" Type="http://schemas.openxmlformats.org/officeDocument/2006/relationships/image" Target="media/image6.png"/><Relationship Id="rId16" Type="http://schemas.openxmlformats.org/officeDocument/2006/relationships/image" Target="media/image5.tiff"/><Relationship Id="rId15" Type="http://schemas.openxmlformats.org/officeDocument/2006/relationships/image" Target="media/image4.tiff"/><Relationship Id="rId14" Type="http://schemas.openxmlformats.org/officeDocument/2006/relationships/image" Target="media/image3.tiff"/><Relationship Id="rId13" Type="http://schemas.openxmlformats.org/officeDocument/2006/relationships/image" Target="media/image2.tiff"/><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8B4D89-DF9A-4DB1-9422-169DAA4A2B88}">
  <ds:schemaRefs/>
</ds:datastoreItem>
</file>

<file path=docProps/app.xml><?xml version="1.0" encoding="utf-8"?>
<Properties xmlns="http://schemas.openxmlformats.org/officeDocument/2006/extended-properties" xmlns:vt="http://schemas.openxmlformats.org/officeDocument/2006/docPropsVTypes">
  <Template>Normal</Template>
  <Pages>19</Pages>
  <Words>2768</Words>
  <Characters>15093</Characters>
  <Lines>235</Lines>
  <Paragraphs>45</Paragraphs>
  <TotalTime>1</TotalTime>
  <ScaleCrop>false</ScaleCrop>
  <LinksUpToDate>false</LinksUpToDate>
  <CharactersWithSpaces>17781</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2025-11-18T02:01:00Z</dcterms:created>
  <dc:creator>W ZINC</dc:creator>
  <cp:lastModifiedBy>翁彬秫</cp:lastModifiedBy>
  <dcterms:modified xsi:type="dcterms:W3CDTF">2025-11-18T02:17:05Z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44EC2A45897D41D4B7A93DDBD9E9D0FE_13</vt:lpwstr>
  </property>
  <property fmtid="{D5CDD505-2E9C-101B-9397-08002B2CF9AE}" pid="4" name="KSOTemplateDocerSaveRecord">
    <vt:lpwstr>eyJoZGlkIjoiYzczNDFlZjQ5YTA3OWM0ZGRlZDQ1YTNhNTIzNmJmNDMiLCJ1c2VySWQiOiI2MjY2Njc0MjMifQ==</vt:lpwstr>
  </property>
</Properties>
</file>