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04D77">
      <w:pPr>
        <w:keepNext w:val="0"/>
        <w:keepLines w:val="0"/>
        <w:widowControl w:val="0"/>
        <w:suppressLineNumbers w:val="0"/>
        <w:jc w:val="center"/>
        <w:rPr>
          <w:rFonts w:hint="default" w:ascii="Times New Roman" w:hAnsi="Times New Roman" w:eastAsia="宋体" w:cs="Times New Roman"/>
          <w:b/>
          <w:color w:val="auto"/>
          <w:sz w:val="28"/>
          <w:szCs w:val="28"/>
          <w:lang w:val="en-US" w:bidi="ar"/>
        </w:rPr>
      </w:pPr>
      <w:r>
        <w:rPr>
          <w:rFonts w:ascii="Times New Roman" w:hAnsi="Times New Roman" w:eastAsia="宋体" w:cs="Times New Roman"/>
          <w:b/>
          <w:bCs w:val="0"/>
          <w:color w:val="auto"/>
          <w:kern w:val="2"/>
          <w:sz w:val="28"/>
          <w:szCs w:val="28"/>
          <w:lang w:val="en-US" w:eastAsia="zh-CN" w:bidi="ar"/>
        </w:rPr>
        <w:t xml:space="preserve">Supplementary </w:t>
      </w:r>
      <w:r>
        <w:rPr>
          <w:rFonts w:hint="eastAsia" w:ascii="Times New Roman" w:hAnsi="Times New Roman" w:eastAsia="宋体" w:cs="Times New Roman"/>
          <w:b/>
          <w:bCs w:val="0"/>
          <w:color w:val="auto"/>
          <w:kern w:val="2"/>
          <w:sz w:val="28"/>
          <w:szCs w:val="28"/>
          <w:lang w:val="en-US" w:eastAsia="zh-CN" w:bidi="ar"/>
        </w:rPr>
        <w:t>I</w:t>
      </w:r>
      <w:r>
        <w:rPr>
          <w:rFonts w:ascii="Times New Roman" w:hAnsi="Times New Roman" w:eastAsia="宋体" w:cs="Times New Roman"/>
          <w:b/>
          <w:bCs w:val="0"/>
          <w:color w:val="auto"/>
          <w:kern w:val="2"/>
          <w:sz w:val="28"/>
          <w:szCs w:val="28"/>
          <w:lang w:val="en-US" w:eastAsia="zh-CN" w:bidi="ar"/>
        </w:rPr>
        <w:t>nformation</w:t>
      </w:r>
      <w:r>
        <w:rPr>
          <w:rFonts w:hint="eastAsia" w:ascii="Times New Roman" w:hAnsi="Times New Roman" w:eastAsia="宋体" w:cs="Times New Roman"/>
          <w:b/>
          <w:bCs w:val="0"/>
          <w:color w:val="auto"/>
          <w:kern w:val="2"/>
          <w:sz w:val="28"/>
          <w:szCs w:val="28"/>
          <w:lang w:val="en-US" w:eastAsia="zh-CN" w:bidi="ar"/>
        </w:rPr>
        <w:t xml:space="preserve"> For</w:t>
      </w:r>
    </w:p>
    <w:p w14:paraId="6DEA5484">
      <w:pPr>
        <w:jc w:val="both"/>
        <w:rPr>
          <w:rStyle w:val="10"/>
          <w:rFonts w:ascii="Times New Roman" w:hAnsi="Times New Roman" w:cs="Times New Roman"/>
        </w:rPr>
      </w:pPr>
      <w:r>
        <w:rPr>
          <w:rFonts w:hint="default" w:ascii="Times New Roman" w:hAnsi="Times New Roman" w:eastAsia="宋体" w:cs="Times New Roman"/>
          <w:b/>
          <w:bCs w:val="0"/>
          <w:kern w:val="2"/>
          <w:sz w:val="24"/>
          <w:szCs w:val="24"/>
          <w:lang w:val="en-US" w:eastAsia="zh-CN" w:bidi="ar"/>
        </w:rPr>
        <w:t>Charge-dependent mitochondrial targeting of cerium-doped polypyrrole nanoparticles to injured renal tubules for acute kidney injury therapy</w:t>
      </w:r>
    </w:p>
    <w:p w14:paraId="76D67E26">
      <w:pPr>
        <w:jc w:val="center"/>
        <w:rPr>
          <w:rStyle w:val="10"/>
          <w:rFonts w:ascii="Times New Roman" w:hAnsi="Times New Roman" w:cs="Times New Roman"/>
        </w:rPr>
      </w:pPr>
    </w:p>
    <w:p w14:paraId="1A221404">
      <w:pPr>
        <w:jc w:val="center"/>
        <w:rPr>
          <w:rFonts w:ascii="Times New Roman" w:hAnsi="Times New Roman" w:cs="Times New Roman"/>
          <w:i/>
          <w:iCs/>
          <w:sz w:val="24"/>
        </w:rPr>
      </w:pPr>
      <w:r>
        <w:rPr>
          <w:rFonts w:ascii="Times New Roman" w:hAnsi="Times New Roman" w:cs="Times New Roman"/>
          <w:sz w:val="24"/>
        </w:rPr>
        <w:t>Mengjie Huang</w:t>
      </w:r>
      <w:r>
        <w:rPr>
          <w:rFonts w:hint="eastAsia" w:ascii="Times New Roman" w:hAnsi="Times New Roman" w:cs="Times New Roman"/>
          <w:sz w:val="24"/>
          <w:lang w:val="en-US" w:eastAsia="zh-CN"/>
        </w:rPr>
        <w:t xml:space="preserve"> </w:t>
      </w:r>
      <w:r>
        <w:rPr>
          <w:rFonts w:ascii="Times New Roman" w:hAnsi="Times New Roman" w:cs="Times New Roman"/>
          <w:i/>
          <w:iCs/>
          <w:sz w:val="24"/>
        </w:rPr>
        <w:t>et al.</w:t>
      </w:r>
    </w:p>
    <w:p w14:paraId="28A23F15">
      <w:pPr>
        <w:jc w:val="both"/>
        <w:rPr>
          <w:rFonts w:ascii="Times New Roman" w:hAnsi="Times New Roman" w:cs="Times New Roman"/>
          <w:i/>
          <w:iCs/>
          <w:sz w:val="24"/>
        </w:rPr>
      </w:pPr>
    </w:p>
    <w:p w14:paraId="44C63DE9">
      <w:pPr>
        <w:spacing w:line="480" w:lineRule="auto"/>
        <w:rPr>
          <w:rFonts w:ascii="Times New Roman" w:hAnsi="Times New Roman" w:eastAsia="等线" w:cs="Times New Roman"/>
          <w:b/>
          <w:bCs/>
          <w:sz w:val="24"/>
          <w:szCs w:val="24"/>
        </w:rPr>
      </w:pPr>
      <w:r>
        <w:rPr>
          <w:rFonts w:ascii="Times New Roman" w:hAnsi="Times New Roman" w:eastAsia="等线" w:cs="Times New Roman"/>
          <w:b/>
          <w:bCs/>
          <w:sz w:val="24"/>
          <w:szCs w:val="24"/>
        </w:rPr>
        <w:t xml:space="preserve">Supplementary </w:t>
      </w:r>
      <w:r>
        <w:rPr>
          <w:rFonts w:hint="eastAsia" w:ascii="Times New Roman" w:hAnsi="Times New Roman" w:eastAsia="等线" w:cs="Times New Roman"/>
          <w:b/>
          <w:bCs/>
          <w:sz w:val="24"/>
          <w:szCs w:val="24"/>
        </w:rPr>
        <w:t>Figures</w:t>
      </w:r>
    </w:p>
    <w:p w14:paraId="09AA7DF7">
      <w:pPr>
        <w:jc w:val="center"/>
        <w:rPr>
          <w:rFonts w:ascii="Times New Roman" w:hAnsi="Times New Roman" w:cs="Times New Roman"/>
          <w:sz w:val="20"/>
          <w:szCs w:val="20"/>
        </w:rPr>
      </w:pPr>
      <w:r>
        <w:rPr>
          <w:rFonts w:ascii="Times New Roman" w:hAnsi="Times New Roman" w:cs="Times New Roman"/>
          <w:sz w:val="20"/>
          <w:szCs w:val="20"/>
        </w:rPr>
        <w:drawing>
          <wp:inline distT="0" distB="0" distL="0" distR="0">
            <wp:extent cx="4566285" cy="3133725"/>
            <wp:effectExtent l="0" t="0" r="5715" b="9525"/>
            <wp:docPr id="4203644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64443" name="图片 4"/>
                    <pic:cNvPicPr>
                      <a:picLocks noChangeAspect="1"/>
                    </pic:cNvPicPr>
                  </pic:nvPicPr>
                  <pic:blipFill>
                    <a:blip r:embed="rId5"/>
                    <a:stretch>
                      <a:fillRect/>
                    </a:stretch>
                  </pic:blipFill>
                  <pic:spPr>
                    <a:xfrm>
                      <a:off x="0" y="0"/>
                      <a:ext cx="4566285" cy="3133725"/>
                    </a:xfrm>
                    <a:prstGeom prst="rect">
                      <a:avLst/>
                    </a:prstGeom>
                  </pic:spPr>
                </pic:pic>
              </a:graphicData>
            </a:graphic>
          </wp:inline>
        </w:drawing>
      </w:r>
    </w:p>
    <w:p w14:paraId="4437819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w:t>
      </w:r>
      <w:r>
        <w:rPr>
          <w:rFonts w:hint="default" w:ascii="Times New Roman" w:hAnsi="Times New Roman" w:cs="Times New Roman"/>
          <w:b/>
          <w:bCs/>
          <w:sz w:val="24"/>
          <w:szCs w:val="24"/>
        </w:rPr>
        <w:t>1. Energy dispersive X-ray spectra of CePPy.</w:t>
      </w:r>
    </w:p>
    <w:p w14:paraId="581DE830">
      <w:pPr>
        <w:jc w:val="center"/>
        <w:rPr>
          <w:rFonts w:hint="default" w:ascii="Times New Roman" w:hAnsi="Times New Roman" w:cs="Times New Roman"/>
          <w:b/>
          <w:bCs/>
          <w:sz w:val="24"/>
          <w:szCs w:val="24"/>
        </w:rPr>
      </w:pPr>
    </w:p>
    <w:p w14:paraId="2F0FA80F">
      <w:pPr>
        <w:jc w:val="both"/>
        <w:rPr>
          <w:rFonts w:hint="default" w:ascii="Times New Roman" w:hAnsi="Times New Roman" w:cs="Times New Roman"/>
          <w:b w:val="0"/>
          <w:bCs w:val="0"/>
          <w:sz w:val="24"/>
          <w:szCs w:val="24"/>
          <w:lang w:val="en-US" w:eastAsia="zh-CN"/>
        </w:rPr>
      </w:pPr>
    </w:p>
    <w:p w14:paraId="22811B39">
      <w:pPr>
        <w:jc w:val="center"/>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4806315" cy="2612390"/>
            <wp:effectExtent l="0" t="0" r="13335" b="16510"/>
            <wp:docPr id="15" name="图片 15" descr="肝细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肝细胞"/>
                    <pic:cNvPicPr>
                      <a:picLocks noChangeAspect="1"/>
                    </pic:cNvPicPr>
                  </pic:nvPicPr>
                  <pic:blipFill>
                    <a:blip r:embed="rId6"/>
                    <a:stretch>
                      <a:fillRect/>
                    </a:stretch>
                  </pic:blipFill>
                  <pic:spPr>
                    <a:xfrm>
                      <a:off x="0" y="0"/>
                      <a:ext cx="4806315" cy="2612390"/>
                    </a:xfrm>
                    <a:prstGeom prst="rect">
                      <a:avLst/>
                    </a:prstGeom>
                  </pic:spPr>
                </pic:pic>
              </a:graphicData>
            </a:graphic>
          </wp:inline>
        </w:drawing>
      </w:r>
    </w:p>
    <w:p w14:paraId="7AF87041">
      <w:pPr>
        <w:jc w:val="center"/>
        <w:rPr>
          <w:rFonts w:hint="eastAsia"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S2</w:t>
      </w:r>
      <w:r>
        <w:rPr>
          <w:rFonts w:hint="default" w:ascii="Times New Roman" w:hAnsi="Times New Roman" w:cs="Times New Roman"/>
          <w:b/>
          <w:bCs/>
          <w:sz w:val="24"/>
          <w:szCs w:val="24"/>
        </w:rPr>
        <w:t>.</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Charge-dependent cellular uptake of (+)/(-)CePPy-Cy5 in AML12 hepatocytes.</w:t>
      </w:r>
    </w:p>
    <w:p w14:paraId="456D3DD0">
      <w:pPr>
        <w:widowControl/>
        <w:jc w:val="both"/>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To validate this charge-dependent uptake in vitro, we performed time-course kinetic studies in AML12 hepatocytes incubated with (+)/(-)CePPy-Cy5, monitored via high-content imaging. Compared with (-)CePPy, (+)CePPy exhibited significantly faster uptake and enhanced internalization.</w:t>
      </w:r>
    </w:p>
    <w:p w14:paraId="4C38E759">
      <w:pPr>
        <w:widowControl/>
        <w:jc w:val="left"/>
        <w:rPr>
          <w:rFonts w:hint="eastAsia" w:ascii="Times New Roman" w:hAnsi="Times New Roman" w:cs="Times New Roman"/>
          <w:b w:val="0"/>
          <w:bCs w:val="0"/>
          <w:sz w:val="24"/>
          <w:szCs w:val="24"/>
          <w:lang w:val="en-US" w:eastAsia="zh-CN"/>
        </w:rPr>
      </w:pPr>
    </w:p>
    <w:p w14:paraId="6CE395A4">
      <w:pPr>
        <w:jc w:val="center"/>
        <w:rPr>
          <w:rFonts w:hint="default" w:ascii="Times New Roman" w:hAnsi="Times New Roman" w:cs="Times New Roman"/>
          <w:b/>
          <w:bCs/>
          <w:sz w:val="24"/>
          <w:szCs w:val="24"/>
        </w:rPr>
      </w:pPr>
    </w:p>
    <w:p w14:paraId="1FEDEF74">
      <w:pPr>
        <w:jc w:val="center"/>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2607945" cy="2689860"/>
            <wp:effectExtent l="0" t="0" r="1905" b="15240"/>
            <wp:docPr id="16" name="图片 16" descr="正负电荷肝脏-小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正负电荷肝脏-小鼠"/>
                    <pic:cNvPicPr>
                      <a:picLocks noChangeAspect="1"/>
                    </pic:cNvPicPr>
                  </pic:nvPicPr>
                  <pic:blipFill>
                    <a:blip r:embed="rId7"/>
                    <a:stretch>
                      <a:fillRect/>
                    </a:stretch>
                  </pic:blipFill>
                  <pic:spPr>
                    <a:xfrm>
                      <a:off x="0" y="0"/>
                      <a:ext cx="2607945" cy="2689860"/>
                    </a:xfrm>
                    <a:prstGeom prst="rect">
                      <a:avLst/>
                    </a:prstGeom>
                  </pic:spPr>
                </pic:pic>
              </a:graphicData>
            </a:graphic>
          </wp:inline>
        </w:drawing>
      </w:r>
    </w:p>
    <w:p w14:paraId="20BCD523">
      <w:pPr>
        <w:jc w:val="center"/>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S3</w:t>
      </w:r>
      <w:r>
        <w:rPr>
          <w:rFonts w:hint="default" w:ascii="Times New Roman" w:hAnsi="Times New Roman" w:cs="Times New Roman"/>
          <w:b/>
          <w:bCs/>
          <w:sz w:val="24"/>
          <w:szCs w:val="24"/>
        </w:rPr>
        <w:t>.</w:t>
      </w:r>
      <w:r>
        <w:rPr>
          <w:rFonts w:hint="eastAsia" w:ascii="Times New Roman" w:hAnsi="Times New Roman" w:cs="Times New Roman"/>
          <w:b/>
          <w:bCs/>
          <w:sz w:val="24"/>
          <w:szCs w:val="24"/>
          <w:lang w:val="en-US" w:eastAsia="zh-CN"/>
        </w:rPr>
        <w:t xml:space="preserve"> Charge-dependent hepatic uptake of (+)/(-)CePPy-Cy5.</w:t>
      </w:r>
    </w:p>
    <w:p w14:paraId="07FD26EA">
      <w:pPr>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To validate the authenticity of the in vivo hepatic fluorescent signals</w:t>
      </w:r>
      <w:r>
        <w:rPr>
          <w:rFonts w:hint="eastAsia" w:ascii="Times New Roman" w:hAnsi="Times New Roman" w:cs="Times New Roman"/>
          <w:b w:val="0"/>
          <w:bCs w:val="0"/>
          <w:sz w:val="24"/>
          <w:szCs w:val="24"/>
          <w:lang w:val="en-US" w:eastAsia="zh-CN"/>
        </w:rPr>
        <w:t xml:space="preserve"> in Fig. 2A</w:t>
      </w:r>
      <w:r>
        <w:rPr>
          <w:rFonts w:hint="default" w:ascii="Times New Roman" w:hAnsi="Times New Roman" w:cs="Times New Roman"/>
          <w:b w:val="0"/>
          <w:bCs w:val="0"/>
          <w:sz w:val="24"/>
          <w:szCs w:val="24"/>
          <w:lang w:val="en-US" w:eastAsia="zh-CN"/>
        </w:rPr>
        <w:t>, liver tissues were collected from mice injected with equal doses of (+)CePPy-Cy5 or (–)CePPy-Cy5 at 1 hour post-injection for frozen section preparation and fluorescence microscopic examination. In the (+)CePPy group, extensive and intense red fluorescence was distributed uniformly throughout the hepatic parenchyma, particularly within the hepatic cord structures, consistent with the typical localization of hepatocytes. In contrast, liver sections from the (–)CePPy group exhibited only sparse and weak fluorescent spots, mainly localized around sinusoidal areas that correspond to the distribution of hepatic macrophages, with an overall signal intensity significantly lower than that of the (+)CePPy group.</w:t>
      </w:r>
    </w:p>
    <w:p w14:paraId="5614ECA0">
      <w:pPr>
        <w:jc w:val="both"/>
        <w:rPr>
          <w:rFonts w:hint="default" w:ascii="Times New Roman" w:hAnsi="Times New Roman" w:cs="Times New Roman"/>
          <w:b w:val="0"/>
          <w:bCs w:val="0"/>
          <w:sz w:val="24"/>
          <w:szCs w:val="24"/>
          <w:lang w:val="en-US" w:eastAsia="zh-CN"/>
        </w:rPr>
      </w:pPr>
    </w:p>
    <w:p w14:paraId="262B33CC">
      <w:pPr>
        <w:widowControl/>
        <w:jc w:val="left"/>
        <w:rPr>
          <w:rFonts w:hint="eastAsia" w:ascii="Times New Roman" w:hAnsi="Times New Roman" w:cs="Times New Roman"/>
          <w:b w:val="0"/>
          <w:bCs w:val="0"/>
          <w:sz w:val="24"/>
          <w:szCs w:val="24"/>
          <w:lang w:val="en-US" w:eastAsia="zh-CN"/>
        </w:rPr>
      </w:pPr>
    </w:p>
    <w:p w14:paraId="1DD0FF3C">
      <w:pPr>
        <w:jc w:val="center"/>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2620010" cy="2620010"/>
            <wp:effectExtent l="0" t="0" r="8890" b="8890"/>
            <wp:docPr id="1" name="图片 1"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S1"/>
                    <pic:cNvPicPr>
                      <a:picLocks noChangeAspect="1"/>
                    </pic:cNvPicPr>
                  </pic:nvPicPr>
                  <pic:blipFill>
                    <a:blip r:embed="rId8"/>
                    <a:stretch>
                      <a:fillRect/>
                    </a:stretch>
                  </pic:blipFill>
                  <pic:spPr>
                    <a:xfrm>
                      <a:off x="0" y="0"/>
                      <a:ext cx="2620010" cy="2620010"/>
                    </a:xfrm>
                    <a:prstGeom prst="rect">
                      <a:avLst/>
                    </a:prstGeom>
                  </pic:spPr>
                </pic:pic>
              </a:graphicData>
            </a:graphic>
          </wp:inline>
        </w:drawing>
      </w:r>
    </w:p>
    <w:p w14:paraId="75DC5325">
      <w:pPr>
        <w:jc w:val="center"/>
        <w:rPr>
          <w:rFonts w:ascii="Times New Roman" w:hAnsi="Times New Roman" w:cs="Times New Roman"/>
          <w:b/>
          <w:bCs/>
          <w:sz w:val="24"/>
          <w:szCs w:val="24"/>
        </w:rPr>
      </w:pPr>
      <w:bookmarkStart w:id="0" w:name="_Hlk187773841"/>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S4</w:t>
      </w:r>
      <w:r>
        <w:rPr>
          <w:rFonts w:hint="default" w:ascii="Times New Roman" w:hAnsi="Times New Roman" w:cs="Times New Roman"/>
          <w:b/>
          <w:bCs/>
          <w:sz w:val="24"/>
          <w:szCs w:val="24"/>
        </w:rPr>
        <w:t>.</w:t>
      </w:r>
      <w:bookmarkEnd w:id="0"/>
      <w:r>
        <w:rPr>
          <w:rFonts w:hint="default" w:ascii="Times New Roman" w:hAnsi="Times New Roman" w:cs="Times New Roman"/>
          <w:b/>
          <w:bCs/>
          <w:sz w:val="24"/>
          <w:szCs w:val="24"/>
        </w:rPr>
        <w:t xml:space="preserve"> PTECs were incubated with pure Cy5 dye.</w:t>
      </w:r>
    </w:p>
    <w:p w14:paraId="5224318D">
      <w:pPr>
        <w:rPr>
          <w:rFonts w:hint="default" w:ascii="Times New Roman" w:hAnsi="Times New Roman" w:cs="Times New Roman"/>
          <w:sz w:val="24"/>
          <w:szCs w:val="24"/>
        </w:rPr>
      </w:pPr>
      <w:r>
        <w:rPr>
          <w:rFonts w:hint="default" w:ascii="Times New Roman" w:hAnsi="Times New Roman" w:cs="Times New Roman"/>
          <w:sz w:val="24"/>
          <w:szCs w:val="24"/>
        </w:rPr>
        <w:t>Cy5 fluorescence signal from pure Cy5 dye exhibited a diffuse cytoplasmic distribution in PTECs without specific targeting to any organelle.</w:t>
      </w:r>
    </w:p>
    <w:p w14:paraId="1A8B0652">
      <w:pPr>
        <w:rPr>
          <w:rFonts w:hint="default" w:ascii="Times New Roman" w:hAnsi="Times New Roman" w:cs="Times New Roman"/>
          <w:sz w:val="24"/>
          <w:szCs w:val="24"/>
        </w:rPr>
      </w:pPr>
    </w:p>
    <w:p w14:paraId="0F33D9F3">
      <w:pPr>
        <w:rPr>
          <w:rFonts w:hint="default" w:ascii="Times New Roman" w:hAnsi="Times New Roman" w:cs="Times New Roman"/>
          <w:sz w:val="24"/>
          <w:szCs w:val="24"/>
        </w:rPr>
      </w:pPr>
    </w:p>
    <w:p w14:paraId="518DBDCC">
      <w:pPr>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5102860" cy="1790065"/>
            <wp:effectExtent l="0" t="0" r="2540" b="63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9"/>
                    <a:stretch>
                      <a:fillRect/>
                    </a:stretch>
                  </pic:blipFill>
                  <pic:spPr>
                    <a:xfrm>
                      <a:off x="0" y="0"/>
                      <a:ext cx="5102860" cy="1790065"/>
                    </a:xfrm>
                    <a:prstGeom prst="rect">
                      <a:avLst/>
                    </a:prstGeom>
                    <a:noFill/>
                    <a:ln>
                      <a:noFill/>
                    </a:ln>
                  </pic:spPr>
                </pic:pic>
              </a:graphicData>
            </a:graphic>
          </wp:inline>
        </w:drawing>
      </w:r>
    </w:p>
    <w:p w14:paraId="45B71134">
      <w:pPr>
        <w:ind w:left="-2" w:leftChars="-1"/>
        <w:jc w:val="center"/>
        <w:rPr>
          <w:rFonts w:ascii="Times New Roman" w:hAnsi="Times New Roman" w:cs="Times New Roman"/>
          <w:b/>
          <w:bCs/>
          <w:sz w:val="24"/>
          <w:szCs w:val="24"/>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S5</w:t>
      </w:r>
      <w:r>
        <w:rPr>
          <w:rFonts w:hint="default" w:ascii="Times New Roman" w:hAnsi="Times New Roman" w:cs="Times New Roman"/>
          <w:b/>
          <w:bCs/>
          <w:sz w:val="24"/>
          <w:szCs w:val="24"/>
        </w:rPr>
        <w:t>. Intravital microscopic imaging of uptake of Cy5 dye uptake in renal proximal tubules.</w:t>
      </w:r>
    </w:p>
    <w:p w14:paraId="1397B823">
      <w:pPr>
        <w:rPr>
          <w:rFonts w:hint="default" w:ascii="Times New Roman" w:hAnsi="Times New Roman" w:cs="Times New Roman"/>
          <w:sz w:val="24"/>
          <w:szCs w:val="24"/>
        </w:rPr>
      </w:pPr>
      <w:r>
        <w:rPr>
          <w:rFonts w:hint="default" w:ascii="Times New Roman" w:hAnsi="Times New Roman" w:cs="Times New Roman"/>
          <w:sz w:val="24"/>
          <w:szCs w:val="24"/>
        </w:rPr>
        <w:t>Representative intravital microscopy images of kidneys from mice injected intravenously with pure Cy5 dye. The Cy5 fluorescence signal rapidly and uniformly spread across the entire proximal tubules within 10 seconds post-injection.</w:t>
      </w:r>
    </w:p>
    <w:p w14:paraId="25680172">
      <w:pPr>
        <w:rPr>
          <w:rFonts w:hint="default" w:ascii="Times New Roman" w:hAnsi="Times New Roman" w:cs="Times New Roman"/>
          <w:sz w:val="24"/>
          <w:szCs w:val="24"/>
        </w:rPr>
      </w:pPr>
    </w:p>
    <w:p w14:paraId="68FDC17E">
      <w:pPr>
        <w:jc w:val="center"/>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69230" cy="4276090"/>
            <wp:effectExtent l="0" t="0" r="7620" b="10160"/>
            <wp:docPr id="21" name="图片 21"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未标题-1"/>
                    <pic:cNvPicPr>
                      <a:picLocks noChangeAspect="1"/>
                    </pic:cNvPicPr>
                  </pic:nvPicPr>
                  <pic:blipFill>
                    <a:blip r:embed="rId10"/>
                    <a:stretch>
                      <a:fillRect/>
                    </a:stretch>
                  </pic:blipFill>
                  <pic:spPr>
                    <a:xfrm>
                      <a:off x="0" y="0"/>
                      <a:ext cx="5269230" cy="4276090"/>
                    </a:xfrm>
                    <a:prstGeom prst="rect">
                      <a:avLst/>
                    </a:prstGeom>
                  </pic:spPr>
                </pic:pic>
              </a:graphicData>
            </a:graphic>
          </wp:inline>
        </w:drawing>
      </w:r>
    </w:p>
    <w:p w14:paraId="4BA40B7D">
      <w:pPr>
        <w:jc w:val="center"/>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S6</w:t>
      </w:r>
      <w:r>
        <w:rPr>
          <w:rFonts w:hint="default" w:ascii="Times New Roman" w:hAnsi="Times New Roman" w:cs="Times New Roman"/>
          <w:b/>
          <w:bCs/>
          <w:sz w:val="24"/>
          <w:szCs w:val="24"/>
        </w:rPr>
        <w:t>.</w:t>
      </w:r>
      <w:bookmarkStart w:id="1" w:name="OLE_LINK141"/>
      <w:bookmarkStart w:id="2" w:name="OLE_LINK142"/>
      <w:r>
        <w:rPr>
          <w:rFonts w:hint="eastAsia" w:ascii="Times New Roman" w:hAnsi="Times New Roman" w:cs="Times New Roman"/>
          <w:b/>
          <w:bCs/>
          <w:sz w:val="24"/>
          <w:szCs w:val="24"/>
          <w:lang w:val="en-US" w:eastAsia="zh-CN"/>
        </w:rPr>
        <w:t xml:space="preserve"> Renal accumulation dynamics of (+)CePPy-Cy5 and free Cy5.</w:t>
      </w:r>
    </w:p>
    <w:p w14:paraId="3E6CB263">
      <w:pPr>
        <w:rPr>
          <w:rFonts w:hint="default" w:ascii="Times New Roman" w:hAnsi="Times New Roman" w:eastAsia="宋体" w:cs="Times New Roman"/>
          <w:color w:val="auto"/>
          <w:sz w:val="24"/>
          <w:szCs w:val="24"/>
          <w:lang w:val="en-US" w:eastAsia="zh-CN" w:bidi="ar"/>
        </w:rPr>
      </w:pPr>
      <w:r>
        <w:rPr>
          <w:rFonts w:hint="default" w:ascii="Times New Roman" w:hAnsi="Times New Roman" w:eastAsia="宋体" w:cs="Times New Roman"/>
          <w:color w:val="auto"/>
          <w:sz w:val="24"/>
          <w:szCs w:val="24"/>
          <w:lang w:val="en-US" w:eastAsia="zh-CN" w:bidi="ar"/>
        </w:rPr>
        <w:t xml:space="preserve">Representative fluorescent images of mouse kidneys at </w:t>
      </w:r>
      <w:r>
        <w:rPr>
          <w:rFonts w:hint="eastAsia" w:ascii="Times New Roman" w:hAnsi="Times New Roman" w:eastAsia="宋体" w:cs="Times New Roman"/>
          <w:color w:val="auto"/>
          <w:sz w:val="24"/>
          <w:szCs w:val="24"/>
          <w:lang w:val="en-US" w:eastAsia="zh-CN" w:bidi="ar"/>
        </w:rPr>
        <w:t>10</w:t>
      </w:r>
      <w:r>
        <w:rPr>
          <w:rFonts w:hint="default" w:ascii="Times New Roman" w:hAnsi="Times New Roman" w:eastAsia="宋体" w:cs="Times New Roman"/>
          <w:color w:val="auto"/>
          <w:sz w:val="24"/>
          <w:szCs w:val="24"/>
          <w:lang w:val="en-US" w:eastAsia="zh-CN" w:bidi="ar"/>
        </w:rPr>
        <w:t xml:space="preserve"> </w:t>
      </w:r>
      <w:r>
        <w:rPr>
          <w:rFonts w:hint="eastAsia" w:ascii="Times New Roman" w:hAnsi="Times New Roman" w:eastAsia="宋体" w:cs="Times New Roman"/>
          <w:color w:val="auto"/>
          <w:sz w:val="24"/>
          <w:szCs w:val="24"/>
          <w:lang w:val="en-US" w:eastAsia="zh-CN" w:bidi="ar"/>
        </w:rPr>
        <w:t xml:space="preserve">secomds </w:t>
      </w:r>
      <w:r>
        <w:rPr>
          <w:rFonts w:hint="default" w:ascii="Times New Roman" w:hAnsi="Times New Roman" w:eastAsia="宋体" w:cs="Times New Roman"/>
          <w:color w:val="auto"/>
          <w:sz w:val="24"/>
          <w:szCs w:val="24"/>
          <w:lang w:val="en-US" w:eastAsia="zh-CN" w:bidi="ar"/>
        </w:rPr>
        <w:t xml:space="preserve">and 1 hour after intravenous injection of (+)CePPy-Cy5 or free Cy5. </w:t>
      </w:r>
    </w:p>
    <w:bookmarkEnd w:id="1"/>
    <w:bookmarkEnd w:id="2"/>
    <w:p w14:paraId="2AD41628">
      <w:pPr>
        <w:jc w:val="left"/>
        <w:rPr>
          <w:rFonts w:hint="eastAsia" w:ascii="Times New Roman" w:hAnsi="Times New Roman" w:eastAsia="宋体" w:cs="Times New Roman"/>
          <w:color w:val="auto"/>
          <w:sz w:val="24"/>
          <w:szCs w:val="24"/>
          <w:lang w:val="en-US" w:eastAsia="zh-CN" w:bidi="ar"/>
        </w:rPr>
      </w:pPr>
      <w:r>
        <w:rPr>
          <w:rFonts w:hint="default" w:ascii="Times New Roman" w:hAnsi="Times New Roman" w:eastAsia="宋体" w:cs="Times New Roman"/>
          <w:color w:val="auto"/>
          <w:sz w:val="24"/>
          <w:szCs w:val="24"/>
          <w:lang w:val="en-US" w:eastAsia="zh-CN" w:bidi="ar"/>
        </w:rPr>
        <w:t>Red indicates Cy5 fluorescence, and green labels the renal</w:t>
      </w:r>
      <w:r>
        <w:rPr>
          <w:rFonts w:hint="eastAsia" w:ascii="Times New Roman" w:hAnsi="Times New Roman" w:eastAsia="宋体" w:cs="Times New Roman"/>
          <w:color w:val="auto"/>
          <w:sz w:val="24"/>
          <w:szCs w:val="24"/>
          <w:lang w:val="en-US" w:eastAsia="zh-CN" w:bidi="ar"/>
        </w:rPr>
        <w:t xml:space="preserve"> </w:t>
      </w:r>
      <w:r>
        <w:rPr>
          <w:rFonts w:hint="default" w:ascii="Times New Roman" w:hAnsi="Times New Roman" w:eastAsia="宋体" w:cs="Times New Roman"/>
          <w:color w:val="auto"/>
          <w:sz w:val="24"/>
          <w:szCs w:val="24"/>
          <w:lang w:val="en-US" w:eastAsia="zh-CN" w:bidi="ar"/>
        </w:rPr>
        <w:t>microvasculature.</w:t>
      </w:r>
      <w:r>
        <w:rPr>
          <w:rFonts w:hint="eastAsia" w:ascii="Times New Roman" w:hAnsi="Times New Roman" w:eastAsia="宋体" w:cs="Times New Roman"/>
          <w:color w:val="auto"/>
          <w:sz w:val="24"/>
          <w:szCs w:val="24"/>
          <w:lang w:val="en-US" w:eastAsia="zh-CN" w:bidi="ar"/>
        </w:rPr>
        <w:t xml:space="preserve"> </w:t>
      </w:r>
    </w:p>
    <w:p w14:paraId="5E5D0FDC">
      <w:pPr>
        <w:jc w:val="left"/>
        <w:rPr>
          <w:rFonts w:hint="eastAsia" w:ascii="Times New Roman" w:hAnsi="Times New Roman" w:eastAsia="宋体" w:cs="Times New Roman"/>
          <w:color w:val="auto"/>
          <w:sz w:val="24"/>
          <w:szCs w:val="24"/>
          <w:lang w:val="en-US" w:eastAsia="zh-CN" w:bidi="ar"/>
        </w:rPr>
      </w:pPr>
    </w:p>
    <w:p w14:paraId="4C789191">
      <w:pPr>
        <w:jc w:val="left"/>
        <w:rPr>
          <w:rFonts w:hint="eastAsia" w:ascii="Times New Roman" w:hAnsi="Times New Roman" w:eastAsia="宋体" w:cs="Times New Roman"/>
          <w:color w:val="auto"/>
          <w:sz w:val="24"/>
          <w:szCs w:val="24"/>
          <w:lang w:val="en-US" w:eastAsia="zh-CN" w:bidi="ar"/>
        </w:rPr>
      </w:pPr>
    </w:p>
    <w:p w14:paraId="0EFC84D0">
      <w:pPr>
        <w:jc w:val="left"/>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73675" cy="3213735"/>
            <wp:effectExtent l="0" t="0" r="3175" b="5715"/>
            <wp:docPr id="6" name="图片 6"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未标题-1"/>
                    <pic:cNvPicPr>
                      <a:picLocks noChangeAspect="1"/>
                    </pic:cNvPicPr>
                  </pic:nvPicPr>
                  <pic:blipFill>
                    <a:blip r:embed="rId11"/>
                    <a:stretch>
                      <a:fillRect/>
                    </a:stretch>
                  </pic:blipFill>
                  <pic:spPr>
                    <a:xfrm>
                      <a:off x="0" y="0"/>
                      <a:ext cx="5273675" cy="3213735"/>
                    </a:xfrm>
                    <a:prstGeom prst="rect">
                      <a:avLst/>
                    </a:prstGeom>
                  </pic:spPr>
                </pic:pic>
              </a:graphicData>
            </a:graphic>
          </wp:inline>
        </w:drawing>
      </w:r>
    </w:p>
    <w:p w14:paraId="0D0E236A">
      <w:pPr>
        <w:jc w:val="center"/>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S7</w:t>
      </w:r>
      <w:r>
        <w:rPr>
          <w:rFonts w:hint="default" w:ascii="Times New Roman" w:hAnsi="Times New Roman" w:cs="Times New Roman"/>
          <w:b/>
          <w:bCs/>
          <w:sz w:val="24"/>
          <w:szCs w:val="24"/>
        </w:rPr>
        <w:t xml:space="preserve">. </w:t>
      </w:r>
      <w:r>
        <w:rPr>
          <w:rFonts w:hint="eastAsia" w:ascii="Times New Roman" w:hAnsi="Times New Roman" w:cs="Times New Roman"/>
          <w:b/>
          <w:bCs/>
          <w:sz w:val="24"/>
          <w:szCs w:val="24"/>
          <w:lang w:val="en-US" w:eastAsia="zh-CN"/>
        </w:rPr>
        <w:t>Transcriptomic analysis of Eea1 expression in acute kidney, liver, and lung injury.</w:t>
      </w:r>
    </w:p>
    <w:p w14:paraId="3CCA7435">
      <w:pPr>
        <w:numPr>
          <w:ilvl w:val="0"/>
          <w:numId w:val="0"/>
        </w:numPr>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 xml:space="preserve">A </w:t>
      </w:r>
      <w:r>
        <w:rPr>
          <w:rFonts w:hint="eastAsia" w:ascii="Times New Roman" w:hAnsi="Times New Roman" w:cs="Times New Roman"/>
          <w:b w:val="0"/>
          <w:bCs w:val="0"/>
          <w:sz w:val="24"/>
          <w:szCs w:val="24"/>
          <w:lang w:val="en-US" w:eastAsia="zh-CN"/>
        </w:rPr>
        <w:t xml:space="preserve">Renal Eea1 expression at different time points in a mouse IRI-AKI model, as shown in a single-cell RNA-sequencing dataset (GSE190887). </w:t>
      </w:r>
      <w:r>
        <w:rPr>
          <w:rFonts w:hint="eastAsia" w:ascii="Times New Roman" w:hAnsi="Times New Roman" w:cs="Times New Roman"/>
          <w:b/>
          <w:bCs/>
          <w:sz w:val="24"/>
          <w:szCs w:val="24"/>
          <w:lang w:val="en-US" w:eastAsia="zh-CN"/>
        </w:rPr>
        <w:t>B</w:t>
      </w:r>
      <w:r>
        <w:rPr>
          <w:rFonts w:hint="eastAsia" w:ascii="Times New Roman" w:hAnsi="Times New Roman" w:cs="Times New Roman"/>
          <w:b w:val="0"/>
          <w:bCs w:val="0"/>
          <w:sz w:val="24"/>
          <w:szCs w:val="24"/>
          <w:lang w:val="en-US" w:eastAsia="zh-CN"/>
        </w:rPr>
        <w:t xml:space="preserve"> Renal Eea1 expression across various renal cell types. PT, proximal tubule; PT-Inj, injured PT; PT-R, repairing PT; FR-PT, failed repair PT; ATL, thin ascending limb of LoH;  DCT, di</w:t>
      </w:r>
      <w:r>
        <w:rPr>
          <w:rFonts w:hint="default" w:ascii="Times New Roman" w:hAnsi="Times New Roman" w:cs="Times New Roman"/>
          <w:b w:val="0"/>
          <w:bCs w:val="0"/>
          <w:sz w:val="24"/>
          <w:szCs w:val="24"/>
          <w:lang w:val="en-US" w:eastAsia="zh-CN"/>
        </w:rPr>
        <w:t xml:space="preserve">stal convoluted tubule; CNT, connecting tubule; ICB, type B intercalated cell of collecting duct; Fib, ﬁbroblast; Myoﬁb, myoﬁbroblast; EC, endothelial cell; Ma, macrophage; Uro, urothelium. </w:t>
      </w:r>
      <w:r>
        <w:rPr>
          <w:rFonts w:hint="default" w:ascii="Times New Roman" w:hAnsi="Times New Roman" w:cs="Times New Roman"/>
          <w:b/>
          <w:bCs/>
          <w:sz w:val="24"/>
          <w:szCs w:val="24"/>
          <w:lang w:val="en-US" w:eastAsia="zh-CN"/>
        </w:rPr>
        <w:t>C</w:t>
      </w:r>
      <w:r>
        <w:rPr>
          <w:rFonts w:hint="default" w:ascii="Times New Roman" w:hAnsi="Times New Roman" w:cs="Times New Roman"/>
          <w:b w:val="0"/>
          <w:bCs w:val="0"/>
          <w:sz w:val="24"/>
          <w:szCs w:val="24"/>
          <w:lang w:val="en-US" w:eastAsia="zh-CN"/>
        </w:rPr>
        <w:t xml:space="preserve"> Hepatic Eea1 expression</w:t>
      </w:r>
      <w:r>
        <w:rPr>
          <w:rFonts w:hint="eastAsia" w:ascii="Times New Roman" w:hAnsi="Times New Roman" w:cs="Times New Roman"/>
          <w:b w:val="0"/>
          <w:bCs w:val="0"/>
          <w:sz w:val="24"/>
          <w:szCs w:val="24"/>
          <w:lang w:val="en-US" w:eastAsia="zh-CN"/>
        </w:rPr>
        <w:t xml:space="preserve"> in a mouse model of acute liver injury (GSE160880). </w:t>
      </w:r>
      <w:r>
        <w:rPr>
          <w:rFonts w:hint="eastAsia" w:ascii="Times New Roman" w:hAnsi="Times New Roman" w:cs="Times New Roman"/>
          <w:b/>
          <w:bCs/>
          <w:sz w:val="24"/>
          <w:szCs w:val="24"/>
          <w:lang w:val="en-US" w:eastAsia="zh-CN"/>
        </w:rPr>
        <w:t xml:space="preserve">D </w:t>
      </w:r>
      <w:r>
        <w:rPr>
          <w:rFonts w:hint="eastAsia" w:ascii="Times New Roman" w:hAnsi="Times New Roman" w:cs="Times New Roman"/>
          <w:b w:val="0"/>
          <w:bCs w:val="0"/>
          <w:sz w:val="24"/>
          <w:szCs w:val="24"/>
          <w:lang w:val="en-US" w:eastAsia="zh-CN"/>
        </w:rPr>
        <w:t>Pulmonary Eea1 expression in a mouse model of acute lung injury (GSE216943).</w:t>
      </w:r>
    </w:p>
    <w:p w14:paraId="1E3BC62E">
      <w:pPr>
        <w:numPr>
          <w:ilvl w:val="0"/>
          <w:numId w:val="0"/>
        </w:numPr>
        <w:rPr>
          <w:rFonts w:hint="eastAsia" w:ascii="Times New Roman" w:hAnsi="Times New Roman" w:cs="Times New Roman"/>
          <w:b w:val="0"/>
          <w:bCs w:val="0"/>
          <w:sz w:val="24"/>
          <w:szCs w:val="24"/>
          <w:lang w:val="en-US" w:eastAsia="zh-CN"/>
        </w:rPr>
      </w:pPr>
    </w:p>
    <w:p w14:paraId="65E984B9">
      <w:pPr>
        <w:numPr>
          <w:ilvl w:val="0"/>
          <w:numId w:val="0"/>
        </w:numPr>
        <w:rPr>
          <w:rFonts w:hint="eastAsia" w:ascii="Times New Roman" w:hAnsi="Times New Roman" w:cs="Times New Roman"/>
          <w:b w:val="0"/>
          <w:bCs w:val="0"/>
          <w:sz w:val="24"/>
          <w:szCs w:val="24"/>
          <w:lang w:val="en-US" w:eastAsia="zh-CN"/>
        </w:rPr>
      </w:pPr>
    </w:p>
    <w:p w14:paraId="0D6CDD0E">
      <w:pPr>
        <w:numPr>
          <w:ilvl w:val="0"/>
          <w:numId w:val="0"/>
        </w:numPr>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drawing>
          <wp:inline distT="0" distB="0" distL="114300" distR="114300">
            <wp:extent cx="4867275" cy="1696720"/>
            <wp:effectExtent l="0" t="0" r="9525" b="17780"/>
            <wp:docPr id="17" name="图片 17" descr="ROS-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ROS-ppy"/>
                    <pic:cNvPicPr>
                      <a:picLocks noChangeAspect="1"/>
                    </pic:cNvPicPr>
                  </pic:nvPicPr>
                  <pic:blipFill>
                    <a:blip r:embed="rId12"/>
                    <a:stretch>
                      <a:fillRect/>
                    </a:stretch>
                  </pic:blipFill>
                  <pic:spPr>
                    <a:xfrm>
                      <a:off x="0" y="0"/>
                      <a:ext cx="4867275" cy="1696720"/>
                    </a:xfrm>
                    <a:prstGeom prst="rect">
                      <a:avLst/>
                    </a:prstGeom>
                  </pic:spPr>
                </pic:pic>
              </a:graphicData>
            </a:graphic>
          </wp:inline>
        </w:drawing>
      </w:r>
    </w:p>
    <w:p w14:paraId="6EB2B445">
      <w:pPr>
        <w:numPr>
          <w:ilvl w:val="0"/>
          <w:numId w:val="0"/>
        </w:numPr>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Fig. S8. Representative fluorescence microscopy images showing the ROS levels (DCFH-DA probe) after PPy (without Ce doping) treatment and H/R injury.</w:t>
      </w:r>
    </w:p>
    <w:p w14:paraId="31EAFB24">
      <w:pPr>
        <w:numPr>
          <w:ilvl w:val="0"/>
          <w:numId w:val="0"/>
        </w:numPr>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 xml:space="preserve"> </w:t>
      </w:r>
      <w:r>
        <w:rPr>
          <w:rFonts w:hint="eastAsia" w:eastAsiaTheme="minorEastAsia"/>
          <w:b w:val="0"/>
          <w:bCs w:val="0"/>
          <w:lang w:eastAsia="zh-CN"/>
        </w:rPr>
        <w:drawing>
          <wp:inline distT="0" distB="0" distL="114300" distR="114300">
            <wp:extent cx="4851400" cy="1691005"/>
            <wp:effectExtent l="0" t="0" r="6350" b="4445"/>
            <wp:docPr id="13" name="图片 13" descr="JC1-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JC1-ppy"/>
                    <pic:cNvPicPr>
                      <a:picLocks noChangeAspect="1"/>
                    </pic:cNvPicPr>
                  </pic:nvPicPr>
                  <pic:blipFill>
                    <a:blip r:embed="rId13"/>
                    <a:stretch>
                      <a:fillRect/>
                    </a:stretch>
                  </pic:blipFill>
                  <pic:spPr>
                    <a:xfrm>
                      <a:off x="0" y="0"/>
                      <a:ext cx="4851400" cy="1691005"/>
                    </a:xfrm>
                    <a:prstGeom prst="rect">
                      <a:avLst/>
                    </a:prstGeom>
                  </pic:spPr>
                </pic:pic>
              </a:graphicData>
            </a:graphic>
          </wp:inline>
        </w:drawing>
      </w:r>
    </w:p>
    <w:p w14:paraId="6EE533C7">
      <w:pPr>
        <w:numPr>
          <w:ilvl w:val="0"/>
          <w:numId w:val="0"/>
        </w:numPr>
        <w:ind w:left="0" w:leftChars="0" w:firstLine="0" w:firstLineChars="0"/>
      </w:pPr>
    </w:p>
    <w:p w14:paraId="3D5FAC13">
      <w:pPr>
        <w:numPr>
          <w:ilvl w:val="0"/>
          <w:numId w:val="0"/>
        </w:numPr>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Fig. S9. Representative fluorescence microscopy images of the mitochondrial membrane potential after PPy (without Ce doping) treatment and H/R injury.</w:t>
      </w:r>
    </w:p>
    <w:p w14:paraId="6A48CBA9">
      <w:pPr>
        <w:numPr>
          <w:ilvl w:val="0"/>
          <w:numId w:val="0"/>
        </w:numPr>
        <w:ind w:left="0" w:leftChars="0" w:firstLine="0" w:firstLineChars="0"/>
      </w:pPr>
    </w:p>
    <w:p w14:paraId="6A2D9DAC">
      <w:pPr>
        <w:numPr>
          <w:ilvl w:val="0"/>
          <w:numId w:val="0"/>
        </w:numPr>
        <w:ind w:left="0" w:leftChars="0" w:firstLine="0" w:firstLineChars="0"/>
      </w:pPr>
    </w:p>
    <w:p w14:paraId="0D39E823">
      <w:pPr>
        <w:numPr>
          <w:ilvl w:val="0"/>
          <w:numId w:val="0"/>
        </w:numPr>
        <w:ind w:left="0" w:leftChars="-600" w:hanging="1260" w:hangingChars="600"/>
      </w:pPr>
      <w:r>
        <w:drawing>
          <wp:inline distT="0" distB="0" distL="114300" distR="114300">
            <wp:extent cx="6876415" cy="1424305"/>
            <wp:effectExtent l="0" t="0" r="635" b="444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4"/>
                    <a:stretch>
                      <a:fillRect/>
                    </a:stretch>
                  </pic:blipFill>
                  <pic:spPr>
                    <a:xfrm>
                      <a:off x="0" y="0"/>
                      <a:ext cx="6876415" cy="1424305"/>
                    </a:xfrm>
                    <a:prstGeom prst="rect">
                      <a:avLst/>
                    </a:prstGeom>
                    <a:noFill/>
                    <a:ln>
                      <a:noFill/>
                    </a:ln>
                  </pic:spPr>
                </pic:pic>
              </a:graphicData>
            </a:graphic>
          </wp:inline>
        </w:drawing>
      </w:r>
    </w:p>
    <w:p w14:paraId="0ADCA440">
      <w:pPr>
        <w:keepNext w:val="0"/>
        <w:keepLines w:val="0"/>
        <w:widowControl w:val="0"/>
        <w:suppressLineNumbers w:val="0"/>
        <w:adjustRightInd w:val="0"/>
        <w:snapToGrid w:val="0"/>
        <w:spacing w:before="0" w:beforeAutospacing="0" w:after="0" w:afterAutospacing="0" w:line="360" w:lineRule="auto"/>
        <w:ind w:left="0" w:leftChars="0" w:right="0" w:hanging="11" w:firstLineChars="0"/>
        <w:jc w:val="both"/>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kern w:val="2"/>
          <w:sz w:val="24"/>
          <w:szCs w:val="24"/>
          <w:highlight w:val="none"/>
          <w:lang w:val="en-US" w:eastAsia="zh-CN" w:bidi="ar"/>
        </w:rPr>
        <w:t>Fig. S</w:t>
      </w:r>
      <w:r>
        <w:rPr>
          <w:rFonts w:hint="eastAsia" w:ascii="Times New Roman" w:hAnsi="Times New Roman" w:eastAsia="宋体" w:cs="Times New Roman"/>
          <w:b/>
          <w:bCs/>
          <w:kern w:val="2"/>
          <w:sz w:val="24"/>
          <w:szCs w:val="24"/>
          <w:highlight w:val="none"/>
          <w:lang w:val="en-US" w:eastAsia="zh-CN" w:bidi="ar"/>
        </w:rPr>
        <w:t>10</w:t>
      </w:r>
      <w:r>
        <w:rPr>
          <w:rFonts w:hint="default" w:ascii="Times New Roman" w:hAnsi="Times New Roman" w:eastAsia="宋体" w:cs="Times New Roman"/>
          <w:b/>
          <w:bCs/>
          <w:kern w:val="2"/>
          <w:sz w:val="24"/>
          <w:szCs w:val="24"/>
          <w:highlight w:val="none"/>
          <w:lang w:val="en-US" w:eastAsia="zh-CN" w:bidi="ar"/>
        </w:rPr>
        <w:t>. Therap</w:t>
      </w:r>
      <w:r>
        <w:rPr>
          <w:rFonts w:hint="default" w:ascii="Times New Roman" w:hAnsi="Times New Roman" w:eastAsia="宋体" w:cs="Times New Roman"/>
          <w:b/>
          <w:bCs/>
          <w:kern w:val="2"/>
          <w:sz w:val="24"/>
          <w:szCs w:val="24"/>
          <w:lang w:val="en-US" w:eastAsia="zh-CN" w:bidi="ar"/>
        </w:rPr>
        <w:t>eutic efficacy of (+)CePPy at varying concentrations in AKI treatment.</w:t>
      </w:r>
    </w:p>
    <w:p w14:paraId="540732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113" w:leftChars="-44" w:right="0" w:hanging="205" w:hangingChars="85"/>
        <w:jc w:val="both"/>
        <w:textAlignment w:val="auto"/>
        <w:rPr>
          <w:rFonts w:hint="default" w:ascii="Times New Roman" w:hAnsi="Times New Roman" w:cs="Times New Roman"/>
          <w:b/>
          <w:bCs w:val="0"/>
          <w:sz w:val="24"/>
          <w:szCs w:val="24"/>
          <w:lang w:val="en-US"/>
        </w:rPr>
      </w:pPr>
      <w:r>
        <w:rPr>
          <w:rFonts w:hint="default" w:ascii="Times New Roman" w:hAnsi="Times New Roman" w:eastAsia="宋体" w:cs="Times New Roman"/>
          <w:b/>
          <w:bCs w:val="0"/>
          <w:kern w:val="2"/>
          <w:sz w:val="24"/>
          <w:szCs w:val="24"/>
          <w:lang w:val="en-US" w:eastAsia="zh-CN" w:bidi="ar"/>
        </w:rPr>
        <w:t xml:space="preserve">A </w:t>
      </w:r>
      <w:r>
        <w:rPr>
          <w:rFonts w:hint="default" w:ascii="Times New Roman" w:hAnsi="Times New Roman" w:eastAsia="宋体" w:cs="Times New Roman"/>
          <w:bCs/>
          <w:kern w:val="2"/>
          <w:sz w:val="24"/>
          <w:szCs w:val="24"/>
          <w:lang w:val="en-US" w:eastAsia="zh-CN" w:bidi="ar"/>
        </w:rPr>
        <w:t xml:space="preserve">Representative micrographs of PAS staining in IRI mice treated with (+)CePPy at varying concentrations. </w:t>
      </w:r>
      <w:r>
        <w:rPr>
          <w:rFonts w:hint="default" w:ascii="Times New Roman" w:hAnsi="Times New Roman" w:eastAsia="宋体" w:cs="Times New Roman"/>
          <w:b/>
          <w:bCs w:val="0"/>
          <w:kern w:val="2"/>
          <w:sz w:val="24"/>
          <w:szCs w:val="24"/>
          <w:lang w:val="en-US" w:eastAsia="zh-CN" w:bidi="ar"/>
        </w:rPr>
        <w:t>B</w:t>
      </w:r>
      <w:r>
        <w:rPr>
          <w:rFonts w:hint="default" w:ascii="Times New Roman" w:hAnsi="Times New Roman" w:eastAsia="宋体" w:cs="Times New Roman"/>
          <w:bCs/>
          <w:kern w:val="2"/>
          <w:sz w:val="24"/>
          <w:szCs w:val="24"/>
          <w:lang w:val="en-US" w:eastAsia="zh-CN" w:bidi="ar"/>
        </w:rPr>
        <w:t xml:space="preserve"> Scr levels in each group at 1 day after IRI.</w:t>
      </w:r>
    </w:p>
    <w:p w14:paraId="09F7B701">
      <w:pPr>
        <w:numPr>
          <w:ilvl w:val="0"/>
          <w:numId w:val="0"/>
        </w:numPr>
        <w:ind w:left="0" w:leftChars="-600" w:hanging="1260" w:hangingChars="600"/>
        <w:rPr>
          <w:rFonts w:hint="eastAsia"/>
          <w:lang w:val="en-US" w:eastAsia="zh-CN"/>
        </w:rPr>
      </w:pPr>
    </w:p>
    <w:p w14:paraId="060B1C5E">
      <w:pPr>
        <w:numPr>
          <w:ilvl w:val="0"/>
          <w:numId w:val="0"/>
        </w:numPr>
        <w:rPr>
          <w:rFonts w:hint="default" w:ascii="Times New Roman" w:hAnsi="Times New Roman" w:cs="Times New Roman"/>
          <w:b w:val="0"/>
          <w:bCs w:val="0"/>
          <w:sz w:val="24"/>
          <w:szCs w:val="24"/>
          <w:highlight w:val="yellow"/>
          <w:lang w:val="en-US" w:eastAsia="zh-CN"/>
        </w:rPr>
      </w:pPr>
    </w:p>
    <w:p w14:paraId="3E7FD235">
      <w:pPr>
        <w:ind w:left="-283" w:leftChars="-135" w:firstLine="0" w:firstLineChars="0"/>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5455285" cy="1357630"/>
            <wp:effectExtent l="0" t="0" r="12065" b="139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5455285" cy="1357630"/>
                    </a:xfrm>
                    <a:prstGeom prst="rect">
                      <a:avLst/>
                    </a:prstGeom>
                    <a:noFill/>
                    <a:ln>
                      <a:noFill/>
                    </a:ln>
                  </pic:spPr>
                </pic:pic>
              </a:graphicData>
            </a:graphic>
          </wp:inline>
        </w:drawing>
      </w:r>
    </w:p>
    <w:p w14:paraId="48B01DA2">
      <w:pPr>
        <w:ind w:left="0" w:leftChars="0" w:firstLine="0" w:firstLineChars="0"/>
        <w:jc w:val="center"/>
        <w:rPr>
          <w:rFonts w:ascii="Times New Roman" w:hAnsi="Times New Roman" w:cs="Times New Roman"/>
          <w:b/>
          <w:bCs/>
          <w:sz w:val="24"/>
          <w:szCs w:val="24"/>
        </w:rPr>
      </w:pPr>
      <w:bookmarkStart w:id="4" w:name="_GoBack"/>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S11</w:t>
      </w:r>
      <w:bookmarkEnd w:id="4"/>
      <w:r>
        <w:rPr>
          <w:rFonts w:hint="default" w:ascii="Times New Roman" w:hAnsi="Times New Roman" w:cs="Times New Roman"/>
          <w:b/>
          <w:bCs/>
          <w:sz w:val="24"/>
          <w:szCs w:val="24"/>
        </w:rPr>
        <w:t>. (+)CePPy maintained mitochondrial morphology in AKI mice.</w:t>
      </w:r>
    </w:p>
    <w:p w14:paraId="276DBCA6">
      <w:pPr>
        <w:rPr>
          <w:rFonts w:ascii="Times New Roman" w:hAnsi="Times New Roman" w:cs="Times New Roman"/>
          <w:sz w:val="24"/>
          <w:szCs w:val="24"/>
        </w:rPr>
      </w:pPr>
      <w:r>
        <w:rPr>
          <w:rFonts w:hint="default" w:ascii="Times New Roman" w:hAnsi="Times New Roman" w:cs="Times New Roman"/>
          <w:sz w:val="24"/>
          <w:szCs w:val="24"/>
        </w:rPr>
        <w:t>Representative electron microscopy images of mitochondria in sham mice, vehicle-treated AKI mice, and CePPy-treated AKI mice at 1 day post-AKI. The mitochondria in renal tubular epithelial cells of AKI mice exhibited significant swelling, derangement, and vacuolation, while mitochondrial damage was markedly alleviated after CePPy treatment, with the best therapeutic effect observed in the (+)CePPy group.</w:t>
      </w:r>
    </w:p>
    <w:p w14:paraId="37EAFC41">
      <w:pPr>
        <w:rPr>
          <w:rFonts w:ascii="Times New Roman" w:hAnsi="Times New Roman" w:cs="Times New Roman"/>
          <w:sz w:val="24"/>
          <w:szCs w:val="24"/>
        </w:rPr>
      </w:pPr>
    </w:p>
    <w:p w14:paraId="4CDC1C2F">
      <w:pPr>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5107305" cy="3862705"/>
            <wp:effectExtent l="0" t="0" r="17145" b="444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6"/>
                    <a:stretch>
                      <a:fillRect/>
                    </a:stretch>
                  </pic:blipFill>
                  <pic:spPr>
                    <a:xfrm>
                      <a:off x="0" y="0"/>
                      <a:ext cx="5107305" cy="3862705"/>
                    </a:xfrm>
                    <a:prstGeom prst="rect">
                      <a:avLst/>
                    </a:prstGeom>
                    <a:noFill/>
                    <a:ln>
                      <a:noFill/>
                    </a:ln>
                  </pic:spPr>
                </pic:pic>
              </a:graphicData>
            </a:graphic>
          </wp:inline>
        </w:drawing>
      </w:r>
    </w:p>
    <w:p w14:paraId="02897FA3">
      <w:pPr>
        <w:ind w:left="92" w:leftChars="-295" w:hanging="711" w:hangingChars="295"/>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S12</w:t>
      </w:r>
      <w:r>
        <w:rPr>
          <w:rFonts w:hint="default" w:ascii="Times New Roman" w:hAnsi="Times New Roman" w:cs="Times New Roman"/>
          <w:b/>
          <w:bCs/>
          <w:sz w:val="24"/>
          <w:szCs w:val="24"/>
        </w:rPr>
        <w:t>. (+)CePPy reduced AKI induced apoptosis.</w:t>
      </w:r>
    </w:p>
    <w:p w14:paraId="709829F4">
      <w:pPr>
        <w:ind w:left="92" w:leftChars="-295" w:hanging="711" w:hangingChars="295"/>
        <w:jc w:val="center"/>
        <w:rPr>
          <w:rFonts w:hint="default" w:ascii="Times New Roman" w:hAnsi="Times New Roman" w:cs="Times New Roman"/>
          <w:b/>
          <w:bCs/>
          <w:sz w:val="24"/>
          <w:szCs w:val="24"/>
        </w:rPr>
      </w:pPr>
    </w:p>
    <w:p w14:paraId="37734072">
      <w:pPr>
        <w:ind w:left="-1" w:leftChars="0" w:firstLine="0" w:firstLineChars="0"/>
        <w:jc w:val="left"/>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271770" cy="3287395"/>
            <wp:effectExtent l="0" t="0" r="5080" b="8255"/>
            <wp:docPr id="18" name="图片 18" descr="mpv17l过表达质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mpv17l过表达质粒"/>
                    <pic:cNvPicPr>
                      <a:picLocks noChangeAspect="1"/>
                    </pic:cNvPicPr>
                  </pic:nvPicPr>
                  <pic:blipFill>
                    <a:blip r:embed="rId17"/>
                    <a:stretch>
                      <a:fillRect/>
                    </a:stretch>
                  </pic:blipFill>
                  <pic:spPr>
                    <a:xfrm>
                      <a:off x="0" y="0"/>
                      <a:ext cx="5271770" cy="3287395"/>
                    </a:xfrm>
                    <a:prstGeom prst="rect">
                      <a:avLst/>
                    </a:prstGeom>
                  </pic:spPr>
                </pic:pic>
              </a:graphicData>
            </a:graphic>
          </wp:inline>
        </w:drawing>
      </w:r>
    </w:p>
    <w:p w14:paraId="41FA1386">
      <w:pPr>
        <w:ind w:left="-27" w:leftChars="-13" w:firstLine="34" w:firstLineChars="14"/>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 xml:space="preserve">Fig. S13. </w:t>
      </w:r>
      <w:r>
        <w:rPr>
          <w:rFonts w:hint="default" w:ascii="Times New Roman" w:hAnsi="Times New Roman" w:cs="Times New Roman"/>
          <w:b/>
          <w:bCs/>
          <w:sz w:val="24"/>
          <w:szCs w:val="24"/>
        </w:rPr>
        <w:t>Mpv17l mediates renal protection against mitochondrial oxidative stress-induced injury</w:t>
      </w:r>
    </w:p>
    <w:p w14:paraId="5E4B6CD1">
      <w:pPr>
        <w:ind w:left="-27" w:leftChars="-13" w:firstLine="34" w:firstLineChars="14"/>
        <w:jc w:val="left"/>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A</w:t>
      </w:r>
      <w:r>
        <w:rPr>
          <w:rFonts w:hint="eastAsia" w:ascii="Times New Roman" w:hAnsi="Times New Roman" w:cs="Times New Roman"/>
          <w:b w:val="0"/>
          <w:bCs w:val="0"/>
          <w:sz w:val="24"/>
          <w:szCs w:val="24"/>
          <w:lang w:val="en-US" w:eastAsia="zh-CN"/>
        </w:rPr>
        <w:t xml:space="preserve"> O</w:t>
      </w:r>
      <w:r>
        <w:rPr>
          <w:rFonts w:hint="default" w:ascii="Times New Roman" w:hAnsi="Times New Roman" w:cs="Times New Roman"/>
          <w:b w:val="0"/>
          <w:bCs w:val="0"/>
          <w:sz w:val="24"/>
          <w:szCs w:val="24"/>
        </w:rPr>
        <w:t>verexpression of Mpv17l in PTECs reduced mitochondrial ROS</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production</w:t>
      </w:r>
      <w:r>
        <w:rPr>
          <w:rFonts w:hint="eastAsia" w:ascii="Times New Roman" w:hAnsi="Times New Roman" w:cs="Times New Roman"/>
          <w:b w:val="0"/>
          <w:bCs w:val="0"/>
          <w:sz w:val="24"/>
          <w:szCs w:val="24"/>
          <w:lang w:val="en-US" w:eastAsia="zh-CN"/>
        </w:rPr>
        <w:t xml:space="preserve">. </w:t>
      </w:r>
    </w:p>
    <w:p w14:paraId="6053B8E6">
      <w:pPr>
        <w:ind w:left="-27" w:leftChars="-13" w:firstLine="34" w:firstLineChars="14"/>
        <w:jc w:val="left"/>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bCs/>
          <w:sz w:val="24"/>
          <w:szCs w:val="24"/>
          <w:lang w:val="en-US" w:eastAsia="zh-CN"/>
        </w:rPr>
        <w:t xml:space="preserve">B </w:t>
      </w:r>
      <w:r>
        <w:rPr>
          <w:rFonts w:hint="eastAsia" w:ascii="Times New Roman" w:hAnsi="Times New Roman" w:cs="Times New Roman"/>
          <w:b w:val="0"/>
          <w:bCs w:val="0"/>
          <w:sz w:val="24"/>
          <w:szCs w:val="24"/>
          <w:lang w:val="en-US" w:eastAsia="zh-CN"/>
        </w:rPr>
        <w:t>O</w:t>
      </w:r>
      <w:r>
        <w:rPr>
          <w:rFonts w:hint="default" w:ascii="Times New Roman" w:hAnsi="Times New Roman" w:cs="Times New Roman"/>
          <w:b w:val="0"/>
          <w:bCs w:val="0"/>
          <w:sz w:val="24"/>
          <w:szCs w:val="24"/>
        </w:rPr>
        <w:t>verexpression of Mpv17l decreased the number of apoptotic cells</w:t>
      </w:r>
      <w:r>
        <w:rPr>
          <w:rFonts w:hint="eastAsia" w:ascii="Times New Roman" w:hAnsi="Times New Roman" w:cs="Times New Roman"/>
          <w:b w:val="0"/>
          <w:bCs w:val="0"/>
          <w:sz w:val="24"/>
          <w:szCs w:val="24"/>
          <w:lang w:val="en-US" w:eastAsia="zh-CN"/>
        </w:rPr>
        <w:t>.</w:t>
      </w:r>
    </w:p>
    <w:p w14:paraId="6CA8C1A0">
      <w:pPr>
        <w:ind w:left="-27" w:leftChars="-13" w:firstLine="33" w:firstLineChars="14"/>
        <w:jc w:val="left"/>
        <w:rPr>
          <w:rFonts w:hint="default" w:ascii="Times New Roman" w:hAnsi="Times New Roman" w:cs="Times New Roman"/>
          <w:sz w:val="24"/>
          <w:szCs w:val="24"/>
        </w:rPr>
      </w:pPr>
    </w:p>
    <w:p w14:paraId="38BCD24C">
      <w:pPr>
        <w:jc w:val="left"/>
        <w:rPr>
          <w:rFonts w:hint="default" w:ascii="Times New Roman" w:hAnsi="Times New Roman" w:cs="Times New Roman"/>
          <w:sz w:val="24"/>
          <w:szCs w:val="24"/>
        </w:rPr>
      </w:pPr>
    </w:p>
    <w:p w14:paraId="3ADE2933">
      <w:pPr>
        <w:ind w:left="-1" w:leftChars="0" w:firstLine="0" w:firstLineChars="0"/>
        <w:jc w:val="center"/>
        <w:rPr>
          <w:rFonts w:ascii="Times New Roman" w:hAnsi="Times New Roman" w:cs="Times New Roman"/>
          <w:b/>
          <w:bCs/>
          <w:sz w:val="24"/>
          <w:szCs w:val="24"/>
        </w:rPr>
      </w:pPr>
      <w:r>
        <w:rPr>
          <w:rFonts w:ascii="Times New Roman" w:hAnsi="Times New Roman" w:cs="Times New Roman"/>
          <w:sz w:val="24"/>
          <w:szCs w:val="24"/>
        </w:rPr>
        <w:drawing>
          <wp:inline distT="0" distB="0" distL="114300" distR="114300">
            <wp:extent cx="5260340" cy="2730500"/>
            <wp:effectExtent l="0" t="0" r="16510" b="1270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8"/>
                    <a:stretch>
                      <a:fillRect/>
                    </a:stretch>
                  </pic:blipFill>
                  <pic:spPr>
                    <a:xfrm>
                      <a:off x="0" y="0"/>
                      <a:ext cx="5260340" cy="2730500"/>
                    </a:xfrm>
                    <a:prstGeom prst="rect">
                      <a:avLst/>
                    </a:prstGeom>
                    <a:noFill/>
                    <a:ln>
                      <a:noFill/>
                    </a:ln>
                  </pic:spPr>
                </pic:pic>
              </a:graphicData>
            </a:graphic>
          </wp:inline>
        </w:drawing>
      </w:r>
    </w:p>
    <w:p w14:paraId="77DF519B">
      <w:pPr>
        <w:ind w:left="-25" w:leftChars="-12" w:firstLine="31" w:firstLineChars="13"/>
        <w:jc w:val="center"/>
        <w:rPr>
          <w:rFonts w:ascii="Times New Roman" w:hAnsi="Times New Roman" w:cs="Times New Roman"/>
          <w:b/>
          <w:bCs/>
          <w:sz w:val="24"/>
          <w:szCs w:val="24"/>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S14</w:t>
      </w:r>
      <w:r>
        <w:rPr>
          <w:rFonts w:hint="default" w:ascii="Times New Roman" w:hAnsi="Times New Roman" w:cs="Times New Roman"/>
          <w:b/>
          <w:bCs/>
          <w:sz w:val="24"/>
          <w:szCs w:val="24"/>
        </w:rPr>
        <w:t>. (+)CePPy alleviated tubular atrophy and chronic inflammatory responses.</w:t>
      </w:r>
    </w:p>
    <w:p w14:paraId="4D4A9D78">
      <w:pPr>
        <w:rPr>
          <w:rFonts w:hint="default" w:ascii="Times New Roman" w:hAnsi="Times New Roman" w:cs="Times New Roman"/>
          <w:sz w:val="24"/>
          <w:szCs w:val="24"/>
        </w:rPr>
      </w:pPr>
      <w:r>
        <w:rPr>
          <w:rFonts w:hint="default" w:ascii="Times New Roman" w:hAnsi="Times New Roman" w:cs="Times New Roman"/>
          <w:sz w:val="24"/>
          <w:szCs w:val="24"/>
        </w:rPr>
        <w:t>Representative micrographs showing PAS staining of tubular atrophy and inflammatory cells 28 days after uIRI in the various groups. PAS staining revealed that the vehicle-treated uIRI group exhibited focal tubular atrophy, interstitial fibrosis, and chronic inflammation, indicating progression to chronic kidney disease. In contrast, treatment with (+)CePPy significantly alleviated tubular atrophy and suppressed chronic inflammatory responses. *:Atrophic renal tubules. #: Infiltration of inflammatory cells.</w:t>
      </w:r>
    </w:p>
    <w:p w14:paraId="1E17E9F1">
      <w:pPr>
        <w:rPr>
          <w:rFonts w:hint="default" w:ascii="Times New Roman" w:hAnsi="Times New Roman" w:cs="Times New Roman"/>
          <w:sz w:val="24"/>
          <w:szCs w:val="24"/>
        </w:rPr>
      </w:pPr>
    </w:p>
    <w:p w14:paraId="2E62FBCB">
      <w:pPr>
        <w:rPr>
          <w:rFonts w:hint="default" w:ascii="Times New Roman" w:hAnsi="Times New Roman" w:cs="Times New Roman"/>
          <w:sz w:val="24"/>
          <w:szCs w:val="24"/>
        </w:rPr>
      </w:pPr>
    </w:p>
    <w:p w14:paraId="0EAF6E9D">
      <w:pPr>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69865" cy="2947035"/>
            <wp:effectExtent l="0" t="0" r="6985" b="5715"/>
            <wp:docPr id="11" name="图片 11" descr="天狼星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天狼星红"/>
                    <pic:cNvPicPr>
                      <a:picLocks noChangeAspect="1"/>
                    </pic:cNvPicPr>
                  </pic:nvPicPr>
                  <pic:blipFill>
                    <a:blip r:embed="rId19"/>
                    <a:stretch>
                      <a:fillRect/>
                    </a:stretch>
                  </pic:blipFill>
                  <pic:spPr>
                    <a:xfrm>
                      <a:off x="0" y="0"/>
                      <a:ext cx="5269865" cy="2947035"/>
                    </a:xfrm>
                    <a:prstGeom prst="rect">
                      <a:avLst/>
                    </a:prstGeom>
                  </pic:spPr>
                </pic:pic>
              </a:graphicData>
            </a:graphic>
          </wp:inline>
        </w:drawing>
      </w:r>
    </w:p>
    <w:p w14:paraId="7A58891D">
      <w:pPr>
        <w:jc w:val="center"/>
        <w:rPr>
          <w:rFonts w:hint="eastAsia" w:ascii="Times New Roman" w:hAnsi="Times New Roman" w:eastAsia="宋体" w:cs="Times New Roman"/>
          <w:b/>
          <w:sz w:val="24"/>
          <w:lang w:val="en-US" w:eastAsia="zh-CN" w:bidi="ar"/>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S15</w:t>
      </w:r>
      <w:r>
        <w:rPr>
          <w:rFonts w:hint="default" w:ascii="Times New Roman" w:hAnsi="Times New Roman" w:cs="Times New Roman"/>
          <w:b/>
          <w:bCs/>
          <w:sz w:val="24"/>
          <w:szCs w:val="24"/>
        </w:rPr>
        <w:t>.</w:t>
      </w:r>
      <w:r>
        <w:rPr>
          <w:rFonts w:ascii="Times New Roman" w:hAnsi="Times New Roman" w:eastAsia="宋体" w:cs="Times New Roman"/>
          <w:b/>
          <w:sz w:val="24"/>
          <w:lang w:bidi="ar"/>
        </w:rPr>
        <w:t xml:space="preserve"> </w:t>
      </w:r>
      <w:r>
        <w:rPr>
          <w:rFonts w:hint="eastAsia" w:ascii="Times New Roman" w:hAnsi="Times New Roman" w:eastAsia="宋体" w:cs="Times New Roman"/>
          <w:b/>
          <w:sz w:val="24"/>
          <w:lang w:val="en-US" w:eastAsia="zh-CN" w:bidi="ar"/>
        </w:rPr>
        <w:t>Attenuation of Renal Fibrosis by (+)CePPy (Sirius Red Staining).</w:t>
      </w:r>
    </w:p>
    <w:p w14:paraId="2FF4C70C">
      <w:pPr>
        <w:jc w:val="center"/>
        <w:rPr>
          <w:rFonts w:hint="eastAsia" w:ascii="Times New Roman" w:hAnsi="Times New Roman" w:eastAsia="宋体" w:cs="Times New Roman"/>
          <w:b/>
          <w:sz w:val="24"/>
          <w:lang w:val="en-US" w:eastAsia="zh-CN" w:bidi="ar"/>
        </w:rPr>
      </w:pPr>
    </w:p>
    <w:p w14:paraId="3A68B941">
      <w:pPr>
        <w:jc w:val="center"/>
        <w:rPr>
          <w:rFonts w:hint="default" w:ascii="Times New Roman" w:hAnsi="Times New Roman" w:eastAsia="宋体" w:cs="Times New Roman"/>
          <w:b/>
          <w:sz w:val="24"/>
          <w:lang w:val="en-US" w:eastAsia="zh-CN" w:bidi="ar"/>
        </w:rPr>
      </w:pPr>
    </w:p>
    <w:p w14:paraId="4779B365">
      <w:pPr>
        <w:jc w:val="left"/>
        <w:rPr>
          <w:rFonts w:hint="eastAsia" w:ascii="Times New Roman" w:hAnsi="Times New Roman" w:cs="Times New Roman" w:eastAsiaTheme="minorEastAsia"/>
          <w:b/>
          <w:bCs/>
          <w:sz w:val="24"/>
          <w:szCs w:val="24"/>
          <w:lang w:eastAsia="zh-CN"/>
        </w:rPr>
      </w:pPr>
    </w:p>
    <w:p w14:paraId="04B21AFD">
      <w:pPr>
        <w:jc w:val="center"/>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3103245" cy="2280285"/>
            <wp:effectExtent l="0" t="0" r="1905" b="5715"/>
            <wp:docPr id="14" name="图片 14" descr="溶血实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溶血实验"/>
                    <pic:cNvPicPr>
                      <a:picLocks noChangeAspect="1"/>
                    </pic:cNvPicPr>
                  </pic:nvPicPr>
                  <pic:blipFill>
                    <a:blip r:embed="rId20"/>
                    <a:srcRect l="2388" r="1755" b="5484"/>
                    <a:stretch>
                      <a:fillRect/>
                    </a:stretch>
                  </pic:blipFill>
                  <pic:spPr>
                    <a:xfrm>
                      <a:off x="0" y="0"/>
                      <a:ext cx="3103245" cy="2280285"/>
                    </a:xfrm>
                    <a:prstGeom prst="rect">
                      <a:avLst/>
                    </a:prstGeom>
                  </pic:spPr>
                </pic:pic>
              </a:graphicData>
            </a:graphic>
          </wp:inline>
        </w:drawing>
      </w:r>
    </w:p>
    <w:p w14:paraId="6B19ED1B">
      <w:pPr>
        <w:jc w:val="center"/>
        <w:rPr>
          <w:rFonts w:hint="eastAsia" w:ascii="Times New Roman" w:hAnsi="Times New Roman" w:eastAsia="宋体" w:cs="Times New Roman"/>
          <w:b/>
          <w:sz w:val="24"/>
          <w:lang w:val="en-US" w:eastAsia="zh-CN" w:bidi="ar"/>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S16</w:t>
      </w:r>
      <w:r>
        <w:rPr>
          <w:rFonts w:hint="default" w:ascii="Times New Roman" w:hAnsi="Times New Roman" w:cs="Times New Roman"/>
          <w:b/>
          <w:bCs/>
          <w:sz w:val="24"/>
          <w:szCs w:val="24"/>
        </w:rPr>
        <w:t>.</w:t>
      </w:r>
      <w:r>
        <w:rPr>
          <w:rFonts w:ascii="Times New Roman" w:hAnsi="Times New Roman" w:eastAsia="宋体" w:cs="Times New Roman"/>
          <w:b/>
          <w:sz w:val="24"/>
          <w:lang w:bidi="ar"/>
        </w:rPr>
        <w:t xml:space="preserve"> </w:t>
      </w:r>
      <w:r>
        <w:rPr>
          <w:rFonts w:hint="eastAsia" w:ascii="Times New Roman" w:hAnsi="Times New Roman" w:eastAsia="宋体" w:cs="Times New Roman"/>
          <w:b/>
          <w:sz w:val="24"/>
          <w:lang w:val="en-US" w:eastAsia="zh-CN" w:bidi="ar"/>
        </w:rPr>
        <w:t>In vitro hemolysis assay of (+)CePPy at various concentrations.</w:t>
      </w:r>
    </w:p>
    <w:p w14:paraId="5C3ADDAF">
      <w:pPr>
        <w:jc w:val="center"/>
        <w:rPr>
          <w:rFonts w:hint="eastAsia" w:ascii="Times New Roman" w:hAnsi="Times New Roman" w:eastAsia="宋体" w:cs="Times New Roman"/>
          <w:b/>
          <w:sz w:val="24"/>
          <w:lang w:val="en-US" w:eastAsia="zh-CN" w:bidi="ar"/>
        </w:rPr>
      </w:pPr>
    </w:p>
    <w:p w14:paraId="1DC2E3B2">
      <w:pPr>
        <w:jc w:val="center"/>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5167630" cy="5957570"/>
            <wp:effectExtent l="0" t="0" r="13970" b="5080"/>
            <wp:docPr id="19" name="图片 19" descr="长期毒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长期毒性"/>
                    <pic:cNvPicPr>
                      <a:picLocks noChangeAspect="1"/>
                    </pic:cNvPicPr>
                  </pic:nvPicPr>
                  <pic:blipFill>
                    <a:blip r:embed="rId21"/>
                    <a:stretch>
                      <a:fillRect/>
                    </a:stretch>
                  </pic:blipFill>
                  <pic:spPr>
                    <a:xfrm>
                      <a:off x="0" y="0"/>
                      <a:ext cx="5167630" cy="5957570"/>
                    </a:xfrm>
                    <a:prstGeom prst="rect">
                      <a:avLst/>
                    </a:prstGeom>
                  </pic:spPr>
                </pic:pic>
              </a:graphicData>
            </a:graphic>
          </wp:inline>
        </w:drawing>
      </w:r>
    </w:p>
    <w:p w14:paraId="5ABBF12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S17</w:t>
      </w:r>
      <w:r>
        <w:rPr>
          <w:rFonts w:hint="default" w:ascii="Times New Roman" w:hAnsi="Times New Roman" w:cs="Times New Roman"/>
          <w:b/>
          <w:bCs/>
          <w:sz w:val="24"/>
          <w:szCs w:val="24"/>
        </w:rPr>
        <w:t>.</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In vivo long-term toxicity assessment of (+)CePPy.</w:t>
      </w:r>
    </w:p>
    <w:p w14:paraId="46BA7109">
      <w:pPr>
        <w:jc w:val="both"/>
        <w:rPr>
          <w:rFonts w:hint="default" w:ascii="Times New Roman" w:hAnsi="Times New Roman" w:eastAsia="宋体" w:cs="Times New Roman"/>
          <w:b w:val="0"/>
          <w:bCs w:val="0"/>
          <w:kern w:val="2"/>
          <w:sz w:val="24"/>
          <w:szCs w:val="24"/>
          <w:lang w:val="en-US" w:eastAsia="zh-CN" w:bidi="ar"/>
        </w:rPr>
      </w:pPr>
      <w:r>
        <w:rPr>
          <w:rFonts w:hint="default" w:ascii="Times New Roman" w:hAnsi="Times New Roman" w:eastAsia="宋体" w:cs="Times New Roman"/>
          <w:b/>
          <w:bCs/>
          <w:kern w:val="2"/>
          <w:sz w:val="24"/>
          <w:szCs w:val="24"/>
          <w:lang w:val="en-US" w:eastAsia="zh-CN" w:bidi="ar"/>
        </w:rPr>
        <w:t>A</w:t>
      </w:r>
      <w:r>
        <w:rPr>
          <w:rFonts w:hint="default" w:ascii="Times New Roman" w:hAnsi="Times New Roman" w:eastAsia="宋体" w:cs="Times New Roman"/>
          <w:b w:val="0"/>
          <w:bCs w:val="0"/>
          <w:kern w:val="2"/>
          <w:sz w:val="24"/>
          <w:szCs w:val="24"/>
          <w:lang w:val="en-US" w:eastAsia="zh-CN" w:bidi="ar"/>
        </w:rPr>
        <w:t xml:space="preserve"> Normal C57BL/6J mice received three intravenous injections of (+)CePPy at doses of 5, 10, or 20 mg/kg and were euthanized 14 days after the final injection for subsequent analysis. Major organs were collected for histological examination by H&amp;E and PAS staining. </w:t>
      </w:r>
      <w:r>
        <w:rPr>
          <w:rFonts w:hint="default" w:ascii="Times New Roman" w:hAnsi="Times New Roman" w:eastAsia="宋体" w:cs="Times New Roman"/>
          <w:b/>
          <w:bCs/>
          <w:kern w:val="2"/>
          <w:sz w:val="24"/>
          <w:szCs w:val="24"/>
          <w:lang w:val="en-US" w:eastAsia="zh-CN" w:bidi="ar"/>
        </w:rPr>
        <w:t>B</w:t>
      </w:r>
      <w:r>
        <w:rPr>
          <w:rFonts w:hint="default" w:ascii="Times New Roman" w:hAnsi="Times New Roman" w:eastAsia="宋体" w:cs="Times New Roman"/>
          <w:b w:val="0"/>
          <w:bCs w:val="0"/>
          <w:kern w:val="2"/>
          <w:sz w:val="24"/>
          <w:szCs w:val="24"/>
          <w:lang w:val="en-US" w:eastAsia="zh-CN" w:bidi="ar"/>
        </w:rPr>
        <w:t xml:space="preserve"> Serum samples from each group were analyzed for routine blood parameters, as well as liver and renal function markers. Data are presented as mean ± SD</w:t>
      </w:r>
      <w:r>
        <w:rPr>
          <w:rFonts w:hint="eastAsia" w:ascii="Times New Roman" w:hAnsi="Times New Roman" w:eastAsia="宋体" w:cs="Times New Roman"/>
          <w:b w:val="0"/>
          <w:bCs w:val="0"/>
          <w:kern w:val="2"/>
          <w:sz w:val="24"/>
          <w:szCs w:val="24"/>
          <w:lang w:val="en-US" w:eastAsia="zh-CN" w:bidi="ar"/>
        </w:rPr>
        <w:t>s</w:t>
      </w:r>
      <w:r>
        <w:rPr>
          <w:rFonts w:hint="default" w:ascii="Times New Roman" w:hAnsi="Times New Roman" w:eastAsia="宋体" w:cs="Times New Roman"/>
          <w:b w:val="0"/>
          <w:bCs w:val="0"/>
          <w:kern w:val="2"/>
          <w:sz w:val="24"/>
          <w:szCs w:val="24"/>
          <w:lang w:val="en-US" w:eastAsia="zh-CN" w:bidi="ar"/>
        </w:rPr>
        <w:t xml:space="preserve">, with n = </w:t>
      </w:r>
      <w:r>
        <w:rPr>
          <w:rFonts w:hint="eastAsia" w:ascii="Times New Roman" w:hAnsi="Times New Roman" w:eastAsia="宋体" w:cs="Times New Roman"/>
          <w:b w:val="0"/>
          <w:bCs w:val="0"/>
          <w:kern w:val="2"/>
          <w:sz w:val="24"/>
          <w:szCs w:val="24"/>
          <w:lang w:val="en-US" w:eastAsia="zh-CN" w:bidi="ar"/>
        </w:rPr>
        <w:t>5</w:t>
      </w:r>
      <w:r>
        <w:rPr>
          <w:rFonts w:hint="default" w:ascii="Times New Roman" w:hAnsi="Times New Roman" w:eastAsia="宋体" w:cs="Times New Roman"/>
          <w:b w:val="0"/>
          <w:bCs w:val="0"/>
          <w:kern w:val="2"/>
          <w:sz w:val="24"/>
          <w:szCs w:val="24"/>
          <w:lang w:val="en-US" w:eastAsia="zh-CN" w:bidi="ar"/>
        </w:rPr>
        <w:t xml:space="preserve"> per group. For B, statistical comparisons were performed using one-way ANOVA.</w:t>
      </w:r>
    </w:p>
    <w:p w14:paraId="52F45B48">
      <w:pPr>
        <w:jc w:val="center"/>
        <w:rPr>
          <w:rFonts w:hint="default" w:ascii="Times New Roman" w:hAnsi="Times New Roman" w:cs="Times New Roman"/>
          <w:b/>
          <w:bCs/>
          <w:sz w:val="24"/>
          <w:szCs w:val="24"/>
        </w:rPr>
      </w:pPr>
    </w:p>
    <w:p w14:paraId="6B85A6D1">
      <w:pPr>
        <w:jc w:val="center"/>
        <w:rPr>
          <w:rFonts w:hint="default" w:ascii="Times New Roman" w:hAnsi="Times New Roman" w:cs="Times New Roman"/>
          <w:b/>
          <w:bCs/>
          <w:sz w:val="24"/>
          <w:szCs w:val="24"/>
        </w:rPr>
      </w:pPr>
    </w:p>
    <w:p w14:paraId="23085144">
      <w:pPr>
        <w:jc w:val="center"/>
        <w:rPr>
          <w:rFonts w:hint="eastAsia" w:ascii="Times New Roman" w:hAnsi="Times New Roman" w:cs="Times New Roman"/>
          <w:b/>
          <w:bCs/>
          <w:sz w:val="24"/>
          <w:szCs w:val="24"/>
          <w:lang w:val="en-US" w:eastAsia="zh-CN"/>
        </w:rPr>
      </w:pPr>
    </w:p>
    <w:p w14:paraId="74023C40">
      <w:pPr>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sz w:val="24"/>
          <w:szCs w:val="24"/>
        </w:rPr>
        <w:drawing>
          <wp:inline distT="0" distB="0" distL="114300" distR="114300">
            <wp:extent cx="4231005" cy="2019300"/>
            <wp:effectExtent l="0" t="0" r="17145"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2"/>
                    <a:stretch>
                      <a:fillRect/>
                    </a:stretch>
                  </pic:blipFill>
                  <pic:spPr>
                    <a:xfrm>
                      <a:off x="0" y="0"/>
                      <a:ext cx="4231005" cy="2019300"/>
                    </a:xfrm>
                    <a:prstGeom prst="rect">
                      <a:avLst/>
                    </a:prstGeom>
                    <a:noFill/>
                    <a:ln>
                      <a:noFill/>
                    </a:ln>
                  </pic:spPr>
                </pic:pic>
              </a:graphicData>
            </a:graphic>
          </wp:inline>
        </w:drawing>
      </w:r>
    </w:p>
    <w:p w14:paraId="14CE47E2">
      <w:pPr>
        <w:jc w:val="center"/>
        <w:rPr>
          <w:rFonts w:ascii="Times New Roman" w:hAnsi="Times New Roman" w:cs="Times New Roman"/>
          <w:b/>
          <w:bCs/>
          <w:sz w:val="24"/>
          <w:szCs w:val="24"/>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S18</w:t>
      </w:r>
      <w:r>
        <w:rPr>
          <w:rFonts w:hint="default" w:ascii="Times New Roman" w:hAnsi="Times New Roman" w:cs="Times New Roman"/>
          <w:b/>
          <w:bCs/>
          <w:sz w:val="24"/>
          <w:szCs w:val="24"/>
        </w:rPr>
        <w:t>. Kidney clearance of (+)CePPy analyzed by ICP-MS.</w:t>
      </w:r>
    </w:p>
    <w:p w14:paraId="26ED5CA0">
      <w:pPr>
        <w:rPr>
          <w:rFonts w:hint="default" w:ascii="Times New Roman" w:hAnsi="Times New Roman" w:cs="Times New Roman"/>
          <w:sz w:val="24"/>
          <w:szCs w:val="24"/>
        </w:rPr>
      </w:pPr>
      <w:r>
        <w:rPr>
          <w:rFonts w:ascii="Times New Roman" w:hAnsi="Times New Roman" w:cs="Times New Roman"/>
          <w:sz w:val="24"/>
          <w:szCs w:val="24"/>
        </w:rPr>
        <w:t xml:space="preserve">The clearance of CePPy from the kidneys was investigated using ICP-MS to measure cerium levels at 1 hour, 24 hours, and 14 days following the injection of (+)CePPy in both AKI and sham mice. </w:t>
      </w:r>
      <w:r>
        <w:rPr>
          <w:rFonts w:hint="default" w:ascii="Times New Roman" w:hAnsi="Times New Roman" w:cs="Times New Roman"/>
          <w:sz w:val="24"/>
          <w:szCs w:val="24"/>
        </w:rPr>
        <w:t>The control line represents baseline cerium levels detected by ICP-MS in kidneys of sham mice without CePPy administration. By 14 days, 89.68% of the accumulated (+)CePPy in sham mice and 89.61% in AKI mice had been eliminated from the kidneys.</w:t>
      </w:r>
    </w:p>
    <w:p w14:paraId="7A7A7EDE">
      <w:pPr>
        <w:rPr>
          <w:rFonts w:hint="default" w:ascii="Times New Roman" w:hAnsi="Times New Roman" w:cs="Times New Roman"/>
          <w:sz w:val="24"/>
          <w:szCs w:val="24"/>
        </w:rPr>
      </w:pPr>
    </w:p>
    <w:p w14:paraId="1516EC24">
      <w:pPr>
        <w:ind w:left="40" w:leftChars="-200" w:hanging="460" w:hangingChars="191"/>
        <w:jc w:val="center"/>
        <w:rPr>
          <w:rFonts w:ascii="Times New Roman" w:hAnsi="Times New Roman" w:cs="Times New Roman"/>
          <w:b/>
          <w:bCs/>
          <w:sz w:val="24"/>
          <w:szCs w:val="24"/>
        </w:rPr>
      </w:pPr>
      <w:r>
        <w:rPr>
          <w:rFonts w:hint="eastAsia" w:ascii="Times New Roman" w:hAnsi="Times New Roman" w:cs="Times New Roman" w:eastAsiaTheme="minorEastAsia"/>
          <w:b/>
          <w:bCs/>
          <w:color w:val="000000" w:themeColor="text1"/>
          <w:sz w:val="24"/>
          <w:szCs w:val="24"/>
          <w:lang w:eastAsia="zh-CN"/>
          <w14:textFill>
            <w14:solidFill>
              <w14:schemeClr w14:val="tx1"/>
            </w14:solidFill>
          </w14:textFill>
        </w:rPr>
        <w:drawing>
          <wp:inline distT="0" distB="0" distL="114300" distR="114300">
            <wp:extent cx="5602605" cy="1775460"/>
            <wp:effectExtent l="0" t="0" r="17145" b="15240"/>
            <wp:docPr id="3" name="图片 3" descr="JCI -图层未合并2-恢复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JCI -图层未合并2-恢复的"/>
                    <pic:cNvPicPr>
                      <a:picLocks noChangeAspect="1"/>
                    </pic:cNvPicPr>
                  </pic:nvPicPr>
                  <pic:blipFill>
                    <a:blip r:embed="rId23"/>
                    <a:stretch>
                      <a:fillRect/>
                    </a:stretch>
                  </pic:blipFill>
                  <pic:spPr>
                    <a:xfrm>
                      <a:off x="0" y="0"/>
                      <a:ext cx="5602605" cy="1775460"/>
                    </a:xfrm>
                    <a:prstGeom prst="rect">
                      <a:avLst/>
                    </a:prstGeom>
                  </pic:spPr>
                </pic:pic>
              </a:graphicData>
            </a:graphic>
          </wp:inline>
        </w:drawing>
      </w:r>
      <w:bookmarkStart w:id="3" w:name="OLE_LINK4"/>
    </w:p>
    <w:bookmarkEnd w:id="3"/>
    <w:p w14:paraId="2B6DE4E4">
      <w:pPr>
        <w:jc w:val="left"/>
        <w:rPr>
          <w:rFonts w:ascii="Times New Roman" w:hAnsi="Times New Roman" w:cs="Times New Roman"/>
          <w:b/>
          <w:bCs/>
          <w:sz w:val="24"/>
          <w:szCs w:val="24"/>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S19</w:t>
      </w:r>
      <w:r>
        <w:rPr>
          <w:rFonts w:hint="default" w:ascii="Times New Roman" w:hAnsi="Times New Roman" w:cs="Times New Roman"/>
          <w:b/>
          <w:bCs/>
          <w:sz w:val="24"/>
          <w:szCs w:val="24"/>
        </w:rPr>
        <w:t>. Effect of (+)CePPy on mitochondrial membrane potential in HK-2 cells at different concentrations.</w:t>
      </w:r>
    </w:p>
    <w:p w14:paraId="31F2C111">
      <w:pPr>
        <w:rPr>
          <w:rFonts w:hint="default" w:ascii="Times New Roman" w:hAnsi="Times New Roman" w:cs="Times New Roman"/>
          <w:sz w:val="24"/>
          <w:szCs w:val="24"/>
          <w:lang w:val="en-US" w:eastAsia="zh-CN"/>
        </w:rPr>
      </w:pPr>
      <w:r>
        <w:rPr>
          <w:rFonts w:hint="default" w:ascii="Times New Roman" w:hAnsi="Times New Roman" w:cs="Times New Roman"/>
          <w:sz w:val="24"/>
          <w:szCs w:val="24"/>
        </w:rPr>
        <w:t>Representative fluorescence microscopy images of mitochondrial membrane potential in the indicated treatment groups were assessed using JC-1 dye. The results demonstrated that (+)CePPy had no significant effect on mitochondrial membrane potential compared to the control group at various concentrations.</w:t>
      </w:r>
      <w:r>
        <w:rPr>
          <w:rFonts w:hint="default" w:ascii="Times New Roman" w:hAnsi="Times New Roman" w:cs="Times New Roman"/>
          <w:sz w:val="24"/>
          <w:szCs w:val="24"/>
          <w:lang w:val="en-US" w:eastAsia="zh-CN"/>
        </w:rPr>
        <w:t xml:space="preserve"> </w:t>
      </w:r>
    </w:p>
    <w:p w14:paraId="452A654D">
      <w:pPr>
        <w:ind w:left="-27" w:leftChars="-13" w:firstLine="33" w:firstLineChars="14"/>
        <w:jc w:val="left"/>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71770" cy="4999990"/>
            <wp:effectExtent l="0" t="0" r="5080" b="10160"/>
            <wp:docPr id="10" name="图片 10"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未标题-1"/>
                    <pic:cNvPicPr>
                      <a:picLocks noChangeAspect="1"/>
                    </pic:cNvPicPr>
                  </pic:nvPicPr>
                  <pic:blipFill>
                    <a:blip r:embed="rId24"/>
                    <a:stretch>
                      <a:fillRect/>
                    </a:stretch>
                  </pic:blipFill>
                  <pic:spPr>
                    <a:xfrm>
                      <a:off x="0" y="0"/>
                      <a:ext cx="5271770" cy="4999990"/>
                    </a:xfrm>
                    <a:prstGeom prst="rect">
                      <a:avLst/>
                    </a:prstGeom>
                  </pic:spPr>
                </pic:pic>
              </a:graphicData>
            </a:graphic>
          </wp:inline>
        </w:drawing>
      </w:r>
    </w:p>
    <w:p w14:paraId="65E320AA">
      <w:pPr>
        <w:numPr>
          <w:ilvl w:val="0"/>
          <w:numId w:val="0"/>
        </w:numPr>
        <w:ind w:leftChars="0"/>
        <w:jc w:val="center"/>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rPr>
        <w:t xml:space="preserve">Fig. </w:t>
      </w:r>
      <w:r>
        <w:rPr>
          <w:rFonts w:hint="eastAsia" w:ascii="Times New Roman" w:hAnsi="Times New Roman" w:cs="Times New Roman"/>
          <w:b/>
          <w:bCs/>
          <w:sz w:val="24"/>
          <w:szCs w:val="24"/>
          <w:lang w:val="en-US" w:eastAsia="zh-CN"/>
        </w:rPr>
        <w:t>S20</w:t>
      </w:r>
      <w:r>
        <w:rPr>
          <w:rFonts w:hint="default" w:ascii="Times New Roman" w:hAnsi="Times New Roman" w:cs="Times New Roman"/>
          <w:b/>
          <w:bCs/>
          <w:sz w:val="24"/>
          <w:szCs w:val="24"/>
        </w:rPr>
        <w:t>.</w:t>
      </w:r>
      <w:r>
        <w:rPr>
          <w:rFonts w:hint="eastAsia" w:ascii="Times New Roman" w:hAnsi="Times New Roman" w:cs="Times New Roman"/>
          <w:b/>
          <w:bCs/>
          <w:sz w:val="24"/>
          <w:szCs w:val="24"/>
          <w:lang w:val="en-US" w:eastAsia="zh-CN"/>
        </w:rPr>
        <w:t xml:space="preserve"> (+)CePPy promotes energy homeostasis restoration after AKI.</w:t>
      </w:r>
    </w:p>
    <w:p w14:paraId="7226FE9B">
      <w:pPr>
        <w:numPr>
          <w:ilvl w:val="0"/>
          <w:numId w:val="0"/>
        </w:numPr>
        <w:ind w:leftChars="0"/>
        <w:jc w:val="both"/>
        <w:rPr>
          <w:rFonts w:hint="default" w:ascii="Times New Roman" w:hAnsi="Times New Roman" w:cs="Times New Roman" w:eastAsiaTheme="minorEastAsia"/>
          <w:sz w:val="24"/>
          <w:szCs w:val="24"/>
          <w:lang w:val="en-US" w:eastAsia="zh-CN"/>
        </w:rPr>
      </w:pPr>
      <w:r>
        <w:rPr>
          <w:rFonts w:hint="eastAsia" w:ascii="Times New Roman" w:hAnsi="Times New Roman" w:cs="Times New Roman"/>
          <w:b/>
          <w:bCs/>
          <w:sz w:val="24"/>
          <w:szCs w:val="24"/>
          <w:lang w:val="en-US" w:eastAsia="zh-CN"/>
        </w:rPr>
        <w:t xml:space="preserve">A </w:t>
      </w:r>
      <w:r>
        <w:rPr>
          <w:rFonts w:hint="eastAsia" w:ascii="Times New Roman" w:hAnsi="Times New Roman" w:cs="Times New Roman" w:eastAsiaTheme="minorEastAsia"/>
          <w:sz w:val="24"/>
          <w:szCs w:val="24"/>
          <w:lang w:val="en-US" w:eastAsia="zh-CN"/>
        </w:rPr>
        <w:t>Significantly enriched GO Biological Process (GOBP) terms related to energy homeostasis regulation.</w:t>
      </w:r>
      <w:r>
        <w:rPr>
          <w:rFonts w:hint="eastAsia" w:ascii="Times New Roman" w:hAnsi="Times New Roman" w:cs="Times New Roman"/>
          <w:sz w:val="24"/>
          <w:szCs w:val="24"/>
          <w:lang w:val="en-US" w:eastAsia="zh-CN"/>
        </w:rPr>
        <w:t xml:space="preserve"> </w:t>
      </w:r>
      <w:r>
        <w:rPr>
          <w:rFonts w:hint="eastAsia" w:ascii="Times New Roman" w:hAnsi="Times New Roman" w:cs="Times New Roman"/>
          <w:b/>
          <w:bCs/>
          <w:sz w:val="24"/>
          <w:szCs w:val="24"/>
          <w:lang w:val="en-US" w:eastAsia="zh-CN"/>
        </w:rPr>
        <w:t>B</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Expression patterns of key genes involved in the identified energy metabolism pathways.</w:t>
      </w:r>
    </w:p>
    <w:p w14:paraId="103D7453">
      <w:pPr>
        <w:rPr>
          <w:rFonts w:hint="default" w:ascii="Times New Roman" w:hAnsi="Times New Roman" w:cs="Times New Roman"/>
          <w:b/>
          <w:bCs/>
          <w:sz w:val="24"/>
          <w:szCs w:val="24"/>
        </w:rPr>
      </w:pPr>
      <w:r>
        <w:rPr>
          <w:rFonts w:hint="default" w:ascii="Times New Roman" w:hAnsi="Times New Roman" w:cs="Times New Roman"/>
          <w:b/>
          <w:bCs/>
          <w:sz w:val="24"/>
          <w:szCs w:val="24"/>
        </w:rPr>
        <w:br w:type="page"/>
      </w:r>
    </w:p>
    <w:p w14:paraId="0E5F651D">
      <w:pPr>
        <w:jc w:val="left"/>
        <w:rPr>
          <w:rFonts w:hint="eastAsia"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rPr>
        <w:t>Supplementary Table</w:t>
      </w:r>
      <w:r>
        <w:rPr>
          <w:rFonts w:hint="eastAsia" w:ascii="Times New Roman" w:hAnsi="Times New Roman" w:cs="Times New Roman"/>
          <w:b/>
          <w:bCs/>
          <w:sz w:val="24"/>
          <w:szCs w:val="24"/>
          <w:lang w:val="en-US" w:eastAsia="zh-CN"/>
        </w:rPr>
        <w:t>s</w:t>
      </w:r>
    </w:p>
    <w:p w14:paraId="0266FCCE">
      <w:pPr>
        <w:jc w:val="left"/>
        <w:rPr>
          <w:rFonts w:hint="default" w:ascii="Times New Roman" w:hAnsi="Times New Roman" w:cs="Times New Roman"/>
          <w:b/>
          <w:bCs/>
          <w:sz w:val="24"/>
          <w:szCs w:val="24"/>
        </w:rPr>
      </w:pPr>
    </w:p>
    <w:p w14:paraId="1199538B">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Table </w:t>
      </w:r>
      <w:r>
        <w:rPr>
          <w:rFonts w:hint="eastAsia" w:ascii="Times New Roman" w:hAnsi="Times New Roman" w:cs="Times New Roman"/>
          <w:b/>
          <w:bCs/>
          <w:sz w:val="24"/>
          <w:szCs w:val="24"/>
          <w:lang w:val="en-US" w:eastAsia="zh-CN"/>
        </w:rPr>
        <w:t>S</w:t>
      </w:r>
      <w:r>
        <w:rPr>
          <w:rFonts w:hint="default" w:ascii="Times New Roman" w:hAnsi="Times New Roman" w:cs="Times New Roman"/>
          <w:b/>
          <w:bCs/>
          <w:sz w:val="24"/>
          <w:szCs w:val="24"/>
        </w:rPr>
        <w:t>1</w:t>
      </w:r>
      <w:r>
        <w:rPr>
          <w:rFonts w:hint="eastAsia" w:ascii="Times New Roman" w:hAnsi="Times New Roman" w:cs="Times New Roman"/>
          <w:b/>
          <w:bCs/>
          <w:sz w:val="24"/>
          <w:szCs w:val="24"/>
          <w:lang w:val="en-US" w:eastAsia="zh-CN"/>
        </w:rPr>
        <w:t>.</w:t>
      </w:r>
      <w:r>
        <w:rPr>
          <w:rFonts w:hint="default" w:ascii="Times New Roman" w:hAnsi="Times New Roman" w:cs="Times New Roman"/>
          <w:b/>
          <w:bCs/>
          <w:sz w:val="24"/>
          <w:szCs w:val="24"/>
        </w:rPr>
        <w:t xml:space="preserve"> Antibody list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1801"/>
        <w:gridCol w:w="2347"/>
      </w:tblGrid>
      <w:tr w14:paraId="2F5A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074" w:type="dxa"/>
            <w:tcBorders>
              <w:left w:val="nil"/>
              <w:bottom w:val="single" w:color="auto" w:sz="4" w:space="0"/>
              <w:right w:val="nil"/>
            </w:tcBorders>
            <w:vAlign w:val="center"/>
          </w:tcPr>
          <w:p w14:paraId="29934F00">
            <w:pPr>
              <w:jc w:val="left"/>
              <w:rPr>
                <w:rFonts w:hint="default" w:ascii="Times New Roman" w:hAnsi="Times New Roman" w:cs="Times New Roman"/>
                <w:sz w:val="24"/>
                <w:szCs w:val="24"/>
              </w:rPr>
            </w:pPr>
            <w:r>
              <w:rPr>
                <w:rFonts w:hint="default" w:ascii="Times New Roman" w:hAnsi="Times New Roman" w:cs="Times New Roman"/>
                <w:sz w:val="24"/>
                <w:szCs w:val="24"/>
              </w:rPr>
              <w:t>Antibody</w:t>
            </w:r>
          </w:p>
        </w:tc>
        <w:tc>
          <w:tcPr>
            <w:tcW w:w="2074" w:type="dxa"/>
            <w:tcBorders>
              <w:left w:val="nil"/>
              <w:bottom w:val="single" w:color="auto" w:sz="4" w:space="0"/>
              <w:right w:val="nil"/>
            </w:tcBorders>
            <w:vAlign w:val="center"/>
          </w:tcPr>
          <w:p w14:paraId="2E95BA41">
            <w:pPr>
              <w:jc w:val="left"/>
              <w:rPr>
                <w:rFonts w:hint="default" w:ascii="Times New Roman" w:hAnsi="Times New Roman" w:cs="Times New Roman"/>
                <w:sz w:val="24"/>
                <w:szCs w:val="24"/>
              </w:rPr>
            </w:pPr>
            <w:r>
              <w:rPr>
                <w:rFonts w:hint="default" w:ascii="Times New Roman" w:hAnsi="Times New Roman" w:cs="Times New Roman"/>
                <w:sz w:val="24"/>
                <w:szCs w:val="24"/>
              </w:rPr>
              <w:t>Company</w:t>
            </w:r>
          </w:p>
        </w:tc>
        <w:tc>
          <w:tcPr>
            <w:tcW w:w="1801" w:type="dxa"/>
            <w:tcBorders>
              <w:left w:val="nil"/>
              <w:bottom w:val="single" w:color="auto" w:sz="4" w:space="0"/>
              <w:right w:val="nil"/>
            </w:tcBorders>
            <w:vAlign w:val="center"/>
          </w:tcPr>
          <w:p w14:paraId="65F43D8B">
            <w:pPr>
              <w:jc w:val="left"/>
              <w:rPr>
                <w:rFonts w:hint="eastAsia" w:ascii="Times New Roman" w:hAnsi="Times New Roman" w:cs="Times New Roman"/>
                <w:sz w:val="24"/>
                <w:szCs w:val="24"/>
              </w:rPr>
            </w:pPr>
            <w:r>
              <w:rPr>
                <w:rFonts w:hint="default" w:ascii="Times New Roman" w:hAnsi="Times New Roman" w:cs="Times New Roman"/>
                <w:sz w:val="24"/>
                <w:szCs w:val="24"/>
              </w:rPr>
              <w:t>Catalog No</w:t>
            </w:r>
          </w:p>
        </w:tc>
        <w:tc>
          <w:tcPr>
            <w:tcW w:w="2347" w:type="dxa"/>
            <w:tcBorders>
              <w:left w:val="nil"/>
              <w:bottom w:val="single" w:color="auto" w:sz="4" w:space="0"/>
              <w:right w:val="nil"/>
            </w:tcBorders>
            <w:vAlign w:val="center"/>
          </w:tcPr>
          <w:p w14:paraId="5D9FEA24">
            <w:pPr>
              <w:jc w:val="left"/>
              <w:rPr>
                <w:rFonts w:hint="default" w:ascii="Times New Roman" w:hAnsi="Times New Roman" w:cs="Times New Roman"/>
                <w:sz w:val="24"/>
                <w:szCs w:val="24"/>
              </w:rPr>
            </w:pPr>
            <w:r>
              <w:rPr>
                <w:rFonts w:hint="default" w:ascii="Times New Roman" w:hAnsi="Times New Roman" w:cs="Times New Roman"/>
                <w:sz w:val="24"/>
                <w:szCs w:val="24"/>
              </w:rPr>
              <w:t>Dilution/Application</w:t>
            </w:r>
          </w:p>
        </w:tc>
      </w:tr>
      <w:tr w14:paraId="3C6F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nil"/>
              <w:bottom w:val="nil"/>
              <w:right w:val="nil"/>
            </w:tcBorders>
            <w:vAlign w:val="center"/>
          </w:tcPr>
          <w:p w14:paraId="75BF0544">
            <w:pPr>
              <w:jc w:val="left"/>
              <w:rPr>
                <w:rFonts w:hint="default" w:ascii="Times New Roman" w:hAnsi="Times New Roman" w:cs="Times New Roman"/>
                <w:sz w:val="24"/>
                <w:szCs w:val="24"/>
              </w:rPr>
            </w:pPr>
            <w:r>
              <w:rPr>
                <w:rFonts w:hint="default" w:ascii="Times New Roman" w:hAnsi="Times New Roman" w:cs="Times New Roman"/>
                <w:sz w:val="24"/>
                <w:szCs w:val="24"/>
              </w:rPr>
              <w:t>Lotus Tetragonolobus Lectin (LTL</w:t>
            </w:r>
            <w:r>
              <w:rPr>
                <w:rFonts w:hint="eastAsia" w:ascii="Times New Roman" w:hAnsi="Times New Roman" w:cs="Times New Roman"/>
                <w:sz w:val="24"/>
                <w:szCs w:val="24"/>
              </w:rPr>
              <w:t>)</w:t>
            </w:r>
          </w:p>
        </w:tc>
        <w:tc>
          <w:tcPr>
            <w:tcW w:w="2074" w:type="dxa"/>
            <w:tcBorders>
              <w:top w:val="single" w:color="auto" w:sz="4" w:space="0"/>
              <w:left w:val="nil"/>
              <w:bottom w:val="nil"/>
              <w:right w:val="nil"/>
            </w:tcBorders>
            <w:vAlign w:val="center"/>
          </w:tcPr>
          <w:p w14:paraId="392EE851">
            <w:pPr>
              <w:jc w:val="left"/>
              <w:rPr>
                <w:rFonts w:hint="default" w:ascii="Times New Roman" w:hAnsi="Times New Roman" w:cs="Times New Roman"/>
                <w:sz w:val="24"/>
                <w:szCs w:val="24"/>
              </w:rPr>
            </w:pPr>
            <w:r>
              <w:rPr>
                <w:rFonts w:hint="default" w:ascii="Times New Roman" w:hAnsi="Times New Roman" w:cs="Times New Roman"/>
                <w:sz w:val="24"/>
                <w:szCs w:val="24"/>
              </w:rPr>
              <w:t>Vector Laboratories</w:t>
            </w:r>
          </w:p>
        </w:tc>
        <w:tc>
          <w:tcPr>
            <w:tcW w:w="1801" w:type="dxa"/>
            <w:tcBorders>
              <w:top w:val="single" w:color="auto" w:sz="4" w:space="0"/>
              <w:left w:val="nil"/>
              <w:bottom w:val="nil"/>
              <w:right w:val="nil"/>
            </w:tcBorders>
            <w:vAlign w:val="center"/>
          </w:tcPr>
          <w:p w14:paraId="3D2003AF">
            <w:pPr>
              <w:jc w:val="left"/>
              <w:rPr>
                <w:rFonts w:hint="default" w:ascii="Times New Roman" w:hAnsi="Times New Roman" w:cs="Times New Roman"/>
                <w:sz w:val="24"/>
                <w:szCs w:val="24"/>
              </w:rPr>
            </w:pPr>
            <w:r>
              <w:rPr>
                <w:rFonts w:hint="default" w:ascii="Times New Roman" w:hAnsi="Times New Roman" w:cs="Times New Roman"/>
                <w:sz w:val="24"/>
                <w:szCs w:val="24"/>
              </w:rPr>
              <w:t>FLe1321</w:t>
            </w:r>
          </w:p>
        </w:tc>
        <w:tc>
          <w:tcPr>
            <w:tcW w:w="2347" w:type="dxa"/>
            <w:tcBorders>
              <w:top w:val="single" w:color="auto" w:sz="4" w:space="0"/>
              <w:left w:val="nil"/>
              <w:bottom w:val="nil"/>
              <w:right w:val="nil"/>
            </w:tcBorders>
            <w:vAlign w:val="center"/>
          </w:tcPr>
          <w:p w14:paraId="063EA9BE">
            <w:pPr>
              <w:jc w:val="left"/>
              <w:rPr>
                <w:rFonts w:hint="default" w:ascii="Times New Roman" w:hAnsi="Times New Roman" w:cs="Times New Roman"/>
                <w:sz w:val="24"/>
                <w:szCs w:val="24"/>
              </w:rPr>
            </w:pPr>
            <w:r>
              <w:rPr>
                <w:rFonts w:hint="eastAsia" w:ascii="Times New Roman" w:hAnsi="Times New Roman" w:cs="Times New Roman"/>
                <w:sz w:val="24"/>
                <w:szCs w:val="24"/>
              </w:rPr>
              <w:t>1:2</w:t>
            </w:r>
            <w:r>
              <w:rPr>
                <w:rFonts w:hint="default" w:ascii="Times New Roman" w:hAnsi="Times New Roman" w:cs="Times New Roman"/>
                <w:sz w:val="24"/>
                <w:szCs w:val="24"/>
              </w:rPr>
              <w:t>00 (IF)</w:t>
            </w:r>
          </w:p>
        </w:tc>
      </w:tr>
      <w:tr w14:paraId="4F1C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nil"/>
              <w:left w:val="nil"/>
              <w:bottom w:val="nil"/>
              <w:right w:val="nil"/>
            </w:tcBorders>
            <w:vAlign w:val="center"/>
          </w:tcPr>
          <w:p w14:paraId="51590CA5">
            <w:pPr>
              <w:jc w:val="left"/>
              <w:rPr>
                <w:rFonts w:hint="default" w:ascii="Times New Roman" w:hAnsi="Times New Roman" w:cs="Times New Roman"/>
                <w:sz w:val="24"/>
                <w:szCs w:val="24"/>
              </w:rPr>
            </w:pPr>
            <w:r>
              <w:rPr>
                <w:rFonts w:hint="eastAsia" w:ascii="Times New Roman" w:hAnsi="Times New Roman" w:cs="Times New Roman"/>
                <w:sz w:val="24"/>
                <w:szCs w:val="24"/>
              </w:rPr>
              <w:t>En</w:t>
            </w:r>
            <w:r>
              <w:rPr>
                <w:rFonts w:hint="default" w:ascii="Times New Roman" w:hAnsi="Times New Roman" w:cs="Times New Roman"/>
                <w:sz w:val="24"/>
                <w:szCs w:val="24"/>
              </w:rPr>
              <w:t>domucin</w:t>
            </w:r>
          </w:p>
        </w:tc>
        <w:tc>
          <w:tcPr>
            <w:tcW w:w="2074" w:type="dxa"/>
            <w:tcBorders>
              <w:top w:val="nil"/>
              <w:left w:val="nil"/>
              <w:bottom w:val="nil"/>
              <w:right w:val="nil"/>
            </w:tcBorders>
            <w:vAlign w:val="center"/>
          </w:tcPr>
          <w:p w14:paraId="02DB2717">
            <w:pPr>
              <w:jc w:val="left"/>
              <w:rPr>
                <w:rFonts w:hint="default" w:ascii="Times New Roman" w:hAnsi="Times New Roman" w:cs="Times New Roman"/>
                <w:sz w:val="24"/>
                <w:szCs w:val="24"/>
              </w:rPr>
            </w:pPr>
            <w:r>
              <w:rPr>
                <w:rFonts w:hint="default" w:ascii="Times New Roman" w:hAnsi="Times New Roman" w:cs="Times New Roman"/>
                <w:sz w:val="24"/>
                <w:szCs w:val="24"/>
              </w:rPr>
              <w:t>Santa Cruz</w:t>
            </w:r>
          </w:p>
        </w:tc>
        <w:tc>
          <w:tcPr>
            <w:tcW w:w="1801" w:type="dxa"/>
            <w:tcBorders>
              <w:top w:val="nil"/>
              <w:left w:val="nil"/>
              <w:bottom w:val="nil"/>
              <w:right w:val="nil"/>
            </w:tcBorders>
            <w:vAlign w:val="center"/>
          </w:tcPr>
          <w:p w14:paraId="1C5A6058">
            <w:pPr>
              <w:jc w:val="left"/>
              <w:rPr>
                <w:rFonts w:hint="default" w:ascii="Times New Roman" w:hAnsi="Times New Roman" w:cs="Times New Roman"/>
                <w:sz w:val="24"/>
                <w:szCs w:val="24"/>
              </w:rPr>
            </w:pPr>
            <w:r>
              <w:rPr>
                <w:rFonts w:hint="default" w:ascii="Times New Roman" w:hAnsi="Times New Roman" w:cs="Times New Roman"/>
                <w:sz w:val="24"/>
                <w:szCs w:val="24"/>
              </w:rPr>
              <w:t>sc-65495</w:t>
            </w:r>
          </w:p>
        </w:tc>
        <w:tc>
          <w:tcPr>
            <w:tcW w:w="2347" w:type="dxa"/>
            <w:tcBorders>
              <w:top w:val="nil"/>
              <w:left w:val="nil"/>
              <w:bottom w:val="nil"/>
              <w:right w:val="nil"/>
            </w:tcBorders>
            <w:vAlign w:val="center"/>
          </w:tcPr>
          <w:p w14:paraId="00C65B02">
            <w:pPr>
              <w:jc w:val="left"/>
              <w:rPr>
                <w:rFonts w:hint="default" w:ascii="Times New Roman" w:hAnsi="Times New Roman" w:cs="Times New Roman"/>
                <w:sz w:val="24"/>
                <w:szCs w:val="24"/>
              </w:rPr>
            </w:pPr>
            <w:r>
              <w:rPr>
                <w:rFonts w:hint="default" w:ascii="Times New Roman" w:hAnsi="Times New Roman" w:cs="Times New Roman"/>
                <w:sz w:val="24"/>
                <w:szCs w:val="24"/>
              </w:rPr>
              <w:t>1:200 (IF)</w:t>
            </w:r>
          </w:p>
        </w:tc>
      </w:tr>
      <w:tr w14:paraId="21C6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nil"/>
              <w:left w:val="nil"/>
              <w:bottom w:val="nil"/>
              <w:right w:val="nil"/>
            </w:tcBorders>
            <w:shd w:val="clear" w:color="auto" w:fill="auto"/>
            <w:vAlign w:val="center"/>
          </w:tcPr>
          <w:p w14:paraId="3A39795E">
            <w:pPr>
              <w:jc w:val="left"/>
              <w:rPr>
                <w:rFonts w:hint="eastAsia" w:ascii="Times New Roman" w:hAnsi="Times New Roman" w:cs="Times New Roman"/>
                <w:sz w:val="24"/>
                <w:szCs w:val="24"/>
                <w:lang w:val="en-US" w:eastAsia="zh-CN"/>
              </w:rPr>
            </w:pPr>
            <w:r>
              <w:rPr>
                <w:rFonts w:hint="default" w:ascii="Times New Roman" w:hAnsi="Times New Roman" w:cs="Times New Roman"/>
                <w:sz w:val="24"/>
                <w:szCs w:val="24"/>
              </w:rPr>
              <w:t>KIM-1</w:t>
            </w:r>
          </w:p>
        </w:tc>
        <w:tc>
          <w:tcPr>
            <w:tcW w:w="2074" w:type="dxa"/>
            <w:tcBorders>
              <w:top w:val="nil"/>
              <w:left w:val="nil"/>
              <w:bottom w:val="nil"/>
              <w:right w:val="nil"/>
            </w:tcBorders>
            <w:shd w:val="clear" w:color="auto" w:fill="auto"/>
            <w:vAlign w:val="center"/>
          </w:tcPr>
          <w:p w14:paraId="7FE79E5A">
            <w:pPr>
              <w:jc w:val="left"/>
              <w:rPr>
                <w:rFonts w:hint="eastAsia" w:ascii="Times New Roman" w:hAnsi="Times New Roman" w:cs="Times New Roman"/>
                <w:sz w:val="24"/>
                <w:szCs w:val="24"/>
                <w:lang w:val="en-US" w:eastAsia="zh-CN"/>
              </w:rPr>
            </w:pPr>
            <w:r>
              <w:rPr>
                <w:rFonts w:hint="default" w:ascii="Times New Roman" w:hAnsi="Times New Roman" w:cs="Times New Roman"/>
                <w:sz w:val="24"/>
                <w:szCs w:val="24"/>
              </w:rPr>
              <w:t>R&amp;D</w:t>
            </w:r>
          </w:p>
        </w:tc>
        <w:tc>
          <w:tcPr>
            <w:tcW w:w="1801" w:type="dxa"/>
            <w:tcBorders>
              <w:top w:val="nil"/>
              <w:left w:val="nil"/>
              <w:bottom w:val="nil"/>
              <w:right w:val="nil"/>
            </w:tcBorders>
            <w:shd w:val="clear" w:color="auto" w:fill="auto"/>
            <w:vAlign w:val="center"/>
          </w:tcPr>
          <w:p w14:paraId="5C23B13C">
            <w:pPr>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rPr>
              <w:t>AF1817</w:t>
            </w:r>
          </w:p>
        </w:tc>
        <w:tc>
          <w:tcPr>
            <w:tcW w:w="2347" w:type="dxa"/>
            <w:tcBorders>
              <w:top w:val="nil"/>
              <w:left w:val="nil"/>
              <w:bottom w:val="nil"/>
              <w:right w:val="nil"/>
            </w:tcBorders>
            <w:shd w:val="clear" w:color="auto" w:fill="auto"/>
            <w:vAlign w:val="center"/>
          </w:tcPr>
          <w:p w14:paraId="4AE97812">
            <w:pPr>
              <w:jc w:val="left"/>
              <w:rPr>
                <w:rFonts w:hint="default" w:ascii="Times New Roman" w:hAnsi="Times New Roman" w:cs="Times New Roman"/>
                <w:sz w:val="24"/>
                <w:szCs w:val="24"/>
              </w:rPr>
            </w:pPr>
            <w:r>
              <w:rPr>
                <w:rFonts w:hint="eastAsia" w:ascii="Times New Roman" w:hAnsi="Times New Roman" w:cs="Times New Roman"/>
                <w:sz w:val="24"/>
                <w:szCs w:val="24"/>
              </w:rPr>
              <w:t>1</w:t>
            </w:r>
            <w:r>
              <w:rPr>
                <w:rFonts w:hint="default" w:ascii="Times New Roman" w:hAnsi="Times New Roman" w:cs="Times New Roman"/>
                <w:sz w:val="24"/>
                <w:szCs w:val="24"/>
              </w:rPr>
              <w:t>:200 (IF)</w:t>
            </w:r>
          </w:p>
          <w:p w14:paraId="21666632">
            <w:pPr>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rPr>
              <w:t>1:</w:t>
            </w:r>
            <w:r>
              <w:rPr>
                <w:rFonts w:hint="default" w:ascii="Times New Roman" w:hAnsi="Times New Roman" w:cs="Times New Roman"/>
                <w:sz w:val="24"/>
                <w:szCs w:val="24"/>
              </w:rPr>
              <w:t>1000 (WB)</w:t>
            </w:r>
          </w:p>
        </w:tc>
      </w:tr>
      <w:tr w14:paraId="386E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nil"/>
              <w:left w:val="nil"/>
              <w:bottom w:val="nil"/>
              <w:right w:val="nil"/>
            </w:tcBorders>
            <w:shd w:val="clear" w:color="auto" w:fill="auto"/>
            <w:vAlign w:val="center"/>
          </w:tcPr>
          <w:p w14:paraId="721EE3E1">
            <w:pPr>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rPr>
              <w:t>B</w:t>
            </w:r>
            <w:r>
              <w:rPr>
                <w:rFonts w:hint="default" w:ascii="Times New Roman" w:hAnsi="Times New Roman" w:cs="Times New Roman"/>
                <w:sz w:val="24"/>
                <w:szCs w:val="24"/>
              </w:rPr>
              <w:t>AX</w:t>
            </w:r>
          </w:p>
        </w:tc>
        <w:tc>
          <w:tcPr>
            <w:tcW w:w="2074" w:type="dxa"/>
            <w:tcBorders>
              <w:top w:val="nil"/>
              <w:left w:val="nil"/>
              <w:bottom w:val="nil"/>
              <w:right w:val="nil"/>
            </w:tcBorders>
            <w:shd w:val="clear" w:color="auto" w:fill="auto"/>
            <w:vAlign w:val="center"/>
          </w:tcPr>
          <w:p w14:paraId="59FFA073">
            <w:pPr>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roteintech</w:t>
            </w:r>
          </w:p>
        </w:tc>
        <w:tc>
          <w:tcPr>
            <w:tcW w:w="1801" w:type="dxa"/>
            <w:tcBorders>
              <w:top w:val="nil"/>
              <w:left w:val="nil"/>
              <w:bottom w:val="nil"/>
              <w:right w:val="nil"/>
            </w:tcBorders>
            <w:shd w:val="clear" w:color="auto" w:fill="auto"/>
            <w:vAlign w:val="center"/>
          </w:tcPr>
          <w:p w14:paraId="15083CB8">
            <w:pPr>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rPr>
              <w:t>5</w:t>
            </w:r>
            <w:r>
              <w:rPr>
                <w:rFonts w:hint="default" w:ascii="Times New Roman" w:hAnsi="Times New Roman" w:cs="Times New Roman"/>
                <w:sz w:val="24"/>
                <w:szCs w:val="24"/>
              </w:rPr>
              <w:t>0599-2</w:t>
            </w:r>
          </w:p>
        </w:tc>
        <w:tc>
          <w:tcPr>
            <w:tcW w:w="2347" w:type="dxa"/>
            <w:tcBorders>
              <w:top w:val="nil"/>
              <w:left w:val="nil"/>
              <w:bottom w:val="nil"/>
              <w:right w:val="nil"/>
            </w:tcBorders>
            <w:shd w:val="clear" w:color="auto" w:fill="auto"/>
            <w:vAlign w:val="center"/>
          </w:tcPr>
          <w:p w14:paraId="6A6094B1">
            <w:pPr>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rPr>
              <w:t>1:</w:t>
            </w:r>
            <w:r>
              <w:rPr>
                <w:rFonts w:hint="default" w:ascii="Times New Roman" w:hAnsi="Times New Roman" w:cs="Times New Roman"/>
                <w:sz w:val="24"/>
                <w:szCs w:val="24"/>
              </w:rPr>
              <w:t>1000 (WB)</w:t>
            </w:r>
          </w:p>
        </w:tc>
      </w:tr>
      <w:tr w14:paraId="299F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nil"/>
              <w:left w:val="nil"/>
              <w:bottom w:val="nil"/>
              <w:right w:val="nil"/>
            </w:tcBorders>
            <w:shd w:val="clear" w:color="auto" w:fill="auto"/>
            <w:vAlign w:val="center"/>
          </w:tcPr>
          <w:p w14:paraId="1D10E0BC">
            <w:pPr>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rPr>
              <w:t>Cl</w:t>
            </w:r>
            <w:r>
              <w:rPr>
                <w:rFonts w:hint="default" w:ascii="Times New Roman" w:hAnsi="Times New Roman" w:cs="Times New Roman"/>
                <w:sz w:val="24"/>
                <w:szCs w:val="24"/>
              </w:rPr>
              <w:t>eaved caspase 3</w:t>
            </w:r>
          </w:p>
        </w:tc>
        <w:tc>
          <w:tcPr>
            <w:tcW w:w="2074" w:type="dxa"/>
            <w:tcBorders>
              <w:top w:val="nil"/>
              <w:left w:val="nil"/>
              <w:bottom w:val="nil"/>
              <w:right w:val="nil"/>
            </w:tcBorders>
            <w:shd w:val="clear" w:color="auto" w:fill="auto"/>
            <w:vAlign w:val="center"/>
          </w:tcPr>
          <w:p w14:paraId="6C63EB0F">
            <w:pPr>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rPr>
              <w:t>C</w:t>
            </w:r>
            <w:r>
              <w:rPr>
                <w:rFonts w:hint="default" w:ascii="Times New Roman" w:hAnsi="Times New Roman" w:cs="Times New Roman"/>
                <w:sz w:val="24"/>
                <w:szCs w:val="24"/>
              </w:rPr>
              <w:t>ST</w:t>
            </w:r>
          </w:p>
        </w:tc>
        <w:tc>
          <w:tcPr>
            <w:tcW w:w="1801" w:type="dxa"/>
            <w:tcBorders>
              <w:top w:val="nil"/>
              <w:left w:val="nil"/>
              <w:bottom w:val="nil"/>
              <w:right w:val="nil"/>
            </w:tcBorders>
            <w:shd w:val="clear" w:color="auto" w:fill="auto"/>
            <w:vAlign w:val="center"/>
          </w:tcPr>
          <w:p w14:paraId="07741088">
            <w:pPr>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rPr>
              <w:t>9661</w:t>
            </w:r>
          </w:p>
        </w:tc>
        <w:tc>
          <w:tcPr>
            <w:tcW w:w="2347" w:type="dxa"/>
            <w:tcBorders>
              <w:top w:val="nil"/>
              <w:left w:val="nil"/>
              <w:bottom w:val="nil"/>
              <w:right w:val="nil"/>
            </w:tcBorders>
            <w:shd w:val="clear" w:color="auto" w:fill="auto"/>
            <w:vAlign w:val="center"/>
          </w:tcPr>
          <w:p w14:paraId="26A3C46F">
            <w:pPr>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rPr>
              <w:t>1</w:t>
            </w:r>
            <w:r>
              <w:rPr>
                <w:rFonts w:hint="default" w:ascii="Times New Roman" w:hAnsi="Times New Roman" w:cs="Times New Roman"/>
                <w:sz w:val="24"/>
                <w:szCs w:val="24"/>
              </w:rPr>
              <w:t>:1000 (WB)</w:t>
            </w:r>
          </w:p>
        </w:tc>
      </w:tr>
      <w:tr w14:paraId="57AAC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nil"/>
              <w:left w:val="nil"/>
              <w:bottom w:val="nil"/>
              <w:right w:val="nil"/>
            </w:tcBorders>
            <w:shd w:val="clear" w:color="auto" w:fill="auto"/>
            <w:vAlign w:val="center"/>
          </w:tcPr>
          <w:p w14:paraId="456358F8">
            <w:pPr>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rPr>
              <w:t>M</w:t>
            </w:r>
            <w:r>
              <w:rPr>
                <w:rFonts w:hint="default" w:ascii="Times New Roman" w:hAnsi="Times New Roman" w:cs="Times New Roman"/>
                <w:sz w:val="24"/>
                <w:szCs w:val="24"/>
              </w:rPr>
              <w:t>pv17l</w:t>
            </w:r>
          </w:p>
        </w:tc>
        <w:tc>
          <w:tcPr>
            <w:tcW w:w="2074" w:type="dxa"/>
            <w:tcBorders>
              <w:top w:val="nil"/>
              <w:left w:val="nil"/>
              <w:bottom w:val="nil"/>
              <w:right w:val="nil"/>
            </w:tcBorders>
            <w:shd w:val="clear" w:color="auto" w:fill="auto"/>
            <w:vAlign w:val="center"/>
          </w:tcPr>
          <w:p w14:paraId="439D7BCC">
            <w:pPr>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rPr>
              <w:t>Proteintech</w:t>
            </w:r>
          </w:p>
        </w:tc>
        <w:tc>
          <w:tcPr>
            <w:tcW w:w="1801" w:type="dxa"/>
            <w:tcBorders>
              <w:top w:val="nil"/>
              <w:left w:val="nil"/>
              <w:bottom w:val="nil"/>
              <w:right w:val="nil"/>
            </w:tcBorders>
            <w:shd w:val="clear" w:color="auto" w:fill="auto"/>
            <w:vAlign w:val="center"/>
          </w:tcPr>
          <w:p w14:paraId="5759B33B">
            <w:pPr>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rPr>
              <w:t>10310-1-AP</w:t>
            </w:r>
          </w:p>
        </w:tc>
        <w:tc>
          <w:tcPr>
            <w:tcW w:w="2347" w:type="dxa"/>
            <w:tcBorders>
              <w:top w:val="nil"/>
              <w:left w:val="nil"/>
              <w:bottom w:val="nil"/>
              <w:right w:val="nil"/>
            </w:tcBorders>
            <w:shd w:val="clear" w:color="auto" w:fill="auto"/>
            <w:vAlign w:val="center"/>
          </w:tcPr>
          <w:p w14:paraId="647408AA">
            <w:pPr>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rPr>
              <w:t>1</w:t>
            </w:r>
            <w:r>
              <w:rPr>
                <w:rFonts w:hint="default" w:ascii="Times New Roman" w:hAnsi="Times New Roman" w:cs="Times New Roman"/>
                <w:sz w:val="24"/>
                <w:szCs w:val="24"/>
              </w:rPr>
              <w:t>:1000 (WB)</w:t>
            </w:r>
          </w:p>
        </w:tc>
      </w:tr>
      <w:tr w14:paraId="14C8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nil"/>
              <w:left w:val="nil"/>
              <w:bottom w:val="nil"/>
              <w:right w:val="nil"/>
            </w:tcBorders>
            <w:shd w:val="clear" w:color="auto" w:fill="auto"/>
            <w:vAlign w:val="center"/>
          </w:tcPr>
          <w:p w14:paraId="2769E6DA">
            <w:pPr>
              <w:jc w:val="left"/>
              <w:rPr>
                <w:rFonts w:hint="eastAsia" w:ascii="Times New Roman" w:hAnsi="Times New Roman" w:cs="Times New Roman"/>
                <w:sz w:val="24"/>
                <w:szCs w:val="24"/>
                <w:lang w:val="en-US" w:eastAsia="zh-CN"/>
              </w:rPr>
            </w:pPr>
            <w:r>
              <w:rPr>
                <w:rFonts w:hint="default" w:ascii="Times New Roman" w:hAnsi="Times New Roman" w:cs="Times New Roman"/>
                <w:sz w:val="24"/>
                <w:szCs w:val="24"/>
              </w:rPr>
              <w:t>α-SMA</w:t>
            </w:r>
          </w:p>
        </w:tc>
        <w:tc>
          <w:tcPr>
            <w:tcW w:w="2074" w:type="dxa"/>
            <w:tcBorders>
              <w:top w:val="nil"/>
              <w:left w:val="nil"/>
              <w:bottom w:val="nil"/>
              <w:right w:val="nil"/>
            </w:tcBorders>
            <w:shd w:val="clear" w:color="auto" w:fill="auto"/>
            <w:vAlign w:val="center"/>
          </w:tcPr>
          <w:p w14:paraId="602D1C2B">
            <w:pPr>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rPr>
              <w:t>Abcam</w:t>
            </w:r>
          </w:p>
        </w:tc>
        <w:tc>
          <w:tcPr>
            <w:tcW w:w="1801" w:type="dxa"/>
            <w:tcBorders>
              <w:top w:val="nil"/>
              <w:left w:val="nil"/>
              <w:bottom w:val="nil"/>
              <w:right w:val="nil"/>
            </w:tcBorders>
            <w:shd w:val="clear" w:color="auto" w:fill="auto"/>
            <w:vAlign w:val="center"/>
          </w:tcPr>
          <w:p w14:paraId="7E6E9AF5">
            <w:pPr>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rPr>
              <w:t>ab7817</w:t>
            </w:r>
          </w:p>
        </w:tc>
        <w:tc>
          <w:tcPr>
            <w:tcW w:w="2347" w:type="dxa"/>
            <w:tcBorders>
              <w:top w:val="nil"/>
              <w:left w:val="nil"/>
              <w:bottom w:val="nil"/>
              <w:right w:val="nil"/>
            </w:tcBorders>
            <w:shd w:val="clear" w:color="auto" w:fill="auto"/>
            <w:vAlign w:val="center"/>
          </w:tcPr>
          <w:p w14:paraId="00EEB3E9">
            <w:pPr>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rPr>
              <w:t>1</w:t>
            </w:r>
            <w:r>
              <w:rPr>
                <w:rFonts w:hint="default" w:ascii="Times New Roman" w:hAnsi="Times New Roman" w:cs="Times New Roman"/>
                <w:sz w:val="24"/>
                <w:szCs w:val="24"/>
              </w:rPr>
              <w:t>:1000 (WB)</w:t>
            </w:r>
          </w:p>
        </w:tc>
      </w:tr>
      <w:tr w14:paraId="7F9EE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nil"/>
              <w:left w:val="nil"/>
              <w:bottom w:val="nil"/>
              <w:right w:val="nil"/>
            </w:tcBorders>
            <w:shd w:val="clear" w:color="auto" w:fill="auto"/>
            <w:vAlign w:val="center"/>
          </w:tcPr>
          <w:p w14:paraId="5351BC30">
            <w:pPr>
              <w:jc w:val="left"/>
              <w:rPr>
                <w:rFonts w:hint="default" w:ascii="Times New Roman" w:hAnsi="Times New Roman" w:cs="Times New Roman"/>
                <w:sz w:val="24"/>
                <w:szCs w:val="24"/>
              </w:rPr>
            </w:pPr>
            <w:r>
              <w:rPr>
                <w:rFonts w:hint="default" w:ascii="Times New Roman" w:hAnsi="Times New Roman" w:cs="Times New Roman"/>
                <w:sz w:val="24"/>
                <w:szCs w:val="24"/>
              </w:rPr>
              <w:t>F4/80</w:t>
            </w:r>
          </w:p>
        </w:tc>
        <w:tc>
          <w:tcPr>
            <w:tcW w:w="2074" w:type="dxa"/>
            <w:tcBorders>
              <w:top w:val="nil"/>
              <w:left w:val="nil"/>
              <w:bottom w:val="nil"/>
              <w:right w:val="nil"/>
            </w:tcBorders>
            <w:shd w:val="clear" w:color="auto" w:fill="auto"/>
            <w:vAlign w:val="center"/>
          </w:tcPr>
          <w:p w14:paraId="75C5EE04">
            <w:pPr>
              <w:jc w:val="left"/>
              <w:rPr>
                <w:rFonts w:hint="default" w:ascii="Times New Roman" w:hAnsi="Times New Roman" w:cs="Times New Roman"/>
                <w:sz w:val="24"/>
                <w:szCs w:val="24"/>
              </w:rPr>
            </w:pPr>
            <w:r>
              <w:rPr>
                <w:rFonts w:hint="default" w:ascii="Times New Roman" w:hAnsi="Times New Roman" w:cs="Times New Roman"/>
                <w:sz w:val="24"/>
                <w:szCs w:val="24"/>
              </w:rPr>
              <w:t>Servicebio</w:t>
            </w:r>
          </w:p>
        </w:tc>
        <w:tc>
          <w:tcPr>
            <w:tcW w:w="1801" w:type="dxa"/>
            <w:tcBorders>
              <w:top w:val="nil"/>
              <w:left w:val="nil"/>
              <w:bottom w:val="nil"/>
              <w:right w:val="nil"/>
            </w:tcBorders>
            <w:shd w:val="clear" w:color="auto" w:fill="auto"/>
            <w:vAlign w:val="center"/>
          </w:tcPr>
          <w:p w14:paraId="5A6657A8">
            <w:pPr>
              <w:jc w:val="left"/>
              <w:rPr>
                <w:rFonts w:hint="default" w:ascii="Times New Roman" w:hAnsi="Times New Roman" w:cs="Times New Roman"/>
                <w:sz w:val="24"/>
                <w:szCs w:val="24"/>
              </w:rPr>
            </w:pPr>
            <w:r>
              <w:rPr>
                <w:rFonts w:hint="default" w:ascii="Times New Roman" w:hAnsi="Times New Roman" w:cs="Times New Roman"/>
                <w:sz w:val="24"/>
                <w:szCs w:val="24"/>
              </w:rPr>
              <w:t>GB113373</w:t>
            </w:r>
          </w:p>
        </w:tc>
        <w:tc>
          <w:tcPr>
            <w:tcW w:w="2347" w:type="dxa"/>
            <w:tcBorders>
              <w:top w:val="nil"/>
              <w:left w:val="nil"/>
              <w:bottom w:val="nil"/>
              <w:right w:val="nil"/>
            </w:tcBorders>
            <w:shd w:val="clear" w:color="auto" w:fill="auto"/>
            <w:vAlign w:val="center"/>
          </w:tcPr>
          <w:p w14:paraId="301E7401">
            <w:pPr>
              <w:jc w:val="left"/>
              <w:rPr>
                <w:rFonts w:hint="default" w:ascii="Times New Roman" w:hAnsi="Times New Roman" w:cs="Times New Roman"/>
                <w:sz w:val="24"/>
                <w:szCs w:val="24"/>
              </w:rPr>
            </w:pPr>
            <w:r>
              <w:rPr>
                <w:rFonts w:hint="default" w:ascii="Times New Roman" w:hAnsi="Times New Roman" w:cs="Times New Roman"/>
                <w:sz w:val="24"/>
                <w:szCs w:val="24"/>
              </w:rPr>
              <w:t>1:200 (IHC)</w:t>
            </w:r>
          </w:p>
        </w:tc>
      </w:tr>
      <w:tr w14:paraId="2444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nil"/>
              <w:left w:val="nil"/>
              <w:bottom w:val="nil"/>
              <w:right w:val="nil"/>
            </w:tcBorders>
            <w:shd w:val="clear" w:color="auto" w:fill="auto"/>
            <w:vAlign w:val="center"/>
          </w:tcPr>
          <w:p w14:paraId="356126CE">
            <w:pPr>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rPr>
              <w:t>V</w:t>
            </w:r>
            <w:r>
              <w:rPr>
                <w:rFonts w:hint="default" w:ascii="Times New Roman" w:hAnsi="Times New Roman" w:cs="Times New Roman"/>
                <w:sz w:val="24"/>
                <w:szCs w:val="24"/>
              </w:rPr>
              <w:t>imentin</w:t>
            </w:r>
          </w:p>
        </w:tc>
        <w:tc>
          <w:tcPr>
            <w:tcW w:w="2074" w:type="dxa"/>
            <w:tcBorders>
              <w:top w:val="nil"/>
              <w:left w:val="nil"/>
              <w:bottom w:val="nil"/>
              <w:right w:val="nil"/>
            </w:tcBorders>
            <w:shd w:val="clear" w:color="auto" w:fill="auto"/>
            <w:vAlign w:val="center"/>
          </w:tcPr>
          <w:p w14:paraId="32E7DD88">
            <w:pPr>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rPr>
              <w:t>Abcam</w:t>
            </w:r>
          </w:p>
        </w:tc>
        <w:tc>
          <w:tcPr>
            <w:tcW w:w="1801" w:type="dxa"/>
            <w:tcBorders>
              <w:top w:val="nil"/>
              <w:left w:val="nil"/>
              <w:bottom w:val="nil"/>
              <w:right w:val="nil"/>
            </w:tcBorders>
            <w:shd w:val="clear" w:color="auto" w:fill="auto"/>
            <w:vAlign w:val="center"/>
          </w:tcPr>
          <w:p w14:paraId="34923D98">
            <w:pPr>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rPr>
              <w:t>ab92547</w:t>
            </w:r>
          </w:p>
        </w:tc>
        <w:tc>
          <w:tcPr>
            <w:tcW w:w="2347" w:type="dxa"/>
            <w:tcBorders>
              <w:top w:val="nil"/>
              <w:left w:val="nil"/>
              <w:bottom w:val="nil"/>
              <w:right w:val="nil"/>
            </w:tcBorders>
            <w:shd w:val="clear" w:color="auto" w:fill="auto"/>
            <w:vAlign w:val="center"/>
          </w:tcPr>
          <w:p w14:paraId="63D94F19">
            <w:pPr>
              <w:jc w:val="left"/>
              <w:rPr>
                <w:rFonts w:hint="default" w:ascii="Times New Roman" w:hAnsi="Times New Roman" w:cs="Times New Roman"/>
                <w:sz w:val="24"/>
                <w:szCs w:val="24"/>
              </w:rPr>
            </w:pPr>
            <w:r>
              <w:rPr>
                <w:rFonts w:hint="eastAsia" w:ascii="Times New Roman" w:hAnsi="Times New Roman" w:cs="Times New Roman"/>
                <w:sz w:val="24"/>
                <w:szCs w:val="24"/>
              </w:rPr>
              <w:t>1</w:t>
            </w:r>
            <w:r>
              <w:rPr>
                <w:rFonts w:hint="default" w:ascii="Times New Roman" w:hAnsi="Times New Roman" w:cs="Times New Roman"/>
                <w:sz w:val="24"/>
                <w:szCs w:val="24"/>
              </w:rPr>
              <w:t>:200 (IF)</w:t>
            </w:r>
          </w:p>
          <w:p w14:paraId="611DDDEC">
            <w:pPr>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rPr>
              <w:t>1:</w:t>
            </w:r>
            <w:r>
              <w:rPr>
                <w:rFonts w:hint="default" w:ascii="Times New Roman" w:hAnsi="Times New Roman" w:cs="Times New Roman"/>
                <w:sz w:val="24"/>
                <w:szCs w:val="24"/>
              </w:rPr>
              <w:t>1000 (WB)</w:t>
            </w:r>
          </w:p>
        </w:tc>
      </w:tr>
      <w:tr w14:paraId="6AE7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2074" w:type="dxa"/>
            <w:tcBorders>
              <w:top w:val="nil"/>
              <w:left w:val="nil"/>
              <w:right w:val="nil"/>
            </w:tcBorders>
            <w:shd w:val="clear" w:color="auto" w:fill="auto"/>
            <w:vAlign w:val="center"/>
          </w:tcPr>
          <w:p w14:paraId="7B8C9FD8">
            <w:pPr>
              <w:jc w:val="left"/>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EEA1</w:t>
            </w:r>
          </w:p>
        </w:tc>
        <w:tc>
          <w:tcPr>
            <w:tcW w:w="2074" w:type="dxa"/>
            <w:tcBorders>
              <w:top w:val="nil"/>
              <w:left w:val="nil"/>
              <w:right w:val="nil"/>
            </w:tcBorders>
            <w:shd w:val="clear" w:color="auto" w:fill="auto"/>
            <w:vAlign w:val="center"/>
          </w:tcPr>
          <w:p w14:paraId="70A7B139">
            <w:pPr>
              <w:jc w:val="left"/>
              <w:rPr>
                <w:rFonts w:hint="default" w:ascii="Times New Roman" w:hAnsi="Times New Roman" w:cs="Times New Roman"/>
                <w:sz w:val="24"/>
                <w:szCs w:val="24"/>
              </w:rPr>
            </w:pP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roteintech</w:t>
            </w:r>
          </w:p>
        </w:tc>
        <w:tc>
          <w:tcPr>
            <w:tcW w:w="1801" w:type="dxa"/>
            <w:tcBorders>
              <w:top w:val="nil"/>
              <w:left w:val="nil"/>
              <w:right w:val="nil"/>
            </w:tcBorders>
            <w:shd w:val="clear" w:color="auto" w:fill="auto"/>
            <w:vAlign w:val="center"/>
          </w:tcPr>
          <w:p w14:paraId="434B2A52">
            <w:pPr>
              <w:jc w:val="left"/>
              <w:rPr>
                <w:rFonts w:hint="default" w:ascii="Times New Roman" w:hAnsi="Times New Roman" w:cs="Times New Roman"/>
                <w:sz w:val="24"/>
                <w:szCs w:val="24"/>
              </w:rPr>
            </w:pPr>
            <w:r>
              <w:rPr>
                <w:rFonts w:hint="default" w:ascii="Times New Roman" w:hAnsi="Times New Roman" w:cs="Times New Roman"/>
                <w:sz w:val="24"/>
                <w:szCs w:val="24"/>
              </w:rPr>
              <w:t>68065-1-1g</w:t>
            </w:r>
          </w:p>
        </w:tc>
        <w:tc>
          <w:tcPr>
            <w:tcW w:w="2347" w:type="dxa"/>
            <w:tcBorders>
              <w:top w:val="nil"/>
              <w:left w:val="nil"/>
              <w:right w:val="nil"/>
            </w:tcBorders>
            <w:shd w:val="clear" w:color="auto" w:fill="auto"/>
            <w:vAlign w:val="center"/>
          </w:tcPr>
          <w:p w14:paraId="6A584D83">
            <w:pPr>
              <w:jc w:val="left"/>
              <w:rPr>
                <w:rFonts w:hint="default" w:ascii="Times New Roman" w:hAnsi="Times New Roman" w:cs="Times New Roman"/>
                <w:sz w:val="24"/>
                <w:szCs w:val="24"/>
              </w:rPr>
            </w:pPr>
            <w:r>
              <w:rPr>
                <w:rFonts w:hint="eastAsia" w:ascii="Times New Roman" w:hAnsi="Times New Roman" w:cs="Times New Roman"/>
                <w:sz w:val="24"/>
                <w:szCs w:val="24"/>
              </w:rPr>
              <w:t>1</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10</w:t>
            </w:r>
            <w:r>
              <w:rPr>
                <w:rFonts w:hint="default" w:ascii="Times New Roman" w:hAnsi="Times New Roman" w:cs="Times New Roman"/>
                <w:sz w:val="24"/>
                <w:szCs w:val="24"/>
              </w:rPr>
              <w:t>00 (IF)</w:t>
            </w:r>
          </w:p>
          <w:p w14:paraId="42FE5015">
            <w:pPr>
              <w:jc w:val="left"/>
              <w:rPr>
                <w:rFonts w:hint="eastAsia" w:ascii="Times New Roman" w:hAnsi="Times New Roman" w:cs="Times New Roman"/>
                <w:sz w:val="24"/>
                <w:szCs w:val="24"/>
              </w:rPr>
            </w:pPr>
            <w:r>
              <w:rPr>
                <w:rFonts w:hint="default" w:ascii="Times New Roman" w:hAnsi="Times New Roman" w:cs="Times New Roman"/>
                <w:sz w:val="24"/>
                <w:szCs w:val="24"/>
              </w:rPr>
              <w:t>1:5000(WB)</w:t>
            </w:r>
          </w:p>
        </w:tc>
      </w:tr>
    </w:tbl>
    <w:p w14:paraId="39416354">
      <w:pPr>
        <w:jc w:val="left"/>
        <w:rPr>
          <w:rFonts w:hint="default" w:ascii="Times New Roman" w:hAnsi="Times New Roman" w:eastAsia="AdvOT46dcae81" w:cs="Times New Roman"/>
          <w:sz w:val="24"/>
          <w:szCs w:val="24"/>
          <w:highlight w:val="yellow"/>
          <w:lang w:val="en-US" w:eastAsia="zh-CN" w:bidi="ar"/>
        </w:rPr>
      </w:pPr>
    </w:p>
    <w:p w14:paraId="3E253365">
      <w:pPr>
        <w:jc w:val="left"/>
        <w:rPr>
          <w:rFonts w:hint="default" w:ascii="Times New Roman" w:hAnsi="Times New Roman" w:cs="Times New Roman"/>
          <w:b/>
          <w:bCs/>
          <w:sz w:val="24"/>
          <w:szCs w:val="24"/>
          <w:lang w:val="en-US" w:eastAsia="zh-CN"/>
        </w:rPr>
      </w:pPr>
    </w:p>
    <w:p w14:paraId="317C879F">
      <w:pPr>
        <w:jc w:val="center"/>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T</w:t>
      </w:r>
      <w:r>
        <w:rPr>
          <w:rFonts w:hint="default" w:ascii="Times New Roman" w:hAnsi="Times New Roman" w:cs="Times New Roman"/>
          <w:b/>
          <w:bCs/>
          <w:sz w:val="24"/>
          <w:szCs w:val="24"/>
          <w:lang w:val="en-US" w:eastAsia="zh-CN"/>
        </w:rPr>
        <w:t xml:space="preserve">able </w:t>
      </w:r>
      <w:r>
        <w:rPr>
          <w:rFonts w:hint="eastAsia" w:ascii="Times New Roman" w:hAnsi="Times New Roman" w:cs="Times New Roman"/>
          <w:b/>
          <w:bCs/>
          <w:sz w:val="24"/>
          <w:szCs w:val="24"/>
          <w:lang w:val="en-US" w:eastAsia="zh-CN"/>
        </w:rPr>
        <w:t>S</w:t>
      </w:r>
      <w:r>
        <w:rPr>
          <w:rFonts w:hint="default" w:ascii="Times New Roman" w:hAnsi="Times New Roman" w:cs="Times New Roman"/>
          <w:b/>
          <w:bCs/>
          <w:sz w:val="24"/>
          <w:szCs w:val="24"/>
          <w:lang w:val="en-US" w:eastAsia="zh-CN"/>
        </w:rPr>
        <w:t>2</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lang w:val="en-US" w:eastAsia="zh-CN"/>
        </w:rPr>
        <w:t>Gene-specific siRNA oligo sequence used in our study.</w:t>
      </w:r>
    </w:p>
    <w:tbl>
      <w:tblPr>
        <w:tblStyle w:val="6"/>
        <w:tblW w:w="10259" w:type="dxa"/>
        <w:tblInd w:w="-1089"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1456"/>
        <w:gridCol w:w="4350"/>
        <w:gridCol w:w="4453"/>
      </w:tblGrid>
      <w:tr w14:paraId="364CA9A7">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456" w:type="dxa"/>
            <w:shd w:val="clear" w:color="auto" w:fill="auto"/>
            <w:noWrap/>
            <w:vAlign w:val="center"/>
          </w:tcPr>
          <w:p w14:paraId="0F65CAFC">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Genes</w:t>
            </w:r>
          </w:p>
        </w:tc>
        <w:tc>
          <w:tcPr>
            <w:tcW w:w="4350" w:type="dxa"/>
            <w:shd w:val="clear" w:color="auto" w:fill="auto"/>
            <w:noWrap/>
            <w:vAlign w:val="center"/>
          </w:tcPr>
          <w:p w14:paraId="610B84FF">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Sense</w:t>
            </w:r>
          </w:p>
        </w:tc>
        <w:tc>
          <w:tcPr>
            <w:tcW w:w="4453" w:type="dxa"/>
            <w:shd w:val="clear" w:color="auto" w:fill="auto"/>
            <w:noWrap/>
            <w:vAlign w:val="center"/>
          </w:tcPr>
          <w:p w14:paraId="3460CD61">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Antisense</w:t>
            </w:r>
          </w:p>
        </w:tc>
      </w:tr>
      <w:tr w14:paraId="0F2FD4D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456" w:type="dxa"/>
            <w:shd w:val="clear" w:color="auto" w:fill="auto"/>
            <w:noWrap/>
            <w:vAlign w:val="center"/>
          </w:tcPr>
          <w:p w14:paraId="5A91BF0E">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rPr>
            </w:pPr>
            <w:r>
              <w:rPr>
                <w:rFonts w:hint="default" w:ascii="Times New Roman" w:hAnsi="Times New Roman" w:eastAsia="宋体" w:cs="Times New Roman"/>
                <w:b w:val="0"/>
                <w:bCs w:val="0"/>
                <w:color w:val="000000"/>
                <w:kern w:val="0"/>
                <w:sz w:val="24"/>
                <w:szCs w:val="24"/>
              </w:rPr>
              <w:t>siNC</w:t>
            </w:r>
          </w:p>
        </w:tc>
        <w:tc>
          <w:tcPr>
            <w:tcW w:w="4350" w:type="dxa"/>
            <w:shd w:val="clear" w:color="auto" w:fill="auto"/>
            <w:noWrap/>
            <w:vAlign w:val="center"/>
          </w:tcPr>
          <w:p w14:paraId="0A397040">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5’-UUCUCCGAACGUGUCACGUTT-3’</w:t>
            </w:r>
          </w:p>
        </w:tc>
        <w:tc>
          <w:tcPr>
            <w:tcW w:w="4453" w:type="dxa"/>
            <w:shd w:val="clear" w:color="auto" w:fill="auto"/>
            <w:noWrap/>
            <w:vAlign w:val="center"/>
          </w:tcPr>
          <w:p w14:paraId="2B07FB82">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5’-ACGUGACACGUUCGGAGAATT-3’</w:t>
            </w:r>
          </w:p>
        </w:tc>
      </w:tr>
      <w:tr w14:paraId="3E3A86DE">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456" w:type="dxa"/>
            <w:shd w:val="clear" w:color="auto" w:fill="auto"/>
            <w:noWrap/>
            <w:vAlign w:val="center"/>
          </w:tcPr>
          <w:p w14:paraId="1E59EF2A">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rPr>
            </w:pPr>
            <w:r>
              <w:rPr>
                <w:rFonts w:hint="default" w:ascii="Times New Roman" w:hAnsi="Times New Roman" w:eastAsia="宋体" w:cs="Times New Roman"/>
                <w:b w:val="0"/>
                <w:bCs w:val="0"/>
                <w:color w:val="000000"/>
                <w:kern w:val="0"/>
                <w:sz w:val="24"/>
                <w:szCs w:val="24"/>
              </w:rPr>
              <w:t>si</w:t>
            </w:r>
            <w:r>
              <w:rPr>
                <w:rFonts w:hint="default" w:ascii="Times New Roman" w:hAnsi="Times New Roman" w:cs="Times New Roman"/>
                <w:b w:val="0"/>
                <w:bCs w:val="0"/>
                <w:sz w:val="24"/>
                <w:szCs w:val="24"/>
                <w:lang w:val="en-US" w:eastAsia="zh-CN"/>
              </w:rPr>
              <w:t>Mpv17l</w:t>
            </w:r>
          </w:p>
        </w:tc>
        <w:tc>
          <w:tcPr>
            <w:tcW w:w="4350" w:type="dxa"/>
            <w:shd w:val="clear" w:color="auto" w:fill="auto"/>
            <w:noWrap/>
            <w:vAlign w:val="center"/>
          </w:tcPr>
          <w:p w14:paraId="65BA7C22">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cs="Times New Roman"/>
                <w:b w:val="0"/>
                <w:bCs w:val="0"/>
                <w:sz w:val="24"/>
                <w:szCs w:val="24"/>
                <w:lang w:val="en-US" w:eastAsia="zh-CN"/>
              </w:rPr>
              <w:t>5’-CCACCAACGUGCUGCUUUATT-3’</w:t>
            </w:r>
          </w:p>
        </w:tc>
        <w:tc>
          <w:tcPr>
            <w:tcW w:w="4453" w:type="dxa"/>
            <w:shd w:val="clear" w:color="auto" w:fill="auto"/>
            <w:noWrap/>
            <w:vAlign w:val="center"/>
          </w:tcPr>
          <w:p w14:paraId="35D8CF5C">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cs="Times New Roman"/>
                <w:b w:val="0"/>
                <w:bCs w:val="0"/>
                <w:sz w:val="24"/>
                <w:szCs w:val="24"/>
                <w:lang w:val="en-US" w:eastAsia="zh-CN"/>
              </w:rPr>
              <w:t>5’-UAAAGCAGCACGUUGGUGGTT-3’</w:t>
            </w:r>
          </w:p>
        </w:tc>
      </w:tr>
      <w:tr w14:paraId="10C0A37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456" w:type="dxa"/>
            <w:shd w:val="clear" w:color="auto" w:fill="auto"/>
            <w:noWrap/>
            <w:vAlign w:val="center"/>
          </w:tcPr>
          <w:p w14:paraId="3EEBB2CC">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default" w:ascii="Times New Roman" w:hAnsi="Times New Roman" w:eastAsia="宋体" w:cs="Times New Roman"/>
                <w:b w:val="0"/>
                <w:bCs w:val="0"/>
                <w:color w:val="000000"/>
                <w:kern w:val="0"/>
                <w:sz w:val="24"/>
                <w:szCs w:val="24"/>
              </w:rPr>
              <w:t>si</w:t>
            </w:r>
            <w:r>
              <w:rPr>
                <w:rFonts w:hint="default" w:ascii="Times New Roman" w:hAnsi="Times New Roman" w:eastAsia="宋体" w:cs="Times New Roman"/>
                <w:b w:val="0"/>
                <w:bCs w:val="0"/>
                <w:i w:val="0"/>
                <w:iCs/>
                <w:color w:val="000000"/>
                <w:kern w:val="0"/>
                <w:sz w:val="24"/>
                <w:szCs w:val="24"/>
              </w:rPr>
              <w:t>Eea1</w:t>
            </w:r>
            <w:r>
              <w:rPr>
                <w:rFonts w:hint="eastAsia" w:ascii="Times New Roman" w:hAnsi="Times New Roman" w:eastAsia="宋体" w:cs="Times New Roman"/>
                <w:b w:val="0"/>
                <w:bCs w:val="0"/>
                <w:i w:val="0"/>
                <w:iCs/>
                <w:color w:val="000000"/>
                <w:kern w:val="0"/>
                <w:sz w:val="24"/>
                <w:szCs w:val="24"/>
                <w:lang w:val="en-US" w:eastAsia="zh-CN"/>
              </w:rPr>
              <w:t>-328</w:t>
            </w:r>
          </w:p>
        </w:tc>
        <w:tc>
          <w:tcPr>
            <w:tcW w:w="4350" w:type="dxa"/>
            <w:shd w:val="clear" w:color="auto" w:fill="auto"/>
            <w:noWrap/>
            <w:vAlign w:val="center"/>
          </w:tcPr>
          <w:p w14:paraId="6734E953">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5’-CUCUCAAGGUUCUGAUUUATT-3’</w:t>
            </w:r>
          </w:p>
        </w:tc>
        <w:tc>
          <w:tcPr>
            <w:tcW w:w="4453" w:type="dxa"/>
            <w:shd w:val="clear" w:color="auto" w:fill="auto"/>
            <w:noWrap/>
            <w:vAlign w:val="center"/>
          </w:tcPr>
          <w:p w14:paraId="04682B3B">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5’-UAAAUCAGAACCUUGAGAGTT -3’</w:t>
            </w:r>
          </w:p>
        </w:tc>
      </w:tr>
      <w:tr w14:paraId="16E8B1BE">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456" w:type="dxa"/>
            <w:shd w:val="clear" w:color="auto" w:fill="auto"/>
            <w:noWrap/>
            <w:vAlign w:val="center"/>
          </w:tcPr>
          <w:p w14:paraId="19F03151">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lang w:val="en-US"/>
              </w:rPr>
            </w:pPr>
            <w:r>
              <w:rPr>
                <w:rFonts w:hint="default" w:ascii="Times New Roman" w:hAnsi="Times New Roman" w:eastAsia="宋体" w:cs="Times New Roman"/>
                <w:b w:val="0"/>
                <w:bCs w:val="0"/>
                <w:color w:val="000000"/>
                <w:kern w:val="0"/>
                <w:sz w:val="24"/>
                <w:szCs w:val="24"/>
              </w:rPr>
              <w:t>si</w:t>
            </w:r>
            <w:r>
              <w:rPr>
                <w:rFonts w:hint="default" w:ascii="Times New Roman" w:hAnsi="Times New Roman" w:eastAsia="宋体" w:cs="Times New Roman"/>
                <w:b w:val="0"/>
                <w:bCs w:val="0"/>
                <w:i w:val="0"/>
                <w:iCs/>
                <w:color w:val="000000"/>
                <w:kern w:val="0"/>
                <w:sz w:val="24"/>
                <w:szCs w:val="24"/>
              </w:rPr>
              <w:t>Eea1</w:t>
            </w:r>
            <w:r>
              <w:rPr>
                <w:rFonts w:hint="eastAsia" w:ascii="Times New Roman" w:hAnsi="Times New Roman" w:eastAsia="宋体" w:cs="Times New Roman"/>
                <w:b w:val="0"/>
                <w:bCs w:val="0"/>
                <w:i w:val="0"/>
                <w:iCs/>
                <w:color w:val="000000"/>
                <w:kern w:val="0"/>
                <w:sz w:val="24"/>
                <w:szCs w:val="24"/>
                <w:lang w:val="en-US" w:eastAsia="zh-CN"/>
              </w:rPr>
              <w:t>-597</w:t>
            </w:r>
          </w:p>
        </w:tc>
        <w:tc>
          <w:tcPr>
            <w:tcW w:w="4350" w:type="dxa"/>
            <w:shd w:val="clear" w:color="auto" w:fill="auto"/>
            <w:noWrap/>
            <w:vAlign w:val="center"/>
          </w:tcPr>
          <w:p w14:paraId="7F57CF51">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lang w:val="en-US" w:eastAsia="zh-CN" w:bidi="ar-SA"/>
              </w:rPr>
            </w:pPr>
            <w:r>
              <w:rPr>
                <w:rFonts w:hint="default" w:ascii="Times New Roman" w:hAnsi="Times New Roman" w:eastAsia="宋体" w:cs="Times New Roman"/>
                <w:b w:val="0"/>
                <w:bCs w:val="0"/>
                <w:color w:val="000000"/>
                <w:kern w:val="0"/>
                <w:sz w:val="24"/>
                <w:szCs w:val="24"/>
              </w:rPr>
              <w:t>5’-GGUACUCAGAAGAAUUAAATT-3’</w:t>
            </w:r>
          </w:p>
        </w:tc>
        <w:tc>
          <w:tcPr>
            <w:tcW w:w="4453" w:type="dxa"/>
            <w:shd w:val="clear" w:color="auto" w:fill="auto"/>
            <w:noWrap/>
            <w:vAlign w:val="center"/>
          </w:tcPr>
          <w:p w14:paraId="4E1E321B">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lang w:val="en-US" w:eastAsia="zh-CN" w:bidi="ar-SA"/>
              </w:rPr>
            </w:pPr>
            <w:r>
              <w:rPr>
                <w:rFonts w:hint="default" w:ascii="Times New Roman" w:hAnsi="Times New Roman" w:eastAsia="宋体" w:cs="Times New Roman"/>
                <w:b w:val="0"/>
                <w:bCs w:val="0"/>
                <w:color w:val="000000"/>
                <w:kern w:val="0"/>
                <w:sz w:val="24"/>
                <w:szCs w:val="24"/>
              </w:rPr>
              <w:t>5’-UUUAAUUCUUCUGAGUACCTT-3’</w:t>
            </w:r>
          </w:p>
        </w:tc>
      </w:tr>
      <w:tr w14:paraId="0D24260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456" w:type="dxa"/>
            <w:shd w:val="clear" w:color="auto" w:fill="auto"/>
            <w:noWrap/>
            <w:vAlign w:val="center"/>
          </w:tcPr>
          <w:p w14:paraId="6D71516F">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lang w:val="en-US" w:eastAsia="zh-CN" w:bidi="ar-SA"/>
              </w:rPr>
            </w:pPr>
            <w:r>
              <w:rPr>
                <w:rFonts w:hint="default" w:ascii="Times New Roman" w:hAnsi="Times New Roman" w:eastAsia="宋体" w:cs="Times New Roman"/>
                <w:b w:val="0"/>
                <w:bCs w:val="0"/>
                <w:color w:val="000000"/>
                <w:kern w:val="0"/>
                <w:sz w:val="24"/>
                <w:szCs w:val="24"/>
              </w:rPr>
              <w:t>si</w:t>
            </w:r>
            <w:r>
              <w:rPr>
                <w:rFonts w:hint="default" w:ascii="Times New Roman" w:hAnsi="Times New Roman" w:eastAsia="宋体" w:cs="Times New Roman"/>
                <w:b w:val="0"/>
                <w:bCs w:val="0"/>
                <w:i w:val="0"/>
                <w:iCs/>
                <w:color w:val="000000"/>
                <w:kern w:val="0"/>
                <w:sz w:val="24"/>
                <w:szCs w:val="24"/>
              </w:rPr>
              <w:t>Eea1</w:t>
            </w:r>
            <w:r>
              <w:rPr>
                <w:rFonts w:hint="eastAsia" w:ascii="Times New Roman" w:hAnsi="Times New Roman" w:eastAsia="宋体" w:cs="Times New Roman"/>
                <w:b w:val="0"/>
                <w:bCs w:val="0"/>
                <w:i w:val="0"/>
                <w:iCs/>
                <w:color w:val="000000"/>
                <w:kern w:val="0"/>
                <w:sz w:val="24"/>
                <w:szCs w:val="24"/>
                <w:lang w:val="en-US" w:eastAsia="zh-CN"/>
              </w:rPr>
              <w:t>-928</w:t>
            </w:r>
          </w:p>
        </w:tc>
        <w:tc>
          <w:tcPr>
            <w:tcW w:w="4350" w:type="dxa"/>
            <w:shd w:val="clear" w:color="auto" w:fill="auto"/>
            <w:noWrap/>
            <w:vAlign w:val="center"/>
          </w:tcPr>
          <w:p w14:paraId="71E975DE">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lang w:val="en-US" w:eastAsia="zh-CN" w:bidi="ar-SA"/>
              </w:rPr>
            </w:pPr>
            <w:r>
              <w:rPr>
                <w:rFonts w:hint="default" w:ascii="Times New Roman" w:hAnsi="Times New Roman" w:eastAsia="宋体" w:cs="Times New Roman"/>
                <w:b w:val="0"/>
                <w:bCs w:val="0"/>
                <w:color w:val="000000"/>
                <w:kern w:val="0"/>
                <w:sz w:val="24"/>
                <w:szCs w:val="24"/>
              </w:rPr>
              <w:t>5’-GCUUCAGAGACCUGGUAUATT-3’</w:t>
            </w:r>
          </w:p>
        </w:tc>
        <w:tc>
          <w:tcPr>
            <w:tcW w:w="4453" w:type="dxa"/>
            <w:shd w:val="clear" w:color="auto" w:fill="auto"/>
            <w:noWrap/>
            <w:vAlign w:val="center"/>
          </w:tcPr>
          <w:p w14:paraId="5F21AC8C">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lang w:val="en-US" w:eastAsia="zh-CN" w:bidi="ar-SA"/>
              </w:rPr>
            </w:pPr>
            <w:r>
              <w:rPr>
                <w:rFonts w:hint="default" w:ascii="Times New Roman" w:hAnsi="Times New Roman" w:eastAsia="宋体" w:cs="Times New Roman"/>
                <w:b w:val="0"/>
                <w:bCs w:val="0"/>
                <w:color w:val="000000"/>
                <w:kern w:val="0"/>
                <w:sz w:val="24"/>
                <w:szCs w:val="24"/>
              </w:rPr>
              <w:t>5’-UAUACCAGGUCUCUGAAGCTT-3’</w:t>
            </w:r>
          </w:p>
        </w:tc>
      </w:tr>
      <w:tr w14:paraId="1756AC7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456" w:type="dxa"/>
            <w:shd w:val="clear" w:color="auto" w:fill="auto"/>
            <w:noWrap/>
            <w:vAlign w:val="center"/>
          </w:tcPr>
          <w:p w14:paraId="32A5EF26">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lang w:val="en-US" w:eastAsia="zh-CN" w:bidi="ar-SA"/>
              </w:rPr>
            </w:pPr>
            <w:r>
              <w:rPr>
                <w:rFonts w:hint="default" w:ascii="Times New Roman" w:hAnsi="Times New Roman" w:eastAsia="宋体" w:cs="Times New Roman"/>
                <w:b w:val="0"/>
                <w:bCs w:val="0"/>
                <w:color w:val="000000"/>
                <w:kern w:val="0"/>
                <w:sz w:val="24"/>
                <w:szCs w:val="24"/>
              </w:rPr>
              <w:t>si</w:t>
            </w:r>
            <w:r>
              <w:rPr>
                <w:rFonts w:hint="default" w:ascii="Times New Roman" w:hAnsi="Times New Roman" w:eastAsia="宋体" w:cs="Times New Roman"/>
                <w:b w:val="0"/>
                <w:bCs w:val="0"/>
                <w:i w:val="0"/>
                <w:iCs/>
                <w:color w:val="000000"/>
                <w:kern w:val="0"/>
                <w:sz w:val="24"/>
                <w:szCs w:val="24"/>
              </w:rPr>
              <w:t>Eea1</w:t>
            </w:r>
            <w:r>
              <w:rPr>
                <w:rFonts w:hint="eastAsia" w:ascii="Times New Roman" w:hAnsi="Times New Roman" w:eastAsia="宋体" w:cs="Times New Roman"/>
                <w:b w:val="0"/>
                <w:bCs w:val="0"/>
                <w:i w:val="0"/>
                <w:iCs/>
                <w:color w:val="000000"/>
                <w:kern w:val="0"/>
                <w:sz w:val="24"/>
                <w:szCs w:val="24"/>
                <w:lang w:val="en-US" w:eastAsia="zh-CN"/>
              </w:rPr>
              <w:t>-1126</w:t>
            </w:r>
          </w:p>
        </w:tc>
        <w:tc>
          <w:tcPr>
            <w:tcW w:w="4350" w:type="dxa"/>
            <w:shd w:val="clear" w:color="auto" w:fill="auto"/>
            <w:noWrap/>
            <w:vAlign w:val="center"/>
          </w:tcPr>
          <w:p w14:paraId="2D28B139">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lang w:val="en-US" w:eastAsia="zh-CN" w:bidi="ar-SA"/>
              </w:rPr>
            </w:pPr>
            <w:r>
              <w:rPr>
                <w:rFonts w:hint="default" w:ascii="Times New Roman" w:hAnsi="Times New Roman" w:eastAsia="宋体" w:cs="Times New Roman"/>
                <w:b w:val="0"/>
                <w:bCs w:val="0"/>
                <w:color w:val="000000"/>
                <w:kern w:val="0"/>
                <w:sz w:val="24"/>
                <w:szCs w:val="24"/>
              </w:rPr>
              <w:t>5’-CCAAGAAGUUGCAGUAUAUTT-3’</w:t>
            </w:r>
          </w:p>
        </w:tc>
        <w:tc>
          <w:tcPr>
            <w:tcW w:w="4453" w:type="dxa"/>
            <w:shd w:val="clear" w:color="auto" w:fill="auto"/>
            <w:noWrap/>
            <w:vAlign w:val="center"/>
          </w:tcPr>
          <w:p w14:paraId="27143CD6">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lang w:val="en-US" w:eastAsia="zh-CN" w:bidi="ar-SA"/>
              </w:rPr>
            </w:pPr>
            <w:r>
              <w:rPr>
                <w:rFonts w:hint="default" w:ascii="Times New Roman" w:hAnsi="Times New Roman" w:eastAsia="宋体" w:cs="Times New Roman"/>
                <w:b w:val="0"/>
                <w:bCs w:val="0"/>
                <w:color w:val="000000"/>
                <w:kern w:val="0"/>
                <w:sz w:val="24"/>
                <w:szCs w:val="24"/>
              </w:rPr>
              <w:t>5’-AUAUACUGCAACUUCUUGGTT-3’</w:t>
            </w:r>
          </w:p>
        </w:tc>
      </w:tr>
    </w:tbl>
    <w:p w14:paraId="7A34AE81">
      <w:pPr>
        <w:jc w:val="left"/>
        <w:rPr>
          <w:rFonts w:hint="default" w:ascii="Times New Roman" w:hAnsi="Times New Roman" w:cs="Times New Roman"/>
          <w:b/>
          <w:bCs/>
          <w:sz w:val="24"/>
          <w:szCs w:val="24"/>
          <w:lang w:val="en-US" w:eastAsia="zh-CN"/>
        </w:rPr>
      </w:pPr>
    </w:p>
    <w:p w14:paraId="05811972">
      <w:pPr>
        <w:jc w:val="left"/>
        <w:rPr>
          <w:rFonts w:hint="default" w:ascii="Times New Roman" w:hAnsi="Times New Roman" w:cs="Times New Roman"/>
          <w:b/>
          <w:bCs/>
          <w:sz w:val="24"/>
          <w:szCs w:val="24"/>
          <w:lang w:val="en-US" w:eastAsia="zh-CN"/>
        </w:rPr>
      </w:pPr>
    </w:p>
    <w:tbl>
      <w:tblPr>
        <w:tblStyle w:val="6"/>
        <w:tblW w:w="9250" w:type="dxa"/>
        <w:tblInd w:w="-426"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1075"/>
        <w:gridCol w:w="4162"/>
        <w:gridCol w:w="4013"/>
      </w:tblGrid>
      <w:tr w14:paraId="2D982A0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9250" w:type="dxa"/>
            <w:gridSpan w:val="3"/>
            <w:tcBorders>
              <w:top w:val="nil"/>
              <w:left w:val="nil"/>
              <w:right w:val="nil"/>
            </w:tcBorders>
            <w:shd w:val="clear" w:color="auto" w:fill="auto"/>
            <w:noWrap/>
            <w:vAlign w:val="center"/>
          </w:tcPr>
          <w:p w14:paraId="7F52EF52">
            <w:pPr>
              <w:keepNext w:val="0"/>
              <w:keepLines w:val="0"/>
              <w:widowControl/>
              <w:suppressLineNumbers w:val="0"/>
              <w:autoSpaceDE w:val="0"/>
              <w:autoSpaceDN w:val="0"/>
              <w:adjustRightInd w:val="0"/>
              <w:spacing w:before="0" w:beforeAutospacing="0" w:after="0" w:afterAutospacing="0" w:line="360" w:lineRule="auto"/>
              <w:ind w:left="0" w:right="0"/>
              <w:jc w:val="center"/>
              <w:rPr>
                <w:rFonts w:hint="default" w:ascii="Arial" w:hAnsi="Arial" w:eastAsia="宋体" w:cs="Arial"/>
                <w:color w:val="000000"/>
                <w:kern w:val="0"/>
                <w:sz w:val="24"/>
                <w:szCs w:val="24"/>
              </w:rPr>
            </w:pPr>
            <w:r>
              <w:rPr>
                <w:rFonts w:hint="default" w:ascii="Times New Roman" w:hAnsi="Times New Roman" w:eastAsia="宋体" w:cs="Times New Roman"/>
                <w:b/>
                <w:color w:val="000000"/>
                <w:kern w:val="0"/>
                <w:sz w:val="24"/>
                <w:szCs w:val="24"/>
              </w:rPr>
              <w:t xml:space="preserve">Table </w:t>
            </w:r>
            <w:r>
              <w:rPr>
                <w:rFonts w:hint="eastAsia" w:ascii="Times New Roman" w:hAnsi="Times New Roman" w:eastAsia="宋体" w:cs="Times New Roman"/>
                <w:b/>
                <w:color w:val="000000"/>
                <w:kern w:val="0"/>
                <w:sz w:val="24"/>
                <w:szCs w:val="24"/>
                <w:lang w:val="en-US" w:eastAsia="zh-CN"/>
              </w:rPr>
              <w:t>S</w:t>
            </w:r>
            <w:r>
              <w:rPr>
                <w:rFonts w:hint="default" w:ascii="Times New Roman" w:hAnsi="Times New Roman" w:eastAsia="宋体" w:cs="Times New Roman"/>
                <w:b/>
                <w:color w:val="000000"/>
                <w:kern w:val="0"/>
                <w:sz w:val="24"/>
                <w:szCs w:val="24"/>
                <w:lang w:val="en-US" w:eastAsia="zh-CN"/>
              </w:rPr>
              <w:t>3</w:t>
            </w:r>
            <w:r>
              <w:rPr>
                <w:rFonts w:hint="default" w:ascii="Times New Roman" w:hAnsi="Times New Roman" w:eastAsia="宋体" w:cs="Times New Roman"/>
                <w:b/>
                <w:bCs/>
                <w:color w:val="000000"/>
                <w:kern w:val="0"/>
                <w:sz w:val="24"/>
                <w:szCs w:val="24"/>
              </w:rPr>
              <w:t>. Gene-specific primers used in our study.</w:t>
            </w:r>
          </w:p>
        </w:tc>
      </w:tr>
      <w:tr w14:paraId="634BD9B5">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4E24E7B2">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Genes</w:t>
            </w:r>
          </w:p>
        </w:tc>
        <w:tc>
          <w:tcPr>
            <w:tcW w:w="4162" w:type="dxa"/>
            <w:shd w:val="clear" w:color="auto" w:fill="auto"/>
            <w:noWrap/>
            <w:vAlign w:val="center"/>
          </w:tcPr>
          <w:p w14:paraId="394CA316">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Forward Primer</w:t>
            </w:r>
          </w:p>
        </w:tc>
        <w:tc>
          <w:tcPr>
            <w:tcW w:w="4013" w:type="dxa"/>
            <w:shd w:val="clear" w:color="auto" w:fill="auto"/>
            <w:noWrap/>
            <w:vAlign w:val="center"/>
          </w:tcPr>
          <w:p w14:paraId="6815F324">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Reverse Primer</w:t>
            </w:r>
          </w:p>
        </w:tc>
      </w:tr>
      <w:tr w14:paraId="587DDED0">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117CA001">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rPr>
            </w:pPr>
            <w:r>
              <w:rPr>
                <w:rFonts w:hint="default" w:ascii="Times New Roman" w:hAnsi="Times New Roman" w:eastAsia="宋体" w:cs="Times New Roman"/>
                <w:b w:val="0"/>
                <w:bCs w:val="0"/>
                <w:i/>
                <w:color w:val="000000"/>
                <w:kern w:val="0"/>
                <w:sz w:val="24"/>
                <w:szCs w:val="24"/>
              </w:rPr>
              <w:t>18s</w:t>
            </w:r>
          </w:p>
        </w:tc>
        <w:tc>
          <w:tcPr>
            <w:tcW w:w="4162" w:type="dxa"/>
            <w:shd w:val="clear" w:color="auto" w:fill="auto"/>
            <w:noWrap/>
            <w:vAlign w:val="center"/>
          </w:tcPr>
          <w:p w14:paraId="7BFB0B83">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GTAACCCGTTGAACCCCATT</w:t>
            </w:r>
          </w:p>
        </w:tc>
        <w:tc>
          <w:tcPr>
            <w:tcW w:w="4013" w:type="dxa"/>
            <w:shd w:val="clear" w:color="auto" w:fill="auto"/>
            <w:noWrap/>
            <w:vAlign w:val="center"/>
          </w:tcPr>
          <w:p w14:paraId="61BABF2D">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CCATCCAACGGTAGTAGCG</w:t>
            </w:r>
          </w:p>
        </w:tc>
      </w:tr>
      <w:tr w14:paraId="4C212CF4">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3A7374B7">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Dnm1</w:t>
            </w:r>
          </w:p>
        </w:tc>
        <w:tc>
          <w:tcPr>
            <w:tcW w:w="4162" w:type="dxa"/>
            <w:shd w:val="clear" w:color="auto" w:fill="auto"/>
            <w:noWrap/>
            <w:vAlign w:val="center"/>
          </w:tcPr>
          <w:p w14:paraId="6C0E2F21">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AATATGCCGAGTTCCTGCACT</w:t>
            </w:r>
          </w:p>
        </w:tc>
        <w:tc>
          <w:tcPr>
            <w:tcW w:w="4013" w:type="dxa"/>
            <w:shd w:val="clear" w:color="auto" w:fill="auto"/>
            <w:noWrap/>
            <w:vAlign w:val="center"/>
          </w:tcPr>
          <w:p w14:paraId="3D3E35AE">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GTCTCAGCCTCGATCTCCAG</w:t>
            </w:r>
          </w:p>
        </w:tc>
      </w:tr>
      <w:tr w14:paraId="1B7A667C">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50E364E6">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Dnm2</w:t>
            </w:r>
          </w:p>
        </w:tc>
        <w:tc>
          <w:tcPr>
            <w:tcW w:w="4162" w:type="dxa"/>
            <w:shd w:val="clear" w:color="auto" w:fill="auto"/>
            <w:noWrap/>
            <w:vAlign w:val="center"/>
          </w:tcPr>
          <w:p w14:paraId="483AF0D3">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AAGAGCCGAGTTTGAAGTGTG</w:t>
            </w:r>
          </w:p>
        </w:tc>
        <w:tc>
          <w:tcPr>
            <w:tcW w:w="4013" w:type="dxa"/>
            <w:shd w:val="clear" w:color="auto" w:fill="auto"/>
            <w:noWrap/>
            <w:vAlign w:val="center"/>
          </w:tcPr>
          <w:p w14:paraId="78C2C664">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ACGACTGCTCAATGTCAATCAG</w:t>
            </w:r>
          </w:p>
        </w:tc>
      </w:tr>
      <w:tr w14:paraId="6F2A5D55">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4B4DA132">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rPr>
            </w:pPr>
            <w:r>
              <w:rPr>
                <w:rFonts w:hint="eastAsia" w:ascii="Times New Roman" w:hAnsi="Times New Roman" w:eastAsia="宋体" w:cs="Times New Roman"/>
                <w:b w:val="0"/>
                <w:bCs w:val="0"/>
                <w:i/>
                <w:color w:val="000000"/>
                <w:kern w:val="0"/>
                <w:sz w:val="24"/>
                <w:szCs w:val="24"/>
                <w:lang w:val="en-US" w:eastAsia="zh-CN"/>
              </w:rPr>
              <w:t>Dnm3</w:t>
            </w:r>
          </w:p>
        </w:tc>
        <w:tc>
          <w:tcPr>
            <w:tcW w:w="4162" w:type="dxa"/>
            <w:shd w:val="clear" w:color="auto" w:fill="auto"/>
            <w:noWrap/>
            <w:vAlign w:val="center"/>
          </w:tcPr>
          <w:p w14:paraId="1AE817D6">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CTCAGGCATTGTAACCAGACG</w:t>
            </w:r>
          </w:p>
        </w:tc>
        <w:tc>
          <w:tcPr>
            <w:tcW w:w="4013" w:type="dxa"/>
            <w:shd w:val="clear" w:color="auto" w:fill="auto"/>
            <w:noWrap/>
            <w:vAlign w:val="center"/>
          </w:tcPr>
          <w:p w14:paraId="6DF3707C">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CTCGGCATATTCTGCTTTAGAGG</w:t>
            </w:r>
          </w:p>
        </w:tc>
      </w:tr>
      <w:tr w14:paraId="2382D644">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6704D557">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Clta</w:t>
            </w:r>
          </w:p>
        </w:tc>
        <w:tc>
          <w:tcPr>
            <w:tcW w:w="4162" w:type="dxa"/>
            <w:shd w:val="clear" w:color="auto" w:fill="auto"/>
            <w:noWrap/>
            <w:vAlign w:val="center"/>
          </w:tcPr>
          <w:p w14:paraId="500A90BC">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CTCGGGTCGGTGCTCTTAC</w:t>
            </w:r>
          </w:p>
        </w:tc>
        <w:tc>
          <w:tcPr>
            <w:tcW w:w="4013" w:type="dxa"/>
            <w:shd w:val="clear" w:color="auto" w:fill="auto"/>
            <w:noWrap/>
            <w:vAlign w:val="center"/>
          </w:tcPr>
          <w:p w14:paraId="4EB07155">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CACTTCCTCTTTGCGCTTCTAAA</w:t>
            </w:r>
          </w:p>
        </w:tc>
      </w:tr>
      <w:tr w14:paraId="06F1DC0E">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3A9A08E1">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rPr>
            </w:pPr>
            <w:r>
              <w:rPr>
                <w:rFonts w:hint="eastAsia" w:ascii="Times New Roman" w:hAnsi="Times New Roman" w:eastAsia="宋体" w:cs="Times New Roman"/>
                <w:b w:val="0"/>
                <w:bCs w:val="0"/>
                <w:i/>
                <w:color w:val="000000"/>
                <w:kern w:val="0"/>
                <w:sz w:val="24"/>
                <w:szCs w:val="24"/>
                <w:lang w:val="en-US" w:eastAsia="zh-CN"/>
              </w:rPr>
              <w:t>Cltb</w:t>
            </w:r>
          </w:p>
        </w:tc>
        <w:tc>
          <w:tcPr>
            <w:tcW w:w="4162" w:type="dxa"/>
            <w:shd w:val="clear" w:color="auto" w:fill="auto"/>
            <w:noWrap/>
            <w:vAlign w:val="center"/>
          </w:tcPr>
          <w:p w14:paraId="7D45934A">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GAAAGCGAGATTGCTGGCATC</w:t>
            </w:r>
          </w:p>
        </w:tc>
        <w:tc>
          <w:tcPr>
            <w:tcW w:w="4013" w:type="dxa"/>
            <w:shd w:val="clear" w:color="auto" w:fill="auto"/>
            <w:noWrap/>
            <w:vAlign w:val="center"/>
          </w:tcPr>
          <w:p w14:paraId="1FB049D8">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CGTTAGCCTCCTGAAACACATC</w:t>
            </w:r>
          </w:p>
        </w:tc>
      </w:tr>
      <w:tr w14:paraId="63EFD63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22C85A70">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rPr>
            </w:pPr>
            <w:r>
              <w:rPr>
                <w:rFonts w:hint="eastAsia" w:ascii="Times New Roman" w:hAnsi="Times New Roman" w:eastAsia="宋体" w:cs="Times New Roman"/>
                <w:b w:val="0"/>
                <w:bCs w:val="0"/>
                <w:i/>
                <w:color w:val="000000"/>
                <w:kern w:val="0"/>
                <w:sz w:val="24"/>
                <w:szCs w:val="24"/>
                <w:lang w:val="en-US" w:eastAsia="zh-CN"/>
              </w:rPr>
              <w:t>Cltc</w:t>
            </w:r>
          </w:p>
        </w:tc>
        <w:tc>
          <w:tcPr>
            <w:tcW w:w="4162" w:type="dxa"/>
            <w:shd w:val="clear" w:color="auto" w:fill="auto"/>
            <w:noWrap/>
            <w:vAlign w:val="center"/>
          </w:tcPr>
          <w:p w14:paraId="0CB07CF3">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AGATTCTGCCCATTCGCTTTC</w:t>
            </w:r>
          </w:p>
        </w:tc>
        <w:tc>
          <w:tcPr>
            <w:tcW w:w="4013" w:type="dxa"/>
            <w:shd w:val="clear" w:color="auto" w:fill="auto"/>
            <w:noWrap/>
            <w:vAlign w:val="center"/>
          </w:tcPr>
          <w:p w14:paraId="2E46FB73">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TCAGTGCAATCACTTTGCTGG</w:t>
            </w:r>
          </w:p>
        </w:tc>
      </w:tr>
      <w:tr w14:paraId="04E48EB1">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780E5076">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Cav1</w:t>
            </w:r>
          </w:p>
        </w:tc>
        <w:tc>
          <w:tcPr>
            <w:tcW w:w="4162" w:type="dxa"/>
            <w:shd w:val="clear" w:color="auto" w:fill="auto"/>
            <w:noWrap/>
            <w:vAlign w:val="center"/>
          </w:tcPr>
          <w:p w14:paraId="1D130320">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ATGTCTGGGGGCAAATACGTG</w:t>
            </w:r>
          </w:p>
        </w:tc>
        <w:tc>
          <w:tcPr>
            <w:tcW w:w="4013" w:type="dxa"/>
            <w:shd w:val="clear" w:color="auto" w:fill="auto"/>
            <w:noWrap/>
            <w:vAlign w:val="center"/>
          </w:tcPr>
          <w:p w14:paraId="72586A61">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CGCGTCATACACTTGCTTCT</w:t>
            </w:r>
          </w:p>
        </w:tc>
      </w:tr>
      <w:tr w14:paraId="6EAC3832">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347866EB">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rPr>
            </w:pPr>
            <w:r>
              <w:rPr>
                <w:rFonts w:hint="eastAsia" w:ascii="Times New Roman" w:hAnsi="Times New Roman" w:eastAsia="宋体" w:cs="Times New Roman"/>
                <w:b w:val="0"/>
                <w:bCs w:val="0"/>
                <w:i/>
                <w:color w:val="000000"/>
                <w:kern w:val="0"/>
                <w:sz w:val="24"/>
                <w:szCs w:val="24"/>
                <w:lang w:val="en-US" w:eastAsia="zh-CN"/>
              </w:rPr>
              <w:t>Cav2</w:t>
            </w:r>
          </w:p>
        </w:tc>
        <w:tc>
          <w:tcPr>
            <w:tcW w:w="4162" w:type="dxa"/>
            <w:shd w:val="clear" w:color="auto" w:fill="auto"/>
            <w:noWrap/>
            <w:vAlign w:val="center"/>
          </w:tcPr>
          <w:p w14:paraId="6A28D319">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TCACCAGCTCAACTCTCATCT</w:t>
            </w:r>
          </w:p>
        </w:tc>
        <w:tc>
          <w:tcPr>
            <w:tcW w:w="4013" w:type="dxa"/>
            <w:shd w:val="clear" w:color="auto" w:fill="auto"/>
            <w:noWrap/>
            <w:vAlign w:val="center"/>
          </w:tcPr>
          <w:p w14:paraId="1B69762F">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GCCAGAAATACGGTCAGGAACT</w:t>
            </w:r>
          </w:p>
        </w:tc>
      </w:tr>
      <w:tr w14:paraId="55D9FCA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34365B6C">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Cavin1</w:t>
            </w:r>
          </w:p>
        </w:tc>
        <w:tc>
          <w:tcPr>
            <w:tcW w:w="4162" w:type="dxa"/>
            <w:shd w:val="clear" w:color="auto" w:fill="auto"/>
            <w:noWrap/>
            <w:vAlign w:val="center"/>
          </w:tcPr>
          <w:p w14:paraId="0AEEA0B5">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CAGCGTCAACGTGAAGACC</w:t>
            </w:r>
          </w:p>
        </w:tc>
        <w:tc>
          <w:tcPr>
            <w:tcW w:w="4013" w:type="dxa"/>
            <w:shd w:val="clear" w:color="auto" w:fill="auto"/>
            <w:noWrap/>
            <w:vAlign w:val="center"/>
          </w:tcPr>
          <w:p w14:paraId="7DEC9C0F">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CCTCCGACTCTTTCAGCGAC</w:t>
            </w:r>
          </w:p>
        </w:tc>
      </w:tr>
      <w:tr w14:paraId="07408891">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4D1E5D02">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Hunk</w:t>
            </w:r>
          </w:p>
        </w:tc>
        <w:tc>
          <w:tcPr>
            <w:tcW w:w="4162" w:type="dxa"/>
            <w:shd w:val="clear" w:color="auto" w:fill="auto"/>
            <w:noWrap/>
            <w:vAlign w:val="center"/>
          </w:tcPr>
          <w:p w14:paraId="61131544">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GTGCTGACGGGAGAAAAGGTA</w:t>
            </w:r>
          </w:p>
        </w:tc>
        <w:tc>
          <w:tcPr>
            <w:tcW w:w="4013" w:type="dxa"/>
            <w:shd w:val="clear" w:color="auto" w:fill="auto"/>
            <w:noWrap/>
            <w:vAlign w:val="center"/>
          </w:tcPr>
          <w:p w14:paraId="0ACE2CA3">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GGGTGTCGGATCATCTGCTG</w:t>
            </w:r>
          </w:p>
        </w:tc>
      </w:tr>
      <w:tr w14:paraId="406114F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06176608">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Ctbp1</w:t>
            </w:r>
          </w:p>
        </w:tc>
        <w:tc>
          <w:tcPr>
            <w:tcW w:w="4162" w:type="dxa"/>
            <w:shd w:val="clear" w:color="auto" w:fill="auto"/>
            <w:noWrap/>
            <w:vAlign w:val="center"/>
          </w:tcPr>
          <w:p w14:paraId="7723BA81">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GTGCCCTGATGTACCATACCA</w:t>
            </w:r>
          </w:p>
        </w:tc>
        <w:tc>
          <w:tcPr>
            <w:tcW w:w="4013" w:type="dxa"/>
            <w:shd w:val="clear" w:color="auto" w:fill="auto"/>
            <w:noWrap/>
            <w:vAlign w:val="center"/>
          </w:tcPr>
          <w:p w14:paraId="6DBEA022">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TGATGTCGATATTGTCAAACCCG</w:t>
            </w:r>
          </w:p>
        </w:tc>
      </w:tr>
      <w:tr w14:paraId="504602A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6D9AB317">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Ankfy1</w:t>
            </w:r>
          </w:p>
        </w:tc>
        <w:tc>
          <w:tcPr>
            <w:tcW w:w="4162" w:type="dxa"/>
            <w:shd w:val="clear" w:color="auto" w:fill="auto"/>
            <w:noWrap/>
            <w:vAlign w:val="center"/>
          </w:tcPr>
          <w:p w14:paraId="39326558">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GAGACCCCATTACACCTTGTAGC</w:t>
            </w:r>
          </w:p>
        </w:tc>
        <w:tc>
          <w:tcPr>
            <w:tcW w:w="4013" w:type="dxa"/>
            <w:shd w:val="clear" w:color="auto" w:fill="auto"/>
            <w:noWrap/>
            <w:vAlign w:val="center"/>
          </w:tcPr>
          <w:p w14:paraId="56458464">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CAACCGCTTTGCATTTCTCCA</w:t>
            </w:r>
          </w:p>
        </w:tc>
      </w:tr>
      <w:tr w14:paraId="1C747FD7">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3EA93BC0">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Eea1</w:t>
            </w:r>
          </w:p>
        </w:tc>
        <w:tc>
          <w:tcPr>
            <w:tcW w:w="4162" w:type="dxa"/>
            <w:shd w:val="clear" w:color="auto" w:fill="auto"/>
            <w:noWrap/>
            <w:vAlign w:val="center"/>
          </w:tcPr>
          <w:p w14:paraId="3E1B80BB">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AAACCAGCTAAGGAGTGAACTTG</w:t>
            </w:r>
          </w:p>
        </w:tc>
        <w:tc>
          <w:tcPr>
            <w:tcW w:w="4013" w:type="dxa"/>
            <w:shd w:val="clear" w:color="auto" w:fill="auto"/>
            <w:noWrap/>
            <w:vAlign w:val="center"/>
          </w:tcPr>
          <w:p w14:paraId="41748DAD">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GTGGGTGTAGTCTAGGTCTTTCT</w:t>
            </w:r>
          </w:p>
        </w:tc>
      </w:tr>
      <w:tr w14:paraId="1988891C">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31FF8F5B">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Rab5a</w:t>
            </w:r>
          </w:p>
        </w:tc>
        <w:tc>
          <w:tcPr>
            <w:tcW w:w="4162" w:type="dxa"/>
            <w:shd w:val="clear" w:color="auto" w:fill="auto"/>
            <w:noWrap/>
            <w:vAlign w:val="center"/>
          </w:tcPr>
          <w:p w14:paraId="13DD8B57">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GCTAATCGAGGAGCAACAAGAC</w:t>
            </w:r>
          </w:p>
        </w:tc>
        <w:tc>
          <w:tcPr>
            <w:tcW w:w="4013" w:type="dxa"/>
            <w:shd w:val="clear" w:color="auto" w:fill="auto"/>
            <w:noWrap/>
            <w:vAlign w:val="center"/>
          </w:tcPr>
          <w:p w14:paraId="0E3C50E2">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CCAGGCTTGATTTGCCAACAG</w:t>
            </w:r>
          </w:p>
        </w:tc>
      </w:tr>
      <w:tr w14:paraId="0348773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411F470C">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Rab5b</w:t>
            </w:r>
          </w:p>
        </w:tc>
        <w:tc>
          <w:tcPr>
            <w:tcW w:w="4162" w:type="dxa"/>
            <w:shd w:val="clear" w:color="auto" w:fill="auto"/>
            <w:noWrap/>
            <w:vAlign w:val="center"/>
          </w:tcPr>
          <w:p w14:paraId="3E475993">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GGGAAGTCTAGCCTGGTGTTA</w:t>
            </w:r>
          </w:p>
        </w:tc>
        <w:tc>
          <w:tcPr>
            <w:tcW w:w="4013" w:type="dxa"/>
            <w:shd w:val="clear" w:color="auto" w:fill="auto"/>
            <w:noWrap/>
            <w:vAlign w:val="center"/>
          </w:tcPr>
          <w:p w14:paraId="10912516">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GCTTTCCTGGTATTCATGGAACT</w:t>
            </w:r>
          </w:p>
        </w:tc>
      </w:tr>
      <w:tr w14:paraId="4B64AA3C">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24CF7358">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Rab7</w:t>
            </w:r>
          </w:p>
        </w:tc>
        <w:tc>
          <w:tcPr>
            <w:tcW w:w="4162" w:type="dxa"/>
            <w:shd w:val="clear" w:color="auto" w:fill="auto"/>
            <w:noWrap/>
            <w:vAlign w:val="center"/>
          </w:tcPr>
          <w:p w14:paraId="55A32EFB">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AGGCTTGGTGCTACAGGAAAA</w:t>
            </w:r>
          </w:p>
        </w:tc>
        <w:tc>
          <w:tcPr>
            <w:tcW w:w="4013" w:type="dxa"/>
            <w:shd w:val="clear" w:color="auto" w:fill="auto"/>
            <w:noWrap/>
            <w:vAlign w:val="center"/>
          </w:tcPr>
          <w:p w14:paraId="35528A48">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CTTGGCCCGGTCATTCTTGT</w:t>
            </w:r>
          </w:p>
        </w:tc>
      </w:tr>
      <w:tr w14:paraId="046092E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2086C0D2">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Rab11a</w:t>
            </w:r>
          </w:p>
        </w:tc>
        <w:tc>
          <w:tcPr>
            <w:tcW w:w="4162" w:type="dxa"/>
            <w:shd w:val="clear" w:color="auto" w:fill="auto"/>
            <w:noWrap/>
            <w:vAlign w:val="center"/>
          </w:tcPr>
          <w:p w14:paraId="1384EFBC">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TGGGAAAACAATAAAGGCACAGA</w:t>
            </w:r>
          </w:p>
        </w:tc>
        <w:tc>
          <w:tcPr>
            <w:tcW w:w="4013" w:type="dxa"/>
            <w:shd w:val="clear" w:color="auto" w:fill="auto"/>
            <w:noWrap/>
            <w:vAlign w:val="center"/>
          </w:tcPr>
          <w:p w14:paraId="6B23BFAA">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ATGTGAGATGCTTAGCAATGTCA</w:t>
            </w:r>
          </w:p>
        </w:tc>
      </w:tr>
      <w:tr w14:paraId="0582D4F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4D073528">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Rab11b</w:t>
            </w:r>
          </w:p>
        </w:tc>
        <w:tc>
          <w:tcPr>
            <w:tcW w:w="4162" w:type="dxa"/>
            <w:shd w:val="clear" w:color="auto" w:fill="auto"/>
            <w:noWrap/>
            <w:vAlign w:val="center"/>
          </w:tcPr>
          <w:p w14:paraId="50AC1FF9">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ATTCAAAGTGGTGCTTATTGGGG</w:t>
            </w:r>
          </w:p>
        </w:tc>
        <w:tc>
          <w:tcPr>
            <w:tcW w:w="4013" w:type="dxa"/>
            <w:shd w:val="clear" w:color="auto" w:fill="auto"/>
            <w:noWrap/>
            <w:vAlign w:val="center"/>
          </w:tcPr>
          <w:p w14:paraId="58069637">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TCCGATGGTACTCTTGCTCTC</w:t>
            </w:r>
          </w:p>
        </w:tc>
      </w:tr>
      <w:tr w14:paraId="11F8123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300" w:hRule="atLeast"/>
        </w:trPr>
        <w:tc>
          <w:tcPr>
            <w:tcW w:w="1075" w:type="dxa"/>
            <w:shd w:val="clear" w:color="auto" w:fill="auto"/>
            <w:noWrap/>
            <w:vAlign w:val="center"/>
          </w:tcPr>
          <w:p w14:paraId="1CFDF396">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i/>
                <w:color w:val="000000"/>
                <w:kern w:val="0"/>
                <w:sz w:val="24"/>
                <w:szCs w:val="24"/>
                <w:lang w:val="en-US" w:eastAsia="zh-CN"/>
              </w:rPr>
            </w:pPr>
            <w:r>
              <w:rPr>
                <w:rFonts w:hint="eastAsia" w:ascii="Times New Roman" w:hAnsi="Times New Roman" w:eastAsia="宋体" w:cs="Times New Roman"/>
                <w:b w:val="0"/>
                <w:bCs w:val="0"/>
                <w:i/>
                <w:color w:val="000000"/>
                <w:kern w:val="0"/>
                <w:sz w:val="24"/>
                <w:szCs w:val="24"/>
                <w:lang w:val="en-US" w:eastAsia="zh-CN"/>
              </w:rPr>
              <w:t>Rab27a</w:t>
            </w:r>
          </w:p>
        </w:tc>
        <w:tc>
          <w:tcPr>
            <w:tcW w:w="4162" w:type="dxa"/>
            <w:shd w:val="clear" w:color="auto" w:fill="auto"/>
            <w:noWrap/>
            <w:vAlign w:val="center"/>
          </w:tcPr>
          <w:p w14:paraId="4B13C21F">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TCGGATGGAGATTACGATTACCT</w:t>
            </w:r>
          </w:p>
        </w:tc>
        <w:tc>
          <w:tcPr>
            <w:tcW w:w="4013" w:type="dxa"/>
            <w:shd w:val="clear" w:color="auto" w:fill="auto"/>
            <w:noWrap/>
            <w:vAlign w:val="center"/>
          </w:tcPr>
          <w:p w14:paraId="29BFD34F">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rPr>
            </w:pPr>
            <w:r>
              <w:rPr>
                <w:rFonts w:hint="default" w:ascii="Times New Roman" w:hAnsi="Times New Roman" w:eastAsia="宋体" w:cs="Times New Roman"/>
                <w:b w:val="0"/>
                <w:bCs w:val="0"/>
                <w:color w:val="000000"/>
                <w:kern w:val="0"/>
                <w:sz w:val="24"/>
                <w:szCs w:val="24"/>
              </w:rPr>
              <w:t>TTTTCCCTGAAATCAATGCCCA</w:t>
            </w:r>
          </w:p>
        </w:tc>
      </w:tr>
    </w:tbl>
    <w:p w14:paraId="008BE701">
      <w:pPr>
        <w:widowControl/>
        <w:autoSpaceDE w:val="0"/>
        <w:autoSpaceDN w:val="0"/>
        <w:adjustRightInd w:val="0"/>
        <w:spacing w:line="360" w:lineRule="auto"/>
        <w:ind w:firstLine="480" w:firstLineChars="200"/>
        <w:jc w:val="left"/>
        <w:rPr>
          <w:rFonts w:ascii="Arial" w:hAnsi="Arial" w:eastAsia="宋体" w:cs="Arial"/>
          <w:color w:val="000000"/>
          <w:kern w:val="0"/>
          <w:sz w:val="24"/>
          <w:szCs w:val="24"/>
        </w:rPr>
      </w:pPr>
    </w:p>
    <w:p w14:paraId="1AEA785D">
      <w:pPr>
        <w:jc w:val="left"/>
        <w:rPr>
          <w:rFonts w:hint="default" w:ascii="Times New Roman" w:hAnsi="Times New Roman" w:cs="Times New Roman"/>
          <w:b/>
          <w:bCs/>
          <w:sz w:val="24"/>
          <w:szCs w:val="24"/>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dvOT46dcae81">
    <w:altName w:val="Calibri"/>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35F5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50A465">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D50A465">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4E6"/>
    <w:rsid w:val="00206D10"/>
    <w:rsid w:val="002211DE"/>
    <w:rsid w:val="002370A4"/>
    <w:rsid w:val="002D34D5"/>
    <w:rsid w:val="002D7D61"/>
    <w:rsid w:val="003E2441"/>
    <w:rsid w:val="00470180"/>
    <w:rsid w:val="00537F6F"/>
    <w:rsid w:val="00672770"/>
    <w:rsid w:val="0073506C"/>
    <w:rsid w:val="007743A7"/>
    <w:rsid w:val="008F09CD"/>
    <w:rsid w:val="00914E84"/>
    <w:rsid w:val="009C51B1"/>
    <w:rsid w:val="009F67ED"/>
    <w:rsid w:val="00AD32CC"/>
    <w:rsid w:val="00BA05B6"/>
    <w:rsid w:val="00C241E2"/>
    <w:rsid w:val="00CC2981"/>
    <w:rsid w:val="00CD5B2C"/>
    <w:rsid w:val="00D61BB9"/>
    <w:rsid w:val="00DB5075"/>
    <w:rsid w:val="00E22ECB"/>
    <w:rsid w:val="00E563F1"/>
    <w:rsid w:val="00E92D33"/>
    <w:rsid w:val="00FF04E6"/>
    <w:rsid w:val="02D2246D"/>
    <w:rsid w:val="03173647"/>
    <w:rsid w:val="04B32507"/>
    <w:rsid w:val="06A10421"/>
    <w:rsid w:val="06B75F75"/>
    <w:rsid w:val="0874759A"/>
    <w:rsid w:val="08E04011"/>
    <w:rsid w:val="0A8C7D0B"/>
    <w:rsid w:val="0DA34DF6"/>
    <w:rsid w:val="0EC12019"/>
    <w:rsid w:val="0FD7475E"/>
    <w:rsid w:val="143321B1"/>
    <w:rsid w:val="14447642"/>
    <w:rsid w:val="17125CEF"/>
    <w:rsid w:val="17CA39D0"/>
    <w:rsid w:val="1C1F5B65"/>
    <w:rsid w:val="1DAE4D70"/>
    <w:rsid w:val="1DD6628E"/>
    <w:rsid w:val="1F190087"/>
    <w:rsid w:val="213E3BB2"/>
    <w:rsid w:val="22877921"/>
    <w:rsid w:val="2B120926"/>
    <w:rsid w:val="2CE80492"/>
    <w:rsid w:val="2FAD7A6F"/>
    <w:rsid w:val="313E24A1"/>
    <w:rsid w:val="32DD5265"/>
    <w:rsid w:val="387E793E"/>
    <w:rsid w:val="3A980F9F"/>
    <w:rsid w:val="3BED2703"/>
    <w:rsid w:val="41672795"/>
    <w:rsid w:val="41711720"/>
    <w:rsid w:val="41807E59"/>
    <w:rsid w:val="41A564AF"/>
    <w:rsid w:val="453B50D0"/>
    <w:rsid w:val="474A34DB"/>
    <w:rsid w:val="478E4D76"/>
    <w:rsid w:val="48375BD7"/>
    <w:rsid w:val="4B191407"/>
    <w:rsid w:val="4B6E200E"/>
    <w:rsid w:val="4B78366B"/>
    <w:rsid w:val="4C7E73A7"/>
    <w:rsid w:val="4F9D4FDF"/>
    <w:rsid w:val="4FA306F9"/>
    <w:rsid w:val="56303C24"/>
    <w:rsid w:val="5BF55FED"/>
    <w:rsid w:val="5F6B37BB"/>
    <w:rsid w:val="60FC7474"/>
    <w:rsid w:val="61174556"/>
    <w:rsid w:val="651568FC"/>
    <w:rsid w:val="665E7BD6"/>
    <w:rsid w:val="6B6809C9"/>
    <w:rsid w:val="6C1C7C1A"/>
    <w:rsid w:val="73B2510C"/>
    <w:rsid w:val="76EE06A2"/>
    <w:rsid w:val="7AD7321D"/>
    <w:rsid w:val="7F192494"/>
    <w:rsid w:val="7F997F9A"/>
    <w:rsid w:val="7FF31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tabs>
        <w:tab w:val="center" w:pos="4153"/>
        <w:tab w:val="right" w:pos="8306"/>
      </w:tabs>
      <w:snapToGrid w:val="0"/>
      <w:jc w:val="center"/>
    </w:pPr>
    <w:rPr>
      <w:sz w:val="18"/>
      <w:szCs w:val="18"/>
    </w:rPr>
  </w:style>
  <w:style w:type="paragraph" w:styleId="5">
    <w:name w:val="annotation subject"/>
    <w:basedOn w:val="2"/>
    <w:next w:val="2"/>
    <w:link w:val="15"/>
    <w:qFormat/>
    <w:uiPriority w:val="0"/>
    <w:rPr>
      <w:b/>
      <w:bCs/>
    </w:rPr>
  </w:style>
  <w:style w:type="table" w:styleId="7">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qFormat/>
    <w:uiPriority w:val="0"/>
    <w:rPr>
      <w:color w:val="0026E5" w:themeColor="hyperlink"/>
      <w:u w:val="single"/>
      <w14:textFill>
        <w14:solidFill>
          <w14:schemeClr w14:val="hlink"/>
        </w14:solidFill>
      </w14:textFill>
    </w:rPr>
  </w:style>
  <w:style w:type="character" w:styleId="10">
    <w:name w:val="annotation reference"/>
    <w:basedOn w:val="8"/>
    <w:qFormat/>
    <w:uiPriority w:val="0"/>
    <w:rPr>
      <w:sz w:val="21"/>
      <w:szCs w:val="21"/>
    </w:rPr>
  </w:style>
  <w:style w:type="character" w:customStyle="1" w:styleId="11">
    <w:name w:val="页眉 字符"/>
    <w:basedOn w:val="8"/>
    <w:link w:val="4"/>
    <w:qFormat/>
    <w:uiPriority w:val="0"/>
    <w:rPr>
      <w:kern w:val="2"/>
      <w:sz w:val="18"/>
      <w:szCs w:val="18"/>
    </w:rPr>
  </w:style>
  <w:style w:type="character" w:customStyle="1" w:styleId="12">
    <w:name w:val="页脚 字符"/>
    <w:basedOn w:val="8"/>
    <w:link w:val="3"/>
    <w:qFormat/>
    <w:uiPriority w:val="0"/>
    <w:rPr>
      <w:kern w:val="2"/>
      <w:sz w:val="18"/>
      <w:szCs w:val="18"/>
    </w:rPr>
  </w:style>
  <w:style w:type="paragraph" w:customStyle="1" w:styleId="13">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4">
    <w:name w:val="批注文字 字符"/>
    <w:basedOn w:val="8"/>
    <w:link w:val="2"/>
    <w:qFormat/>
    <w:uiPriority w:val="0"/>
    <w:rPr>
      <w:kern w:val="2"/>
      <w:sz w:val="21"/>
      <w:szCs w:val="24"/>
    </w:rPr>
  </w:style>
  <w:style w:type="character" w:customStyle="1" w:styleId="15">
    <w:name w:val="批注主题 字符"/>
    <w:basedOn w:val="14"/>
    <w:link w:val="5"/>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20.tiff"/><Relationship Id="rId23" Type="http://schemas.openxmlformats.org/officeDocument/2006/relationships/image" Target="media/image19.tiff"/><Relationship Id="rId22" Type="http://schemas.openxmlformats.org/officeDocument/2006/relationships/image" Target="media/image18.png"/><Relationship Id="rId21" Type="http://schemas.openxmlformats.org/officeDocument/2006/relationships/image" Target="media/image17.tiff"/><Relationship Id="rId20" Type="http://schemas.openxmlformats.org/officeDocument/2006/relationships/image" Target="media/image16.tiff"/><Relationship Id="rId2" Type="http://schemas.openxmlformats.org/officeDocument/2006/relationships/settings" Target="settings.xml"/><Relationship Id="rId19" Type="http://schemas.openxmlformats.org/officeDocument/2006/relationships/image" Target="media/image15.tiff"/><Relationship Id="rId18" Type="http://schemas.openxmlformats.org/officeDocument/2006/relationships/image" Target="media/image14.png"/><Relationship Id="rId17" Type="http://schemas.openxmlformats.org/officeDocument/2006/relationships/image" Target="media/image13.tiff"/><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tiff"/><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444</Words>
  <Characters>2751</Characters>
  <Lines>20</Lines>
  <Paragraphs>5</Paragraphs>
  <TotalTime>2</TotalTime>
  <ScaleCrop>false</ScaleCrop>
  <LinksUpToDate>false</LinksUpToDate>
  <CharactersWithSpaces>3179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2025-01-15T13:50:00Z</dcterms:created>
  <dc:creator>Administrator</dc:creator>
  <cp:lastModifiedBy>hmj</cp:lastModifiedBy>
  <dcterms:modified xsi:type="dcterms:W3CDTF">2025-12-09T10:33:44Z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eyJoZGlkIjoiMjAxNTk2NDI2NzNmYjk5OTY4NjJhOWU2ODNhNzMwZDQiLCJ1c2VySWQiOiI0NTc3ODc1ODYifQ==</vt:lpwstr>
  </property>
  <property fmtid="{D5CDD505-2E9C-101B-9397-08002B2CF9AE}" pid="4" name="ICV">
    <vt:lpwstr>CBB1928C95324784A72ECF8BBDC6DC49_13</vt:lpwstr>
  </property>
</Properties>
</file>