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BBA8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ROS-Responsive Nanoliposomes Loaded with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nti-oomycetes Medium-Chain Fatty Acids for Shuttling Delivery in Plant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disease control </w:t>
      </w:r>
    </w:p>
    <w:p w14:paraId="117EDBE8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Chenyu Su</w:t>
      </w:r>
      <w:r>
        <w:rPr>
          <w:rFonts w:hint="eastAsia" w:ascii="Times New Roman" w:hAnsi="Times New Roman" w:cs="Times New Roman"/>
          <w:b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†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Kangwen Xu</w:t>
      </w:r>
      <w:r>
        <w:rPr>
          <w:rFonts w:hint="eastAsia" w:ascii="Times New Roman" w:hAnsi="Times New Roman" w:cs="Times New Roman"/>
          <w:b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†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Xuexia Xing</w:t>
      </w:r>
      <w:r>
        <w:rPr>
          <w:rFonts w:hint="eastAsia" w:ascii="Times New Roman" w:hAnsi="Times New Roman" w:cs="Times New Roman"/>
          <w:b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Yuan Liu</w:t>
      </w:r>
      <w:r>
        <w:rPr>
          <w:rFonts w:hint="eastAsia" w:ascii="Times New Roman" w:hAnsi="Times New Roman" w:cs="Times New Roman"/>
          <w:b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Yahui Yang</w:t>
      </w:r>
      <w:r>
        <w:rPr>
          <w:rFonts w:hint="eastAsia" w:ascii="Times New Roman" w:hAnsi="Times New Roman" w:cs="Times New Roman"/>
          <w:b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, Donglin Zhao</w:t>
      </w:r>
      <w:r>
        <w:rPr>
          <w:rFonts w:hint="eastAsia" w:ascii="Times New Roman" w:hAnsi="Times New Roman" w:cs="Times New Roman"/>
          <w:b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1*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, Chengsheng Zhang</w:t>
      </w:r>
      <w:r>
        <w:rPr>
          <w:rFonts w:hint="eastAsia" w:ascii="Times New Roman" w:hAnsi="Times New Roman" w:cs="Times New Roman"/>
          <w:b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1*</w:t>
      </w:r>
    </w:p>
    <w:p w14:paraId="4AC6FC1E">
      <w:pPr>
        <w:spacing w:line="360" w:lineRule="auto"/>
        <w:rPr>
          <w:rFonts w:ascii="Times New Roman" w:hAnsi="Times New Roman" w:cs="Times New Roman"/>
          <w:iCs/>
          <w:caps/>
          <w:color w:val="000000" w:themeColor="text1"/>
          <w:kern w:val="0"/>
          <w:sz w:val="24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Key Laboratory of Tobacco Biology and Processing, Ministry of Agriculture and Rural Affairs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iCs/>
          <w:color w:val="000000" w:themeColor="text1"/>
          <w:kern w:val="0"/>
          <w:sz w:val="24"/>
          <w:lang w:val="en-GB"/>
          <w14:textFill>
            <w14:solidFill>
              <w14:schemeClr w14:val="tx1"/>
            </w14:solidFill>
          </w14:textFill>
        </w:rPr>
        <w:t>Tobacco Research Institute of Chinese Academy of Agricultural Sciences,</w:t>
      </w:r>
      <w:r>
        <w:rPr>
          <w:rFonts w:ascii="Times New Roman" w:hAnsi="Times New Roman" w:cs="Times New Roman"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kern w:val="0"/>
          <w:sz w:val="24"/>
          <w:lang w:val="en-GB"/>
          <w14:textFill>
            <w14:solidFill>
              <w14:schemeClr w14:val="tx1"/>
            </w14:solidFill>
          </w14:textFill>
        </w:rPr>
        <w:t>Qingdao, 266101, China.</w:t>
      </w:r>
    </w:p>
    <w:p w14:paraId="4EC2E48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lang w:val="en-GB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4"/>
          <w:lang w:val="en-GB"/>
          <w14:textFill>
            <w14:solidFill>
              <w14:schemeClr w14:val="tx1"/>
            </w14:solidFill>
          </w14:textFill>
        </w:rPr>
        <w:t>Nanyang branch affiliates of henan province tobacco company</w:t>
      </w:r>
      <w:r>
        <w:rPr>
          <w:rFonts w:hint="eastAsia" w:ascii="Times New Roman" w:hAnsi="Times New Roman" w:cs="Times New Roman"/>
          <w:color w:val="000000" w:themeColor="text1"/>
          <w:sz w:val="24"/>
          <w:lang w:val="en-GB"/>
          <w14:textFill>
            <w14:solidFill>
              <w14:schemeClr w14:val="tx1"/>
            </w14:solidFill>
          </w14:textFill>
        </w:rPr>
        <w:t>, Nanngyang, 473000, China.</w:t>
      </w:r>
    </w:p>
    <w:p w14:paraId="25C558B9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lang w:val="en-GB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 xml:space="preserve">† 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Both authors made equal contributions to this work.</w:t>
      </w:r>
    </w:p>
    <w:p w14:paraId="1EE9709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u w:val="none"/>
          <w:vertAlign w:val="superscript"/>
          <w14:textFill>
            <w14:solidFill>
              <w14:schemeClr w14:val="tx1"/>
            </w14:solidFill>
          </w14:textFill>
        </w:rPr>
        <w:t xml:space="preserve">* </w:t>
      </w:r>
      <w:r>
        <w:rPr>
          <w:rFonts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t xml:space="preserve">Correspondence: </w:t>
      </w:r>
      <w:r>
        <w:rPr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:u w:val="none"/>
          <w14:textFill>
            <w14:solidFill>
              <w14:schemeClr w14:val="tx1"/>
            </w14:solidFill>
          </w14:textFill>
        </w:rPr>
        <w:instrText xml:space="preserve"> HYPERLINK "mailto:zhangchengsheng@caas.cn" </w:instrText>
      </w:r>
      <w:r>
        <w:rPr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6"/>
          <w:rFonts w:hint="eastAsia"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t>zhangchengsheng@caas.cn</w:t>
      </w:r>
      <w:r>
        <w:rPr>
          <w:rStyle w:val="6"/>
          <w:rFonts w:hint="eastAsia"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t xml:space="preserve">; </w:t>
      </w:r>
    </w:p>
    <w:p w14:paraId="7C916AAE">
      <w:pPr>
        <w:spacing w:line="360" w:lineRule="auto"/>
        <w:ind w:firstLine="1680" w:firstLineChars="800"/>
        <w:rPr>
          <w:rFonts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:u w:val="none"/>
          <w14:textFill>
            <w14:solidFill>
              <w14:schemeClr w14:val="tx1"/>
            </w14:solidFill>
          </w14:textFill>
        </w:rPr>
        <w:instrText xml:space="preserve"> HYPERLINK "mailto:zhaodonglin@caas.com" </w:instrText>
      </w:r>
      <w:r>
        <w:rPr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6"/>
          <w:rFonts w:hint="eastAsia"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t>zhaodonglin@caas.com</w:t>
      </w:r>
      <w:r>
        <w:rPr>
          <w:rStyle w:val="6"/>
          <w:rFonts w:hint="eastAsia"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t>.</w:t>
      </w:r>
    </w:p>
    <w:p w14:paraId="3DD690B7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6D71D03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9B027BC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58BA89F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7BF5C03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980C83C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25E9AE7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21EFCBB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C65AF98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36B0D1C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C2C80A4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0650742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FBB39F4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B65090D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B602814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1ECEDFE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20F2E4B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1.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Physicochemical properties of the synthetic peptide</w:t>
      </w:r>
    </w:p>
    <w:tbl>
      <w:tblPr>
        <w:tblStyle w:val="4"/>
        <w:tblW w:w="8560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1"/>
        <w:gridCol w:w="4759"/>
      </w:tblGrid>
      <w:tr w14:paraId="50D92AC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FBA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Property</w:t>
            </w:r>
          </w:p>
        </w:tc>
        <w:tc>
          <w:tcPr>
            <w:tcW w:w="4759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457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</w:tr>
      <w:tr w14:paraId="7C5CDB0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4C29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Peptide Sequence</w:t>
            </w:r>
          </w:p>
        </w:tc>
        <w:tc>
          <w:tcPr>
            <w:tcW w:w="475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9BF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H2N–YGRKKRRQRRR–OH</w:t>
            </w:r>
          </w:p>
        </w:tc>
      </w:tr>
      <w:tr w14:paraId="573C346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C08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Molecular Weight (Theoretical)</w:t>
            </w:r>
          </w:p>
        </w:tc>
        <w:tc>
          <w:tcPr>
            <w:tcW w:w="475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7E4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952.80 Da</w:t>
            </w:r>
          </w:p>
        </w:tc>
      </w:tr>
      <w:tr w14:paraId="0C5E1C4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374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Molecular Weight (Observed by MS)</w:t>
            </w:r>
          </w:p>
        </w:tc>
        <w:tc>
          <w:tcPr>
            <w:tcW w:w="475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B54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955.80 Da</w:t>
            </w:r>
          </w:p>
        </w:tc>
      </w:tr>
      <w:tr w14:paraId="347EFA7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F0D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Purity (by HPLC)</w:t>
            </w:r>
          </w:p>
        </w:tc>
        <w:tc>
          <w:tcPr>
            <w:tcW w:w="475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08A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97.77%</w:t>
            </w:r>
          </w:p>
        </w:tc>
      </w:tr>
      <w:tr w14:paraId="1FD1C47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C76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Appearance</w:t>
            </w:r>
          </w:p>
        </w:tc>
        <w:tc>
          <w:tcPr>
            <w:tcW w:w="475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AFA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White to off-white lyophilized powder</w:t>
            </w:r>
          </w:p>
        </w:tc>
      </w:tr>
      <w:tr w14:paraId="09524AB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6B47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Quantity</w:t>
            </w:r>
          </w:p>
        </w:tc>
        <w:tc>
          <w:tcPr>
            <w:tcW w:w="475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5ED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10.0 mg</w:t>
            </w:r>
          </w:p>
        </w:tc>
      </w:tr>
      <w:tr w14:paraId="625F6FA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9BC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Storage</w:t>
            </w:r>
          </w:p>
        </w:tc>
        <w:tc>
          <w:tcPr>
            <w:tcW w:w="475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124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–20 °C</w:t>
            </w:r>
          </w:p>
        </w:tc>
      </w:tr>
      <w:tr w14:paraId="1DE9E46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AE5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Solubility</w:t>
            </w:r>
          </w:p>
        </w:tc>
        <w:tc>
          <w:tcPr>
            <w:tcW w:w="475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423B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100% H₂O</w:t>
            </w:r>
          </w:p>
        </w:tc>
      </w:tr>
      <w:tr w14:paraId="5F5F75B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ECDF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Dissolution Condition</w:t>
            </w:r>
          </w:p>
        </w:tc>
        <w:tc>
          <w:tcPr>
            <w:tcW w:w="475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44E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7AA buffer</w:t>
            </w:r>
          </w:p>
        </w:tc>
      </w:tr>
      <w:tr w14:paraId="27B03F2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4FC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HPLC Column</w:t>
            </w:r>
          </w:p>
        </w:tc>
        <w:tc>
          <w:tcPr>
            <w:tcW w:w="475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690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SHIMADZU Inertsil ODS-SP (4.6 × 250 mm, 5 µm)</w:t>
            </w:r>
          </w:p>
        </w:tc>
      </w:tr>
      <w:tr w14:paraId="3B920BE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2D4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Mobile Phase</w:t>
            </w:r>
          </w:p>
        </w:tc>
        <w:tc>
          <w:tcPr>
            <w:tcW w:w="475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B2B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A: 0.1% TFA in H₂O; B: 0.1% TFA in ACN</w:t>
            </w:r>
          </w:p>
        </w:tc>
      </w:tr>
      <w:tr w14:paraId="0D8A00F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DF1C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Detection Wavelength</w:t>
            </w:r>
          </w:p>
        </w:tc>
        <w:tc>
          <w:tcPr>
            <w:tcW w:w="475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6DD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220 nm</w:t>
            </w:r>
          </w:p>
        </w:tc>
      </w:tr>
      <w:tr w14:paraId="42F553A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4A9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Injection Volume</w:t>
            </w:r>
          </w:p>
        </w:tc>
        <w:tc>
          <w:tcPr>
            <w:tcW w:w="475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43C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 µL</w:t>
            </w:r>
          </w:p>
        </w:tc>
      </w:tr>
    </w:tbl>
    <w:p w14:paraId="58974CF4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F702400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C21FB67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EB66B5E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383405" cy="3558540"/>
            <wp:effectExtent l="0" t="0" r="0" b="0"/>
            <wp:docPr id="3" name="图片 3" descr="肽 T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肽 TAT"/>
                    <pic:cNvPicPr>
                      <a:picLocks noChangeAspect="1"/>
                    </pic:cNvPicPr>
                  </pic:nvPicPr>
                  <pic:blipFill>
                    <a:blip r:embed="rId4"/>
                    <a:srcRect l="6202" t="9630" r="10670" b="2767"/>
                    <a:stretch>
                      <a:fillRect/>
                    </a:stretch>
                  </pic:blipFill>
                  <pic:spPr>
                    <a:xfrm>
                      <a:off x="0" y="0"/>
                      <a:ext cx="4383405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1E3E4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HPLC chromatogram of the synthesized peptide</w:t>
      </w:r>
    </w:p>
    <w:p w14:paraId="45D08D80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311650" cy="3487420"/>
            <wp:effectExtent l="0" t="0" r="0" b="0"/>
            <wp:docPr id="4" name="图片 4" descr="肽的质谱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肽的质谱图"/>
                    <pic:cNvPicPr>
                      <a:picLocks noChangeAspect="1"/>
                    </pic:cNvPicPr>
                  </pic:nvPicPr>
                  <pic:blipFill>
                    <a:blip r:embed="rId5"/>
                    <a:srcRect l="6033" t="9630" r="12210" b="3950"/>
                    <a:stretch>
                      <a:fillRect/>
                    </a:stretch>
                  </pic:blipFill>
                  <pic:spPr>
                    <a:xfrm>
                      <a:off x="0" y="0"/>
                      <a:ext cx="4311650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14203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Mass spectrum of the peptide</w:t>
      </w:r>
    </w:p>
    <w:p w14:paraId="32DE571D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6C0CE47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DB62BFE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0C2A3F0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61800FB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1EA925E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EFE23A6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6AA68C1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2817899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BFC602C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C02429D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DC25793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3A69ABC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98B13B6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77FF8CC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3786F1E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E4BB6E6">
      <w:pPr>
        <w:spacing w:line="360" w:lineRule="auto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9B4900F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2.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GO enrichment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DDA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-vs-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CK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differential gene GO enrichment bubble chart</w:t>
      </w:r>
    </w:p>
    <w:tbl>
      <w:tblPr>
        <w:tblStyle w:val="4"/>
        <w:tblW w:w="9073" w:type="dxa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1340"/>
        <w:gridCol w:w="4134"/>
        <w:gridCol w:w="1236"/>
        <w:gridCol w:w="1302"/>
      </w:tblGrid>
      <w:tr w14:paraId="4A73C91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078F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Number</w:t>
            </w:r>
          </w:p>
        </w:tc>
        <w:tc>
          <w:tcPr>
            <w:tcW w:w="134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7CC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 ID</w:t>
            </w:r>
          </w:p>
        </w:tc>
        <w:tc>
          <w:tcPr>
            <w:tcW w:w="4134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852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 Description</w:t>
            </w:r>
          </w:p>
        </w:tc>
        <w:tc>
          <w:tcPr>
            <w:tcW w:w="1236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000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Adjusted Pvalue</w:t>
            </w:r>
          </w:p>
        </w:tc>
        <w:tc>
          <w:tcPr>
            <w:tcW w:w="1302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8EC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Rich factor</w:t>
            </w:r>
          </w:p>
        </w:tc>
      </w:tr>
      <w:tr w14:paraId="5925FD8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778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34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33F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GO:0006635</w:t>
            </w:r>
          </w:p>
        </w:tc>
        <w:tc>
          <w:tcPr>
            <w:tcW w:w="413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FF0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fatty acid beta-oxidation</w:t>
            </w:r>
          </w:p>
        </w:tc>
        <w:tc>
          <w:tcPr>
            <w:tcW w:w="12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440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0.00165322</w:t>
            </w:r>
          </w:p>
        </w:tc>
        <w:tc>
          <w:tcPr>
            <w:tcW w:w="130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CD40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0.375</w:t>
            </w:r>
          </w:p>
        </w:tc>
      </w:tr>
      <w:tr w14:paraId="2F3C714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D46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580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GO:0019395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F03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fatty acid oxidation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B6B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0.00165322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297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0.375</w:t>
            </w:r>
          </w:p>
        </w:tc>
      </w:tr>
      <w:tr w14:paraId="7341C9F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2C3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018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GO:0016491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889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oxidoreductase activity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13FA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0.00165424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F3C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0.093</w:t>
            </w:r>
          </w:p>
        </w:tc>
      </w:tr>
      <w:tr w14:paraId="119FE94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D77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0B45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GO:0072329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E9B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monocarboxylic acid catabolic process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920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0.00166841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C4C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0.333</w:t>
            </w:r>
          </w:p>
        </w:tc>
      </w:tr>
      <w:tr w14:paraId="21B652F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4F8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65B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GO:0034440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A4A3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lipid oxidation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E76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0.00174707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96F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0.352</w:t>
            </w:r>
          </w:p>
        </w:tc>
      </w:tr>
      <w:tr w14:paraId="032C82D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AB2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030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GO:0009062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1B0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fatty acid catabolic process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DD3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0.00273034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75A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0.315</w:t>
            </w:r>
          </w:p>
        </w:tc>
      </w:tr>
      <w:tr w14:paraId="5874753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36B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CB7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GO:0044242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4BF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cellular lipid catabolic process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0331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0.00409556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161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0.285</w:t>
            </w:r>
          </w:p>
        </w:tc>
      </w:tr>
      <w:tr w14:paraId="2A57C57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12B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D5F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GO:0015399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299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primary active transmembrane transporter activity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84E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0.00535507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E14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0.135</w:t>
            </w:r>
          </w:p>
        </w:tc>
      </w:tr>
      <w:tr w14:paraId="3C4FC5E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3FF2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5F0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GO:0022804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002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active transmembrane transporter activity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137E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0.00716917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1F4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0.126</w:t>
            </w:r>
          </w:p>
        </w:tc>
      </w:tr>
      <w:tr w14:paraId="140A1F4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819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42E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GO:0030258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EF6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lipid modification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A65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0.01353410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953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0.222</w:t>
            </w:r>
          </w:p>
        </w:tc>
      </w:tr>
      <w:tr w14:paraId="05DD897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EA6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2C5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GO:0042626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AA0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ATPase-coupled transmembrane transporter activity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5E7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0.02014746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8A4D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0.126</w:t>
            </w:r>
          </w:p>
        </w:tc>
      </w:tr>
      <w:tr w14:paraId="14453D9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EF95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22E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GO:0005777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C1B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peroxisome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38B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0.02252531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7FE3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0.227</w:t>
            </w:r>
          </w:p>
        </w:tc>
      </w:tr>
      <w:tr w14:paraId="647040B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7C3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438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GO:0016042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FE4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lipid catabolic process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81F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0.02300800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F970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0.171</w:t>
            </w:r>
          </w:p>
        </w:tc>
      </w:tr>
      <w:tr w14:paraId="7FAD96B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6FD6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847F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GO:0000447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C24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endonucleolytic cleavage in ITS1 to separate SSU-rRNA from 5.8S rRNA and LSU-rRNA from tricistronic rRNA transcript (SSU-rRNA, 5.8S rRNA, LSU-rRNA)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824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0.02493164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F302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0.66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12A55A6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B3B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F1B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GO:0030312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42C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external encapsulating structure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EFF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0.02493164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EEA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0.66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1252151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8AC4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EE9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GO:0003988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6D2A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acetyl-CoA C-acyltransferase activity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8C4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0.02493164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B41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0.66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7799377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067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A15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GO:0022857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E68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transmembrane transporter activity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6839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0.02603380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13E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0.0882</w:t>
            </w:r>
          </w:p>
        </w:tc>
      </w:tr>
      <w:tr w14:paraId="0CB2921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131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9B6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GO:0042625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ECED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ATPase-coupled ion transmembrane transporter activity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11A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0.02788727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EC7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</w:tr>
      <w:tr w14:paraId="19FE7EC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BB1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550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GO:0046961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FE1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proton-transporting ATPase activity, rotational mechanism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5B00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0.02788727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3046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</w:tr>
      <w:tr w14:paraId="058E6C9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38E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E09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GO:0044769</w:t>
            </w:r>
          </w:p>
        </w:tc>
        <w:tc>
          <w:tcPr>
            <w:tcW w:w="4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502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ATPase activity, coupled to transmembrane movement of ions, rotational mechanism</w:t>
            </w:r>
          </w:p>
        </w:tc>
        <w:tc>
          <w:tcPr>
            <w:tcW w:w="12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2F7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0.02788727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7D7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</w:tr>
    </w:tbl>
    <w:p w14:paraId="43E81779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9D94F2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0BE6EF9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4B41E34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CF758E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81A6F9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938776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649B26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44E5A0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CE1CB3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D3DC7A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82030" cy="3721100"/>
            <wp:effectExtent l="0" t="0" r="13970" b="12700"/>
            <wp:docPr id="2" name="图片 2" descr="GO富集分类-1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O富集分类-1_画板 1"/>
                    <pic:cNvPicPr>
                      <a:picLocks noChangeAspect="1"/>
                    </pic:cNvPicPr>
                  </pic:nvPicPr>
                  <pic:blipFill>
                    <a:blip r:embed="rId6"/>
                    <a:srcRect l="9107" t="58708" r="4445" b="3885"/>
                    <a:stretch>
                      <a:fillRect/>
                    </a:stretch>
                  </pic:blipFill>
                  <pic:spPr>
                    <a:xfrm>
                      <a:off x="0" y="0"/>
                      <a:ext cx="6082030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26216">
      <w:pPr>
        <w:jc w:val="center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3.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Functional classification of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GO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pathways and enrichment significance</w:t>
      </w:r>
    </w:p>
    <w:p w14:paraId="1019B3D9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51534B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9953D9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D69425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A22038D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5EF282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2E4BB5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BF3912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A1581B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61EAB9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1AA873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612397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432BCE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985D8B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ED896F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6234BB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31D16E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E049154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048358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D3B73F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CDC630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DCF17D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CD39F2D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D8E612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A3307C3">
      <w:pPr>
        <w:spacing w:line="360" w:lineRule="auto"/>
        <w:jc w:val="center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3.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KEGG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enrichment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DDA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-vs-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CK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differential gene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KEGG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enrichment bubble chart</w:t>
      </w:r>
    </w:p>
    <w:tbl>
      <w:tblPr>
        <w:tblStyle w:val="4"/>
        <w:tblW w:w="0" w:type="auto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143"/>
        <w:gridCol w:w="3229"/>
        <w:gridCol w:w="1501"/>
        <w:gridCol w:w="1088"/>
      </w:tblGrid>
      <w:tr w14:paraId="78485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BDAC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Protein Number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9B93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Pathway ID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833E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KEGG Description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F8F2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Adjusted Pvalue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894C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Rich factor</w:t>
            </w:r>
          </w:p>
        </w:tc>
      </w:tr>
      <w:tr w14:paraId="562AD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670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6D5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map03022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F1F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Basal transcription factors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862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0.19129295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A4F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0.130</w:t>
            </w:r>
          </w:p>
        </w:tc>
      </w:tr>
      <w:tr w14:paraId="27676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C3F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DF8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map03008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F0B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Ribosome biogenesis in eukaryotes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8C9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0.21832603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3D1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0.083</w:t>
            </w:r>
          </w:p>
        </w:tc>
      </w:tr>
      <w:tr w14:paraId="123DF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6AF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B5A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432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ABC transporters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DEF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0.314055897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FA0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0.102</w:t>
            </w:r>
          </w:p>
        </w:tc>
      </w:tr>
      <w:tr w14:paraId="11E00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706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59D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map00561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4A0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Glycerolipid metabolism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C39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0.500153549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617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0.064</w:t>
            </w:r>
          </w:p>
        </w:tc>
      </w:tr>
      <w:tr w14:paraId="323BA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995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4B4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map00410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813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beta-Alanine metabolism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131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0.509077306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79F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0.066</w:t>
            </w:r>
          </w:p>
        </w:tc>
      </w:tr>
      <w:tr w14:paraId="2FA0A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C5E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EED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map03083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A71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Polycomb repressive complex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BEB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0.519496904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768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0.15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6429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514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34E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map00310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5A3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Lysine degradation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BC0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0.519637643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F2A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0.068</w:t>
            </w:r>
          </w:p>
        </w:tc>
      </w:tr>
      <w:tr w14:paraId="50E68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78D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735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map04814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8EF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Motor proteins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20A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0.520732916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88F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0.055</w:t>
            </w:r>
          </w:p>
        </w:tc>
      </w:tr>
      <w:tr w14:paraId="1CFF2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2D7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526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map00330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5A2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Arginine and proline metabolism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B63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0.5310865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226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0.08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5F1E1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51E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E86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map00340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ABF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Histidine metabolism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127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0.545942662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38C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0.117</w:t>
            </w:r>
          </w:p>
        </w:tc>
      </w:tr>
      <w:tr w14:paraId="6B636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F61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314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map00380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80B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Tryptophan metabolism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E73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0.547604001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04B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0.074</w:t>
            </w:r>
          </w:p>
        </w:tc>
      </w:tr>
      <w:tr w14:paraId="2CD5E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F4C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0B1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map00770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616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Pantothenate and CoA biosynthesis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365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0.551414197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C9B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0.083</w:t>
            </w:r>
          </w:p>
        </w:tc>
      </w:tr>
      <w:tr w14:paraId="3C0D2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9B8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EE7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map03082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7F8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ATP-dependent chromatin remodeling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7B0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0.577595094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0B8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0.086</w:t>
            </w:r>
          </w:p>
        </w:tc>
      </w:tr>
      <w:tr w14:paraId="39FE0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541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190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map03440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E40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Homologous recombination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D29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0.583847428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0D7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</w:tr>
      <w:tr w14:paraId="18061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DBB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2A6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map04145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1F8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Phagosome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4CA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0.599644588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D63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0.052</w:t>
            </w:r>
          </w:p>
        </w:tc>
      </w:tr>
      <w:tr w14:paraId="73830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0D2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CBC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map03420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667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Nucleotide excision repair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ACF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0.599644588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230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0.052</w:t>
            </w:r>
          </w:p>
        </w:tc>
      </w:tr>
      <w:tr w14:paraId="6CC38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8D0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672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map00190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144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Oxidative phosphorylation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D8B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0.611155801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059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0.055</w:t>
            </w:r>
          </w:p>
        </w:tc>
      </w:tr>
      <w:tr w14:paraId="3FF78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EEF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47F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map03040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45F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Spliceosome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40F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0.636534638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926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73CDC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D6E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992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map00350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CF8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Tyrosine metabolism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B5B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0.64471897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0F2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0.035</w:t>
            </w:r>
          </w:p>
        </w:tc>
      </w:tr>
      <w:tr w14:paraId="3DF1D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957FF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FF943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map00020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8911F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Citrate cycle (TCA cycle)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26AD6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0.64471897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7BDF8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0.035</w:t>
            </w:r>
          </w:p>
        </w:tc>
      </w:tr>
    </w:tbl>
    <w:p w14:paraId="00CD7F7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69E9AA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DA067B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DB6C0E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712279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946775" cy="4046220"/>
            <wp:effectExtent l="0" t="0" r="15875" b="11430"/>
            <wp:docPr id="1" name="图片 1" descr="KEGG富集分类1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KEGG富集分类1_画板 1"/>
                    <pic:cNvPicPr>
                      <a:picLocks noChangeAspect="1"/>
                    </pic:cNvPicPr>
                  </pic:nvPicPr>
                  <pic:blipFill>
                    <a:blip r:embed="rId7"/>
                    <a:srcRect l="4951" t="3016" r="4987" b="53638"/>
                    <a:stretch>
                      <a:fillRect/>
                    </a:stretch>
                  </pic:blipFill>
                  <pic:spPr>
                    <a:xfrm>
                      <a:off x="0" y="0"/>
                      <a:ext cx="5946775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6B4DB">
      <w:pPr>
        <w:jc w:val="center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4.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Functional classification of KEGG pathways and enrichment significance</w:t>
      </w:r>
    </w:p>
    <w:p w14:paraId="10D53B4F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F510204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1C735C2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266394F">
      <w:pPr>
        <w:jc w:val="center"/>
        <w:rPr>
          <w:rFonts w:hint="eastAsia" w:ascii="Times New Roman" w:hAnsi="Times New Roman" w:cs="Times New Roman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135" cy="2759710"/>
            <wp:effectExtent l="0" t="0" r="0" b="0"/>
            <wp:docPr id="5" name="图片 5" descr="Fig.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 4"/>
                    <pic:cNvPicPr>
                      <a:picLocks noChangeAspect="1"/>
                    </pic:cNvPicPr>
                  </pic:nvPicPr>
                  <pic:blipFill>
                    <a:blip r:embed="rId8"/>
                    <a:srcRect b="6296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5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446DE">
      <w:pPr>
        <w:jc w:val="left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Fig. S5. TEM images of liposomes at different time points (1–4 h).</w:t>
      </w:r>
    </w:p>
    <w:p w14:paraId="76B13967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7F41CFB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3B0886B3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1245FBC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72C3DF4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4.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qRT-PCR primer design sequence</w:t>
      </w:r>
    </w:p>
    <w:tbl>
      <w:tblPr>
        <w:tblStyle w:val="4"/>
        <w:tblW w:w="5580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4155"/>
      </w:tblGrid>
      <w:tr w14:paraId="496F0CC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5173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B6FF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Sequence (5'-&gt;3')</w:t>
            </w:r>
          </w:p>
        </w:tc>
      </w:tr>
      <w:tr w14:paraId="5FD2A76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4A8D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SOD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7EC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TTCGACGCGATGAAGGTTAC</w:t>
            </w:r>
          </w:p>
        </w:tc>
      </w:tr>
      <w:tr w14:paraId="50B1083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C5C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39F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CGTAGCCACCACCATTGAAC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046F778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94D6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8B4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CAGCAACCGCTACTTCTCCA</w:t>
            </w:r>
          </w:p>
        </w:tc>
      </w:tr>
      <w:tr w14:paraId="11CDB27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A19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2E5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GGCCTTGTTGTCCTCGTAGT</w:t>
            </w:r>
          </w:p>
        </w:tc>
      </w:tr>
      <w:tr w14:paraId="69D7BFE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434D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F66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AGGAAGCGGGAGAAATCGAC</w:t>
            </w:r>
          </w:p>
        </w:tc>
      </w:tr>
      <w:tr w14:paraId="6ADACEC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9D5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F4C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TCCGTTTCCAGTGATGCTGA</w:t>
            </w:r>
          </w:p>
        </w:tc>
      </w:tr>
      <w:tr w14:paraId="3CC2F2B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3AFC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ACCOx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E4B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GGCTGTTGCTGGAGAGGTTA</w:t>
            </w:r>
          </w:p>
        </w:tc>
      </w:tr>
      <w:tr w14:paraId="255276F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636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301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AACCCAACCACCTCCTTCCA</w:t>
            </w:r>
          </w:p>
        </w:tc>
      </w:tr>
      <w:tr w14:paraId="3F0AC5C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AA0C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EFE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2AF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TGCAAGGCTCTGGAAGATGA</w:t>
            </w:r>
          </w:p>
        </w:tc>
      </w:tr>
      <w:tr w14:paraId="6E1D08E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36B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2DF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TTGATGCCCACCAAGTTCAC</w:t>
            </w:r>
          </w:p>
        </w:tc>
      </w:tr>
      <w:tr w14:paraId="4E010F8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EC4D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APX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D8D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GGCCTTGGTGTTGGAGAAGT</w:t>
            </w:r>
          </w:p>
        </w:tc>
      </w:tr>
      <w:tr w14:paraId="17A7B89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E16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223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CACCAACCCGTAGCCATCTT</w:t>
            </w:r>
          </w:p>
        </w:tc>
      </w:tr>
      <w:tr w14:paraId="01C9A5A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6186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22F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GATGCTTCTGGTGGGAAGAT</w:t>
            </w:r>
          </w:p>
        </w:tc>
      </w:tr>
      <w:tr w14:paraId="3F7A068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3D4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26F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TCTTCCACCTTCACACGACT</w:t>
            </w:r>
          </w:p>
        </w:tc>
      </w:tr>
      <w:tr w14:paraId="34C230D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586E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PR3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419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TGGCACCAAGACCTCTTCAT</w:t>
            </w:r>
          </w:p>
        </w:tc>
      </w:tr>
      <w:tr w14:paraId="214299F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D85A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797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CCACCTTGGAAGCCTTTGTA</w:t>
            </w:r>
          </w:p>
        </w:tc>
      </w:tr>
      <w:tr w14:paraId="224C633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63DCA2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Cs w:val="21"/>
                <w:lang w:val="en-US" w:eastAsia="zh-CN" w:bidi="ar"/>
              </w:rPr>
              <w:t>BZIP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2E5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  <w:t>AGCTCACGGTGGAAGTATTC</w:t>
            </w:r>
          </w:p>
        </w:tc>
      </w:tr>
      <w:tr w14:paraId="36E7F0F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6FA21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C13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  <w:t>TTGAAGTTGGCGTGAGTTGT</w:t>
            </w:r>
          </w:p>
        </w:tc>
      </w:tr>
      <w:tr w14:paraId="178AC13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F24AA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Cs w:val="21"/>
                <w:lang w:val="en-US" w:eastAsia="zh-CN" w:bidi="ar"/>
              </w:rPr>
              <w:t>ACS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F04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  <w:t>GGTGATCGAGTTGGCTTCAT</w:t>
            </w:r>
          </w:p>
        </w:tc>
      </w:tr>
      <w:tr w14:paraId="0DB533C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C445E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672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  <w:t>CATCAGGCGTTCTTCTTCTT</w:t>
            </w:r>
          </w:p>
        </w:tc>
      </w:tr>
      <w:tr w14:paraId="031A272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932FE6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Cs w:val="21"/>
                <w:lang w:val="en-US" w:eastAsia="zh-CN" w:bidi="ar"/>
              </w:rPr>
              <w:t>MATE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DAB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  <w:t>CTGGACGCAAAGATGGTTCT</w:t>
            </w:r>
          </w:p>
        </w:tc>
      </w:tr>
      <w:tr w14:paraId="2BCD4D4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D4D84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203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  <w:t>GGTTGTCTTGTCCGATGTGA</w:t>
            </w:r>
          </w:p>
        </w:tc>
      </w:tr>
      <w:tr w14:paraId="376B4E0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41B22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Cs w:val="21"/>
                <w:lang w:val="en-US" w:eastAsia="zh-CN" w:bidi="ar"/>
              </w:rPr>
              <w:t>UCP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E4F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  <w:t>TGACCTTCACGCCAATGATA</w:t>
            </w:r>
          </w:p>
        </w:tc>
      </w:tr>
      <w:tr w14:paraId="3E44B87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F639F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F587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Cs w:val="21"/>
                <w:lang w:bidi="ar"/>
              </w:rPr>
              <w:t>CCAAGTCGTTTGGTTTGCAT</w:t>
            </w:r>
          </w:p>
        </w:tc>
      </w:tr>
    </w:tbl>
    <w:p w14:paraId="1FD16E20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2D000A55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59932B9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13BC6DD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5.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Weibull model fitting of drug release under various conditions</w:t>
      </w:r>
    </w:p>
    <w:tbl>
      <w:tblPr>
        <w:tblStyle w:val="4"/>
        <w:tblW w:w="0" w:type="auto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2085"/>
        <w:gridCol w:w="3090"/>
        <w:gridCol w:w="1340"/>
      </w:tblGrid>
      <w:tr w14:paraId="543CB49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1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8D6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Condition</w:t>
            </w:r>
          </w:p>
        </w:tc>
        <w:tc>
          <w:tcPr>
            <w:tcW w:w="2085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FC6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Sample</w:t>
            </w:r>
          </w:p>
        </w:tc>
        <w:tc>
          <w:tcPr>
            <w:tcW w:w="309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72B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Equation</w:t>
            </w:r>
          </w:p>
        </w:tc>
        <w:tc>
          <w:tcPr>
            <w:tcW w:w="134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D904F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vertAlign w:val="superscript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35534E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1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918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vertAlign w:val="subscript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vertAlign w:val="subscript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8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F40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DDA@P-ROS-Lipo</w:t>
            </w:r>
          </w:p>
        </w:tc>
        <w:tc>
          <w:tcPr>
            <w:tcW w:w="309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A24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Q(t)=87.51</m:t>
                </m:r>
                <m:r>
                  <m:rPr>
                    <m:sty m:val="p"/>
                  </m:rPr>
                  <w:rPr>
                    <w:rFonts w:ascii="Cambria Math" w:hAnsi="Cambria Math" w:eastAsia="微软雅黑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·</m:t>
                </m:r>
                <m:d>
                  <m:dPr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1−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e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SupPr>
                          <m:e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−(t/1.12)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e>
                          <m:sup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1.42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up>
                        </m:sSup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p>
                    </m:sSup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</m:d>
              </m:oMath>
            </m:oMathPara>
          </w:p>
        </w:tc>
        <w:tc>
          <w:tcPr>
            <w:tcW w:w="134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C81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0.9960</w:t>
            </w:r>
          </w:p>
        </w:tc>
      </w:tr>
      <w:tr w14:paraId="1B07609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A9B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EDE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DDA@Lipo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8D8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Q(t)=87.34</m:t>
                </m:r>
                <m:r>
                  <m:rPr>
                    <m:sty m:val="p"/>
                  </m:rPr>
                  <w:rPr>
                    <w:rFonts w:ascii="Cambria Math" w:hAnsi="Cambria Math" w:eastAsia="微软雅黑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·</m:t>
                </m:r>
                <m:d>
                  <m:dPr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1−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e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SupPr>
                          <m:e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−(t/6.67)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e>
                          <m:sup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0.89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up>
                        </m:sSup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p>
                    </m:sSup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</m:d>
              </m:oMath>
            </m:oMathPara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BFE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0.9945</w:t>
            </w:r>
          </w:p>
        </w:tc>
      </w:tr>
      <w:tr w14:paraId="53BB485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217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1F6E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DDA@ROS-Lipo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881B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Q(t)=87.51</m:t>
                </m:r>
                <m:r>
                  <m:rPr>
                    <m:sty m:val="p"/>
                  </m:rPr>
                  <w:rPr>
                    <w:rFonts w:ascii="Cambria Math" w:hAnsi="Cambria Math" w:eastAsia="微软雅黑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·</m:t>
                </m:r>
                <m:d>
                  <m:dPr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1−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e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SupPr>
                          <m:e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−(t/1.52)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e>
                          <m:sup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1.66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up>
                        </m:sSup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p>
                    </m:sSup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</m:d>
              </m:oMath>
            </m:oMathPara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623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0.9925</w:t>
            </w:r>
          </w:p>
        </w:tc>
      </w:tr>
      <w:tr w14:paraId="53F876F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3D5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369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DDA@P-Lipo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B46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Q(t)=87.72</m:t>
                </m:r>
                <m:r>
                  <m:rPr>
                    <m:sty m:val="p"/>
                  </m:rPr>
                  <w:rPr>
                    <w:rFonts w:ascii="Cambria Math" w:hAnsi="Cambria Math" w:eastAsia="微软雅黑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·</m:t>
                </m:r>
                <m:d>
                  <m:dPr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1−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e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SupPr>
                          <m:e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−(t/3.34)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e>
                          <m:sup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0.64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up>
                        </m:sSup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p>
                    </m:sSup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</m:d>
              </m:oMath>
            </m:oMathPara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C77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0.9798</w:t>
            </w:r>
          </w:p>
        </w:tc>
      </w:tr>
      <w:tr w14:paraId="06869D4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824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PBS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9226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DDA@P-ROS-Lipo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D11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Q(t)=86.47</m:t>
                </m:r>
                <m:r>
                  <m:rPr>
                    <m:sty m:val="p"/>
                  </m:rPr>
                  <w:rPr>
                    <w:rFonts w:ascii="Cambria Math" w:hAnsi="Cambria Math" w:eastAsia="微软雅黑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·</m:t>
                </m:r>
                <m:d>
                  <m:dPr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1−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e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SupPr>
                          <m:e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−(t/7.64)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e>
                          <m:sup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0.79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up>
                        </m:sSup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p>
                    </m:sSup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</m:d>
              </m:oMath>
            </m:oMathPara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5DB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0.9944</w:t>
            </w:r>
          </w:p>
        </w:tc>
      </w:tr>
      <w:tr w14:paraId="30C2EE6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D84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370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DDA@Lipo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55AB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Q(t)=87.34</m:t>
                </m:r>
                <m:r>
                  <m:rPr>
                    <m:sty m:val="p"/>
                  </m:rPr>
                  <w:rPr>
                    <w:rFonts w:ascii="Cambria Math" w:hAnsi="Cambria Math" w:eastAsia="微软雅黑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·</m:t>
                </m:r>
                <m:d>
                  <m:dPr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1−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e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SupPr>
                          <m:e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−(t/6.80)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e>
                          <m:sup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0.74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up>
                        </m:sSup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p>
                    </m:sSup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</m:d>
              </m:oMath>
            </m:oMathPara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50B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0.9864</w:t>
            </w:r>
          </w:p>
        </w:tc>
      </w:tr>
      <w:tr w14:paraId="38B3D5D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3F9B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E70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DDA@ROS-Lipo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DADF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Q(t)=87.51</m:t>
                </m:r>
                <m:r>
                  <m:rPr>
                    <m:sty m:val="p"/>
                  </m:rPr>
                  <w:rPr>
                    <w:rFonts w:ascii="Cambria Math" w:hAnsi="Cambria Math" w:eastAsia="微软雅黑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·</m:t>
                </m:r>
                <m:d>
                  <m:dPr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1−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e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SupPr>
                          <m:e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−(t/6.63)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e>
                          <m:sup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0.60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up>
                        </m:sSup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p>
                    </m:sSup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</m:d>
              </m:oMath>
            </m:oMathPara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901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0.9783</w:t>
            </w:r>
          </w:p>
        </w:tc>
      </w:tr>
      <w:tr w14:paraId="32FDA64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2078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ABB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DDA@P-Lipo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688A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Q(t)=87.76</m:t>
                </m:r>
                <m:r>
                  <m:rPr>
                    <m:sty m:val="p"/>
                  </m:rPr>
                  <w:rPr>
                    <w:rFonts w:ascii="Cambria Math" w:hAnsi="Cambria Math" w:eastAsia="微软雅黑" w:cs="Times New Roman"/>
                    <w:color w:val="000000" w:themeColor="text1"/>
                    <w:szCs w:val="21"/>
                    <w:shd w:val="clear" w:color="auto" w:fill="FFFFFF"/>
                    <w14:textFill>
                      <w14:solidFill>
                        <w14:schemeClr w14:val="tx1"/>
                      </w14:solidFill>
                    </w14:textFill>
                  </w:rPr>
                  <m:t>·</m:t>
                </m:r>
                <m:d>
                  <m:dPr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1−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e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SupPr>
                          <m:e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−(t/3.38)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e>
                          <m:sup>
                            <m:r>
                              <m:rPr/>
                              <w:rPr>
                                <w:rFonts w:ascii="Cambria Math" w:hAnsi="Cambria Math" w:cs="Times New Roman"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m:t>0.66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m:ctrlPr>
                          </m:sup>
                        </m:sSup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Cs w:val="21"/>
                            <w:shd w:val="clear" w:color="auto" w:fill="FFFFFF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p>
                    </m:sSup>
                    <m:ctrlPr>
                      <w:rPr>
                        <w:rFonts w:ascii="Cambria Math" w:hAnsi="Cambria Math" w:eastAsia="微软雅黑" w:cs="Times New Roman"/>
                        <w:color w:val="000000" w:themeColor="text1"/>
                        <w:szCs w:val="21"/>
                        <w:shd w:val="clear" w:color="auto" w:fill="FFFFFF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</m:d>
              </m:oMath>
            </m:oMathPara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34CF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0.9798</w:t>
            </w:r>
          </w:p>
        </w:tc>
      </w:tr>
    </w:tbl>
    <w:p w14:paraId="47E0C7F6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563FDDD">
      <w:pPr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80EC46D">
      <w:pPr>
        <w:spacing w:line="360" w:lineRule="auto"/>
        <w:jc w:val="left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color w:val="FF0000"/>
          <w:sz w:val="24"/>
        </w:rPr>
        <w:t>DSI (Disease Severity Index) standards</w:t>
      </w:r>
      <w:r>
        <w:rPr>
          <w:rFonts w:hint="eastAsia" w:ascii="Times New Roman" w:hAnsi="Times New Roman" w:eastAsia="宋体" w:cs="Times New Roman"/>
          <w:color w:val="FF0000"/>
          <w:sz w:val="24"/>
        </w:rPr>
        <w:t>:</w:t>
      </w:r>
    </w:p>
    <w:p w14:paraId="29926BD5">
      <w:pPr>
        <w:spacing w:line="360" w:lineRule="auto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color w:val="FF0000"/>
          <w:sz w:val="24"/>
        </w:rPr>
        <w:t xml:space="preserve">5 points: </w:t>
      </w:r>
      <w:r>
        <w:rPr>
          <w:rFonts w:hint="eastAsia" w:ascii="Times New Roman" w:hAnsi="Times New Roman" w:eastAsia="宋体" w:cs="Times New Roman"/>
          <w:color w:val="FF0000"/>
          <w:sz w:val="24"/>
        </w:rPr>
        <w:t>s</w:t>
      </w:r>
      <w:r>
        <w:rPr>
          <w:rFonts w:ascii="Times New Roman" w:hAnsi="Times New Roman" w:eastAsia="宋体" w:cs="Times New Roman"/>
          <w:color w:val="FF0000"/>
          <w:sz w:val="24"/>
        </w:rPr>
        <w:t xml:space="preserve">evere disease – </w:t>
      </w:r>
      <w:r>
        <w:rPr>
          <w:rFonts w:hint="eastAsia" w:ascii="Times New Roman" w:hAnsi="Times New Roman" w:eastAsia="宋体" w:cs="Times New Roman"/>
          <w:color w:val="FF0000"/>
          <w:sz w:val="24"/>
        </w:rPr>
        <w:t>t</w:t>
      </w:r>
      <w:r>
        <w:rPr>
          <w:rFonts w:ascii="Times New Roman" w:hAnsi="Times New Roman" w:eastAsia="宋体" w:cs="Times New Roman"/>
          <w:color w:val="FF0000"/>
          <w:sz w:val="24"/>
        </w:rPr>
        <w:t>he plant exhibits complete disease symptoms, such as death or severe wilting.</w:t>
      </w:r>
    </w:p>
    <w:p w14:paraId="713F82DF">
      <w:pPr>
        <w:spacing w:line="360" w:lineRule="auto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color w:val="FF0000"/>
          <w:sz w:val="24"/>
        </w:rPr>
        <w:t xml:space="preserve">4 points: </w:t>
      </w:r>
      <w:r>
        <w:rPr>
          <w:rFonts w:hint="eastAsia" w:ascii="Times New Roman" w:hAnsi="Times New Roman" w:eastAsia="宋体" w:cs="Times New Roman"/>
          <w:color w:val="FF0000"/>
          <w:sz w:val="24"/>
        </w:rPr>
        <w:t>m</w:t>
      </w:r>
      <w:r>
        <w:rPr>
          <w:rFonts w:ascii="Times New Roman" w:hAnsi="Times New Roman" w:eastAsia="宋体" w:cs="Times New Roman"/>
          <w:color w:val="FF0000"/>
          <w:sz w:val="24"/>
        </w:rPr>
        <w:t xml:space="preserve">oderate disease – </w:t>
      </w:r>
      <w:r>
        <w:rPr>
          <w:rFonts w:hint="eastAsia" w:ascii="Times New Roman" w:hAnsi="Times New Roman" w:eastAsia="宋体" w:cs="Times New Roman"/>
          <w:color w:val="FF0000"/>
          <w:sz w:val="24"/>
        </w:rPr>
        <w:t>t</w:t>
      </w:r>
      <w:r>
        <w:rPr>
          <w:rFonts w:ascii="Times New Roman" w:hAnsi="Times New Roman" w:eastAsia="宋体" w:cs="Times New Roman"/>
          <w:color w:val="FF0000"/>
          <w:sz w:val="24"/>
        </w:rPr>
        <w:t>he plant's growth is significantly hindered, with severe yellowing or curling of the leaves, and possible root base rotting.</w:t>
      </w:r>
    </w:p>
    <w:p w14:paraId="2C8CA391">
      <w:pPr>
        <w:spacing w:line="360" w:lineRule="auto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color w:val="FF0000"/>
          <w:sz w:val="24"/>
        </w:rPr>
        <w:t xml:space="preserve">2 points: </w:t>
      </w:r>
      <w:r>
        <w:rPr>
          <w:rFonts w:hint="eastAsia" w:ascii="Times New Roman" w:hAnsi="Times New Roman" w:eastAsia="宋体" w:cs="Times New Roman"/>
          <w:color w:val="FF0000"/>
          <w:sz w:val="24"/>
        </w:rPr>
        <w:t>m</w:t>
      </w:r>
      <w:r>
        <w:rPr>
          <w:rFonts w:ascii="Times New Roman" w:hAnsi="Times New Roman" w:eastAsia="宋体" w:cs="Times New Roman"/>
          <w:color w:val="FF0000"/>
          <w:sz w:val="24"/>
        </w:rPr>
        <w:t xml:space="preserve">ild to moderate disease – </w:t>
      </w:r>
      <w:r>
        <w:rPr>
          <w:rFonts w:hint="eastAsia" w:ascii="Times New Roman" w:hAnsi="Times New Roman" w:eastAsia="宋体" w:cs="Times New Roman"/>
          <w:color w:val="FF0000"/>
          <w:sz w:val="24"/>
        </w:rPr>
        <w:t>t</w:t>
      </w:r>
      <w:r>
        <w:rPr>
          <w:rFonts w:ascii="Times New Roman" w:hAnsi="Times New Roman" w:eastAsia="宋体" w:cs="Times New Roman"/>
          <w:color w:val="FF0000"/>
          <w:sz w:val="24"/>
        </w:rPr>
        <w:t>he plant shows mild to moderate symptoms, such as slight yellowing or minor leaf curling, with no severe rotting of the roots or stems.</w:t>
      </w:r>
    </w:p>
    <w:p w14:paraId="2A6BC393">
      <w:pPr>
        <w:spacing w:line="360" w:lineRule="auto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color w:val="FF0000"/>
          <w:sz w:val="24"/>
        </w:rPr>
        <w:t xml:space="preserve">1 point: </w:t>
      </w:r>
      <w:r>
        <w:rPr>
          <w:rFonts w:hint="eastAsia" w:ascii="Times New Roman" w:hAnsi="Times New Roman" w:eastAsia="宋体" w:cs="Times New Roman"/>
          <w:color w:val="FF0000"/>
          <w:sz w:val="24"/>
        </w:rPr>
        <w:t>l</w:t>
      </w:r>
      <w:r>
        <w:rPr>
          <w:rFonts w:ascii="Times New Roman" w:hAnsi="Times New Roman" w:eastAsia="宋体" w:cs="Times New Roman"/>
          <w:color w:val="FF0000"/>
          <w:sz w:val="24"/>
        </w:rPr>
        <w:t xml:space="preserve">ight disease – </w:t>
      </w:r>
      <w:r>
        <w:rPr>
          <w:rFonts w:hint="eastAsia" w:ascii="Times New Roman" w:hAnsi="Times New Roman" w:eastAsia="宋体" w:cs="Times New Roman"/>
          <w:color w:val="FF0000"/>
          <w:sz w:val="24"/>
        </w:rPr>
        <w:t>t</w:t>
      </w:r>
      <w:r>
        <w:rPr>
          <w:rFonts w:ascii="Times New Roman" w:hAnsi="Times New Roman" w:eastAsia="宋体" w:cs="Times New Roman"/>
          <w:color w:val="FF0000"/>
          <w:sz w:val="24"/>
        </w:rPr>
        <w:t>he plant shows light symptoms of disease, with slight growth delay, mild yellowing or curling of leaves, and healthy roots and stems.</w:t>
      </w:r>
    </w:p>
    <w:p w14:paraId="033AA656">
      <w:pPr>
        <w:spacing w:line="360" w:lineRule="auto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color w:val="FF0000"/>
          <w:sz w:val="24"/>
        </w:rPr>
        <w:t xml:space="preserve">0 points: </w:t>
      </w:r>
      <w:r>
        <w:rPr>
          <w:rFonts w:hint="eastAsia" w:ascii="Times New Roman" w:hAnsi="Times New Roman" w:eastAsia="宋体" w:cs="Times New Roman"/>
          <w:color w:val="FF0000"/>
          <w:sz w:val="24"/>
        </w:rPr>
        <w:t>n</w:t>
      </w:r>
      <w:r>
        <w:rPr>
          <w:rFonts w:ascii="Times New Roman" w:hAnsi="Times New Roman" w:eastAsia="宋体" w:cs="Times New Roman"/>
          <w:color w:val="FF0000"/>
          <w:sz w:val="24"/>
        </w:rPr>
        <w:t xml:space="preserve">o disease – </w:t>
      </w:r>
      <w:r>
        <w:rPr>
          <w:rFonts w:hint="eastAsia" w:ascii="Times New Roman" w:hAnsi="Times New Roman" w:eastAsia="宋体" w:cs="Times New Roman"/>
          <w:color w:val="FF0000"/>
          <w:sz w:val="24"/>
        </w:rPr>
        <w:t>t</w:t>
      </w:r>
      <w:r>
        <w:rPr>
          <w:rFonts w:ascii="Times New Roman" w:hAnsi="Times New Roman" w:eastAsia="宋体" w:cs="Times New Roman"/>
          <w:color w:val="FF0000"/>
          <w:sz w:val="24"/>
        </w:rPr>
        <w:t>he plant is completely healthy, with robust roots and stems, and lush foliage.</w:t>
      </w:r>
    </w:p>
    <w:p w14:paraId="7C0BF31A">
      <w:pPr>
        <w:spacing w:line="360" w:lineRule="auto"/>
        <w:rPr>
          <w:rFonts w:ascii="Times New Roman" w:hAnsi="Times New Roman" w:eastAsia="宋体" w:cs="Times New Roman"/>
          <w:color w:val="FF0000"/>
          <w:sz w:val="24"/>
        </w:rPr>
      </w:pPr>
      <m:oMathPara>
        <m:oMath>
          <m:r>
            <m:rPr>
              <m:sty m:val="p"/>
            </m:rPr>
            <w:rPr>
              <w:rFonts w:ascii="Cambria Math" w:hAnsi="Cambria Math" w:eastAsia="宋体" w:cs="Times New Roman"/>
              <w:color w:val="FF0000"/>
              <w:sz w:val="24"/>
            </w:rPr>
            <m:t>DSI</m:t>
          </m:r>
          <m:r>
            <m:rPr/>
            <w:rPr>
              <w:rFonts w:ascii="Cambria Math" w:hAnsi="Cambria Math" w:cs="Times New Roman"/>
              <w:color w:val="FF0000"/>
              <w:sz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color w:val="FF0000"/>
                  <w:sz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FF0000"/>
                  <w:sz w:val="24"/>
                </w:rPr>
                <m:t>Score × Number of samples</m:t>
              </m:r>
              <m:ctrlPr>
                <w:rPr>
                  <w:rFonts w:ascii="Cambria Math" w:hAnsi="Cambria Math" w:cs="Times New Roman"/>
                  <w:color w:val="FF0000"/>
                  <w:sz w:val="24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FF0000"/>
                  <w:sz w:val="24"/>
                </w:rPr>
                <m:t>Total number of samples × Max score</m:t>
              </m:r>
              <m:ctrlPr>
                <w:rPr>
                  <w:rFonts w:ascii="Cambria Math" w:hAnsi="Cambria Math" w:cs="Times New Roman"/>
                  <w:color w:val="FF0000"/>
                  <w:sz w:val="24"/>
                </w:rPr>
              </m:ctrlPr>
            </m:den>
          </m:f>
          <m:r>
            <m:rPr/>
            <w:rPr>
              <w:rFonts w:ascii="Cambria Math" w:hAnsi="Cambria Math" w:cs="Times New Roman"/>
              <w:color w:val="FF0000"/>
              <w:sz w:val="24"/>
            </w:rPr>
            <m:t>×100</m:t>
          </m:r>
        </m:oMath>
      </m:oMathPara>
    </w:p>
    <w:p w14:paraId="717A1FAF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35A2021E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3A45C61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0E9BFA8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C1B3165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68EF71CE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3E89CFA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D8136B9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3F92BEF8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0C27657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5E03B0A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88211E9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307AE674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4E9CB3A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36A8467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55DE8CE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D89B825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878BC4E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21A5590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DAE01F2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27215AA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6B16D216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A854434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3A16D42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95D2FE7">
      <w:pPr>
        <w:spacing w:before="156" w:beforeLines="50" w:after="156" w:afterLines="50" w:line="360" w:lineRule="auto"/>
        <w:jc w:val="center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Table S6. qRT-PCR Data and Relative Gene Expression Analysis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1173"/>
        <w:gridCol w:w="1237"/>
        <w:gridCol w:w="1120"/>
        <w:gridCol w:w="899"/>
        <w:gridCol w:w="864"/>
        <w:gridCol w:w="998"/>
      </w:tblGrid>
      <w:tr w14:paraId="60231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09B1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Gene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4627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Treatment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5743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Ct (Target)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B9C5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Ct (Actin)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018B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ΔCt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8553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ΔΔCt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204B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2^-ΔΔCt</w:t>
            </w:r>
          </w:p>
        </w:tc>
      </w:tr>
      <w:tr w14:paraId="73762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CA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SOD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EE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DDA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E5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26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2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4.6333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A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-3.7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6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12.96</w:t>
            </w:r>
          </w:p>
        </w:tc>
      </w:tr>
      <w:tr w14:paraId="680C0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350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579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D6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05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20.7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1DB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776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D96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A7D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C2D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CE7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65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6C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A99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F8C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3A6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612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A0B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03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6E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6A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E2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8.3333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AA7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000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46C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DF1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113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6E1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39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20.4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931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108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1DD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306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FBD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52C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2A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FC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20.4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2C6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A7D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372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217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62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APX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1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35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AD5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5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6.2667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7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C6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1.516</w:t>
            </w:r>
          </w:p>
        </w:tc>
      </w:tr>
      <w:tr w14:paraId="4196C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38D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4CB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9A1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C1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20.3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455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029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02E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F55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9EA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C0A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E3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B9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20.4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810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8CE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E30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1B7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FC8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8E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12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98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C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6.8667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2A2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573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969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B12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27E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41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F0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20.7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48C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4B2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513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074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EF1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241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BA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7C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51B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786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491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D4E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1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CAT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A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7A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F9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5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3.8000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03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-4.1667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12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17.84</w:t>
            </w:r>
          </w:p>
        </w:tc>
      </w:tr>
      <w:tr w14:paraId="22DE0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1CC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08D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B3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AC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EDF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3B6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331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C9B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BAE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9FE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64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87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4E5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5F9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5B1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C50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08A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5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05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50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6D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7.9667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7C1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D2F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842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1AA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0C0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8042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BC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20.4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490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FAA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A7E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1BC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27B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9FB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8A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AF5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20.3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5CE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EFF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EC6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94A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4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ACO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3A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4D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AB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6B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4.93333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59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-1.7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B8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3.249</w:t>
            </w:r>
          </w:p>
        </w:tc>
      </w:tr>
      <w:tr w14:paraId="46052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D55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302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BC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D1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20.2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2FF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B4B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5B2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DC7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7CA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D2F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61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C0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20.2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7DA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14E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E24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8A4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630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E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1C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A8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5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6.6333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BCC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430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8D3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9A7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D14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40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34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9D1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D32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D4A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56C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78B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518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1A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60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20.4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6E9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281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66E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D5A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A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EFE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4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F2C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F01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F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5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-2.9333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D3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7.64</w:t>
            </w:r>
          </w:p>
        </w:tc>
      </w:tr>
      <w:tr w14:paraId="01C24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FC9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948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C0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4B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20.7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BEE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F63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55F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6FB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BAF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7AD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060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ED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98C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FB7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8F1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BE0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A40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0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73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A8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D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8.1333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6ED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32C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49E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CDC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5B7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5C9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1D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20.8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A9E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6B6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EBF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994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B8A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7F3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13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51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20.7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21B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044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89E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232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50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PR2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1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EB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6C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2C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91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-3.0667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FA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8.29</w:t>
            </w:r>
          </w:p>
        </w:tc>
      </w:tr>
      <w:tr w14:paraId="59CDE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2F4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3CC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51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8B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20.7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52E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A16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E25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214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CF0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0F8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98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E0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9BB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EFD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E5F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726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62B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5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46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5E5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9E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7.8667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AA6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726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10E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0DE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DC3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32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48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20.7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C14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538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0F7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03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AE7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524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A1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B6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20.7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BDC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21E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629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913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C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PR3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9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1C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B5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16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4.7333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D4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-3.6667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2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12.67</w:t>
            </w:r>
          </w:p>
        </w:tc>
      </w:tr>
      <w:tr w14:paraId="5363F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722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594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EEC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C4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20.7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E63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6FE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B53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70B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A84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4B3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F50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C1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20.9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C88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1DC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5C2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A01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7BE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7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05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CDD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87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8.4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336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203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6DF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E1A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57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9E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E1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20.4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1D9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14A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B8E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207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0BF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31A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04B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05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20.4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52E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E00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19E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BCB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8AD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PDF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4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07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C2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4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548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-3.8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F0E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13.93</w:t>
            </w:r>
          </w:p>
        </w:tc>
      </w:tr>
      <w:tr w14:paraId="3C56E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2CD1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7FD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AB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B4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20.7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1F8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1E45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F168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A16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78C1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817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FF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2A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D6B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4393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4CA9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BA1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B654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AC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1E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DF6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73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9.4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A00A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9ECC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140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E3F9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C03E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EE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6B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20.5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DF6A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0778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AE1B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223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886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4FA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35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91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20.4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63A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1FD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A80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AC2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648C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BZIP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0A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DDA</w:t>
            </w:r>
          </w:p>
          <w:p w14:paraId="7E040D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CC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FCF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D64F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8.4667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747E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2.133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7517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0.23</w:t>
            </w:r>
          </w:p>
        </w:tc>
      </w:tr>
      <w:tr w14:paraId="53EE1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74B37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86FB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D36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1E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20.8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56E00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F03D7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293E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1EC66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78BA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2DD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1EC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E9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20.6</w:t>
            </w: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D11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06B5A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30F2D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684A4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0584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40F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1E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5A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80E5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6.3333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5D50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4346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63E03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9C475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078C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54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01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20.4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F6C79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EA75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E590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36E4A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0C9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9D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A7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F3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20.4</w:t>
            </w: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767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6A8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EE0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438A6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D7C8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ACS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E0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DDA</w:t>
            </w:r>
          </w:p>
          <w:p w14:paraId="3F980B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97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85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15BF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5.8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1CA6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-2.0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61AA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4.00</w:t>
            </w:r>
          </w:p>
        </w:tc>
      </w:tr>
      <w:tr w14:paraId="67568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8E7C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57B0D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A3C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4B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591DE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24FE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F4BB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271A1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03A3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5B5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C9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F43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20.6</w:t>
            </w: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24A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1628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064E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27922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4814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B4E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DE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F4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0831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7.8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E4EDB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4B6E9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52B80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4C3F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064A7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71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EFC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44B5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9168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14A18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559D8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DAE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8BE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28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02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20.6</w:t>
            </w: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9D6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358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274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11029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FE49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MATE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5C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DDA</w:t>
            </w:r>
          </w:p>
          <w:p w14:paraId="40952E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2C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91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4F97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5.1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3F66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-1.9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4382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3.73</w:t>
            </w:r>
          </w:p>
        </w:tc>
      </w:tr>
      <w:tr w14:paraId="4A3EE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5974C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DAA03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3E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99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20.7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C0894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A2DF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9F79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05C00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1BF7C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A39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DF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E1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4F2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AB49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1DFE0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68294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A774E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DFC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853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678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0246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7.0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D61AD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6C13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664C3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F8F4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7998D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A4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96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8492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1F178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0664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559A9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3A0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FEE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52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F5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20.4</w:t>
            </w: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E1A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E1F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2D9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5D66C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E320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UCP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63F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DDA</w:t>
            </w:r>
          </w:p>
          <w:p w14:paraId="560595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76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45F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B04C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9.8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FEFB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1.9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9407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0.27</w:t>
            </w:r>
          </w:p>
        </w:tc>
      </w:tr>
      <w:tr w14:paraId="4936A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352A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26A6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53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438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20.8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9F65B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F182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7626C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0A6DF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8D29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0B0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D3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7EB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20.7</w:t>
            </w:r>
          </w:p>
        </w:tc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E21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7C37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6ADCC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4E8EE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3DCC4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D0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0A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C6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8928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7.9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F082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E9DF8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7F66E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5927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76CCC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34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B9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20.6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48CA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FF65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B9452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05174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9E795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F35FF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bottom"/>
          </w:tcPr>
          <w:p w14:paraId="667855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bottom"/>
          </w:tcPr>
          <w:p w14:paraId="4A1AD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20.7</w:t>
            </w:r>
          </w:p>
        </w:tc>
        <w:tc>
          <w:tcPr>
            <w:tcW w:w="0" w:type="auto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E927D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11778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E85B0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</w:tbl>
    <w:p w14:paraId="0F212892">
      <w:pPr>
        <w:jc w:val="center"/>
        <w:rPr>
          <w:rFonts w:ascii="Times New Roman" w:hAnsi="Times New Roman" w:cs="Times New Roman"/>
          <w:color w:val="FF0000"/>
        </w:rPr>
      </w:pPr>
    </w:p>
    <w:p w14:paraId="0F55AB74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C4C2A3A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4FD85AD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C5E08E0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ABF791A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28C5DE1E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9482FE4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08CC3F5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3AE0C709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2B64EF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AC69AD3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E2AA447">
      <w:pPr>
        <w:spacing w:before="156" w:beforeLines="50" w:after="156" w:afterLines="50" w:line="360" w:lineRule="auto"/>
        <w:jc w:val="center"/>
        <w:rPr>
          <w:rFonts w:hint="default" w:ascii="Times New Roman" w:hAnsi="Times New Roman" w:eastAsia="宋体" w:cs="Times New Roman"/>
          <w:b w:val="0"/>
          <w:bCs w:val="0"/>
          <w:color w:val="FF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FF0000"/>
          <w:kern w:val="0"/>
          <w:sz w:val="21"/>
          <w:szCs w:val="21"/>
        </w:rPr>
        <w:t>Table S7. Top 20 differentially expressed proteins (DEPs) between CK and DDA treatments</w:t>
      </w:r>
    </w:p>
    <w:tbl>
      <w:tblPr>
        <w:tblStyle w:val="4"/>
        <w:tblW w:w="9070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1410"/>
        <w:gridCol w:w="2348"/>
        <w:gridCol w:w="997"/>
        <w:gridCol w:w="1223"/>
        <w:gridCol w:w="1042"/>
        <w:gridCol w:w="578"/>
      </w:tblGrid>
      <w:tr w14:paraId="6F673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single" w:color="000000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F0D8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Accession</w:t>
            </w:r>
          </w:p>
        </w:tc>
        <w:tc>
          <w:tcPr>
            <w:tcW w:w="1410" w:type="dxa"/>
            <w:tcBorders>
              <w:top w:val="single" w:color="000000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6B1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Symbol</w:t>
            </w:r>
          </w:p>
        </w:tc>
        <w:tc>
          <w:tcPr>
            <w:tcW w:w="2348" w:type="dxa"/>
            <w:tcBorders>
              <w:top w:val="single" w:color="000000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E1AF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Protein Name</w:t>
            </w:r>
          </w:p>
        </w:tc>
        <w:tc>
          <w:tcPr>
            <w:tcW w:w="997" w:type="dxa"/>
            <w:tcBorders>
              <w:top w:val="single" w:color="000000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4F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Log2FC</w:t>
            </w:r>
          </w:p>
        </w:tc>
        <w:tc>
          <w:tcPr>
            <w:tcW w:w="1223" w:type="dxa"/>
            <w:tcBorders>
              <w:top w:val="single" w:color="000000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46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P_value</w:t>
            </w:r>
          </w:p>
        </w:tc>
        <w:tc>
          <w:tcPr>
            <w:tcW w:w="1042" w:type="dxa"/>
            <w:tcBorders>
              <w:top w:val="single" w:color="000000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AC3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DDA</w:t>
            </w:r>
          </w:p>
        </w:tc>
        <w:tc>
          <w:tcPr>
            <w:tcW w:w="578" w:type="dxa"/>
            <w:tcBorders>
              <w:top w:val="single" w:color="000000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68C0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CK</w:t>
            </w:r>
          </w:p>
        </w:tc>
      </w:tr>
      <w:tr w14:paraId="1305F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786B6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A0A081B266</w:t>
            </w:r>
          </w:p>
        </w:tc>
        <w:tc>
          <w:tcPr>
            <w:tcW w:w="141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4482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F444_00974</w:t>
            </w:r>
          </w:p>
        </w:tc>
        <w:tc>
          <w:tcPr>
            <w:tcW w:w="2348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791F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BZIP domain-containing protein</w:t>
            </w:r>
          </w:p>
        </w:tc>
        <w:tc>
          <w:tcPr>
            <w:tcW w:w="997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59A3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2255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0.001492</w:t>
            </w:r>
          </w:p>
        </w:tc>
        <w:tc>
          <w:tcPr>
            <w:tcW w:w="1042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4E62D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742.303</w:t>
            </w:r>
          </w:p>
        </w:tc>
        <w:tc>
          <w:tcPr>
            <w:tcW w:w="578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2E9A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C212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D2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A0A081B4Z1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473E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F444_00228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756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PDZ domain-containing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478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09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0.01165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82F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419.4092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45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3258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E5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A0A081A0L6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64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F444_11434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8E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Bardet-Biedl syndrome 2 protein homolog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B97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387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1.649E-5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CC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173.9722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88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5E3F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75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A0A081ARV8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F1A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F444_04122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748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VPS9 domain-containing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46C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789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0.01107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7CD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135.4548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AD7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8A42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307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A0A080ZCN9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0E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F444_18069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08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MATE efflux family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04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428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0.03667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AE8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117.8499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159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A775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72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A0A081AER6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6F5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F444_07419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C67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Fcf2 pre-rRNA processing C-terminal domain-containing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70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E8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0.03548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743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104.8525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C8AC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E5F6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9F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A0A080ZG44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752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F444_17147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DFF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Polymerase nucleotidyl transferase domain-containing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657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806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0.03498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3A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103.5209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2CB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DDB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32A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A0A080ZFN4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08E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F444_17234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B5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Alpha-1,3-glucosyltransferase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685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9EB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0.004571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BC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100.3168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ABC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DF1F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9A1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W2QG53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85F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PPTG_09519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50C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ATP-citrate synthase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FC5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6C0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0.01329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939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98.2217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FDE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F58E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2CE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A0A080ZRH6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74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F444_14152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84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Uncharacterized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D93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550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0.01027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A05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95.8176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4FD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2679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C2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A0A081A7B1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83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F444_09572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83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BTB domain-containing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F04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32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0.0005438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93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84.1751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E5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52FD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94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A0A081AZK7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4136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F444_01779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DA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Peptidase M3A/M3B catalytic domain-containing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2C0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84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0.004132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9C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83.8993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A80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FABF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A5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W2FWV3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9F5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L915_18057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982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RRM domain-containing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74B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CF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0.04948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C7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69.031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84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D33F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FB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A0A081ANL9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BED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F444_05020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30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START domain-containing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B5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EEC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0.01207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B30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53.4251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43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F757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2B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A0A081AX33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80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F444_02536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D6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PPM-type phosphatase domain-containing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31E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713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0.01559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19D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52.4171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4C7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D040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9AA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V9FEV0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28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F443_06357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F3F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Aldehyde dehydrogenase domain-containing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5DB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1.929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CF9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0.003474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8A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41408.7096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5B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10874.1842</w:t>
            </w:r>
          </w:p>
        </w:tc>
      </w:tr>
      <w:tr w14:paraId="31681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3A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A0A081ABW3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9A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F444_08230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95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Uncharacterized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203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1.6819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5E1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0.01303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42A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155.1203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CD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48.3458</w:t>
            </w:r>
          </w:p>
        </w:tc>
      </w:tr>
      <w:tr w14:paraId="69018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605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A0A080ZVG8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89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F444_12901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4A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LicD family protein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15C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1.531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72E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0.007343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77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336.0919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D26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116.3037</w:t>
            </w:r>
          </w:p>
        </w:tc>
      </w:tr>
      <w:tr w14:paraId="5B183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77E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W2HHI3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A96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L915_02269</w:t>
            </w:r>
          </w:p>
        </w:tc>
        <w:tc>
          <w:tcPr>
            <w:tcW w:w="23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24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Rab proteins geranylgeranyltransferase component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42D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1.5217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65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0.006645</w:t>
            </w:r>
          </w:p>
        </w:tc>
        <w:tc>
          <w:tcPr>
            <w:tcW w:w="10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97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169.4693</w:t>
            </w:r>
          </w:p>
        </w:tc>
        <w:tc>
          <w:tcPr>
            <w:tcW w:w="5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AA8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59.0234</w:t>
            </w:r>
          </w:p>
        </w:tc>
      </w:tr>
      <w:tr w14:paraId="7F300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1472" w:type="dxa"/>
            <w:tcBorders>
              <w:top w:val="nil"/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166C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A0A080ZUN3</w:t>
            </w:r>
          </w:p>
        </w:tc>
        <w:tc>
          <w:tcPr>
            <w:tcW w:w="1410" w:type="dxa"/>
            <w:tcBorders>
              <w:top w:val="nil"/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18D45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F444_13178</w:t>
            </w:r>
          </w:p>
        </w:tc>
        <w:tc>
          <w:tcPr>
            <w:tcW w:w="2348" w:type="dxa"/>
            <w:tcBorders>
              <w:top w:val="nil"/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2794C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Uncharacterized protein</w:t>
            </w:r>
          </w:p>
        </w:tc>
        <w:tc>
          <w:tcPr>
            <w:tcW w:w="997" w:type="dxa"/>
            <w:tcBorders>
              <w:top w:val="nil"/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585E8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1.5179</w:t>
            </w:r>
          </w:p>
        </w:tc>
        <w:tc>
          <w:tcPr>
            <w:tcW w:w="1223" w:type="dxa"/>
            <w:tcBorders>
              <w:top w:val="nil"/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54C8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0.008162</w:t>
            </w:r>
          </w:p>
        </w:tc>
        <w:tc>
          <w:tcPr>
            <w:tcW w:w="1042" w:type="dxa"/>
            <w:tcBorders>
              <w:top w:val="nil"/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5695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201.622</w:t>
            </w:r>
          </w:p>
        </w:tc>
        <w:tc>
          <w:tcPr>
            <w:tcW w:w="578" w:type="dxa"/>
            <w:tcBorders>
              <w:top w:val="nil"/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48D7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70.4062</w:t>
            </w:r>
          </w:p>
        </w:tc>
      </w:tr>
    </w:tbl>
    <w:p w14:paraId="3C409786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553"/>
    <w:rsid w:val="000E061E"/>
    <w:rsid w:val="00886C31"/>
    <w:rsid w:val="009C0553"/>
    <w:rsid w:val="00A252BF"/>
    <w:rsid w:val="00A72BE3"/>
    <w:rsid w:val="00E93505"/>
    <w:rsid w:val="027B59CA"/>
    <w:rsid w:val="02CE19EB"/>
    <w:rsid w:val="05C634A7"/>
    <w:rsid w:val="08760957"/>
    <w:rsid w:val="096F494D"/>
    <w:rsid w:val="0BAD643E"/>
    <w:rsid w:val="0D841421"/>
    <w:rsid w:val="0E3E3CC5"/>
    <w:rsid w:val="1D344C11"/>
    <w:rsid w:val="1DFC3CBC"/>
    <w:rsid w:val="227930C6"/>
    <w:rsid w:val="28062810"/>
    <w:rsid w:val="28A96F83"/>
    <w:rsid w:val="317A3D42"/>
    <w:rsid w:val="325E1995"/>
    <w:rsid w:val="33F96616"/>
    <w:rsid w:val="3698619F"/>
    <w:rsid w:val="38E56968"/>
    <w:rsid w:val="43183078"/>
    <w:rsid w:val="48433626"/>
    <w:rsid w:val="4A253068"/>
    <w:rsid w:val="58615BB3"/>
    <w:rsid w:val="5AAB6919"/>
    <w:rsid w:val="60130BFB"/>
    <w:rsid w:val="61611BC0"/>
    <w:rsid w:val="63694A27"/>
    <w:rsid w:val="74A32FEF"/>
    <w:rsid w:val="763B59D2"/>
    <w:rsid w:val="7BBC2BD5"/>
    <w:rsid w:val="7D7358BD"/>
    <w:rsid w:val="7E28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815</Words>
  <Characters>5516</Characters>
  <Lines>44</Lines>
  <Paragraphs>12</Paragraphs>
  <TotalTime>41</TotalTime>
  <ScaleCrop>false</ScaleCrop>
  <LinksUpToDate>false</LinksUpToDate>
  <CharactersWithSpaces>5958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2025-06-04T04:42:00Z</dcterms:created>
  <dc:creator>Administrator</dc:creator>
  <cp:lastModifiedBy>杨亚会</cp:lastModifiedBy>
  <dcterms:modified xsi:type="dcterms:W3CDTF">2025-11-19T13:24:39Z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eyJoZGlkIjoiZDZhY2FiZTQ5ZmVjMWEzYWE0NWU3N2NhMzM4N2Y1YzYiLCJ1c2VySWQiOiIyNzAxMTMyNzQifQ==</vt:lpwstr>
  </property>
  <property fmtid="{D5CDD505-2E9C-101B-9397-08002B2CF9AE}" pid="4" name="ICV">
    <vt:lpwstr>DEE415284BB74118B04CFE6951C68A2C_12</vt:lpwstr>
  </property>
</Properties>
</file>