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545BC">
      <w:pPr>
        <w:pStyle w:val="7"/>
        <w:spacing w:line="480" w:lineRule="auto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 xml:space="preserve">Supporting Information </w:t>
      </w:r>
    </w:p>
    <w:p w14:paraId="0D9362B6">
      <w:pPr>
        <w:spacing w:line="480" w:lineRule="auto"/>
        <w:rPr>
          <w:rFonts w:hint="eastAsia" w:ascii="Times New Roman" w:hAnsi="Times New Roman" w:eastAsia="MS Mincho" w:cs="Times New Roman"/>
          <w:b/>
          <w:sz w:val="28"/>
          <w:szCs w:val="28"/>
          <w:lang w:val="en-US" w:eastAsia="ja-JP"/>
        </w:rPr>
      </w:pPr>
      <w:r>
        <w:rPr>
          <w:rFonts w:hint="eastAsia" w:ascii="Times New Roman" w:hAnsi="Times New Roman" w:eastAsia="MS Mincho" w:cs="Times New Roman"/>
          <w:b/>
          <w:sz w:val="28"/>
          <w:szCs w:val="28"/>
          <w:lang w:val="en-US" w:eastAsia="ja-JP"/>
        </w:rPr>
        <w:t xml:space="preserve">Targeted inhibition of </w:t>
      </w:r>
      <w:r>
        <w:rPr>
          <w:rFonts w:hint="eastAsia" w:ascii="Times New Roman" w:hAnsi="Times New Roman" w:eastAsia="MS Mincho" w:cs="Times New Roman"/>
          <w:b/>
          <w:i/>
          <w:iCs/>
          <w:sz w:val="28"/>
          <w:szCs w:val="28"/>
          <w:lang w:val="en-US" w:eastAsia="ja-JP"/>
        </w:rPr>
        <w:t>P. gingivalis</w:t>
      </w:r>
      <w:r>
        <w:rPr>
          <w:rFonts w:hint="eastAsia" w:ascii="Times New Roman" w:hAnsi="Times New Roman" w:eastAsia="MS Mincho" w:cs="Times New Roman"/>
          <w:b/>
          <w:sz w:val="28"/>
          <w:szCs w:val="28"/>
          <w:lang w:val="en-US" w:eastAsia="ja-JP"/>
        </w:rPr>
        <w:t xml:space="preserve"> OMV-derived tsRNA by tetrahedral framework nucleic acids for periodontal regeneration</w:t>
      </w:r>
    </w:p>
    <w:p w14:paraId="646A2891">
      <w:pPr>
        <w:spacing w:line="480" w:lineRule="auto"/>
        <w:rPr>
          <w:rFonts w:ascii="Times New Roman" w:hAnsi="Times New Roman" w:eastAsia="MS Mincho" w:cs="Times New Roman"/>
          <w:iCs/>
          <w:sz w:val="24"/>
          <w:szCs w:val="24"/>
          <w:lang w:val="en-US" w:eastAsia="ja-JP"/>
        </w:rPr>
      </w:pP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Yumeng Cao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,2,#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Xuan Li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,2,#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Lin Jing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,2,#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Fang Li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Yuzhe Chen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Daokun Deng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Wenjie Zhang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Fen Liu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Yunfeng Lin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4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, Beimin Tian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,2,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*</w:t>
      </w:r>
      <w:r>
        <w:rPr>
          <w:rFonts w:hint="eastAsia" w:ascii="Times New Roman" w:hAnsi="Times New Roman" w:eastAsia="宋体" w:cs="Times New Roman"/>
          <w:iCs/>
          <w:sz w:val="24"/>
          <w:szCs w:val="24"/>
          <w:lang w:val="en-US"/>
        </w:rPr>
        <w:t>,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 xml:space="preserve"> Mi Zhou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4,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*</w:t>
      </w:r>
      <w:r>
        <w:rPr>
          <w:rFonts w:hint="eastAsia" w:ascii="Times New Roman" w:hAnsi="Times New Roman" w:eastAsia="宋体" w:cs="Times New Roman"/>
          <w:iCs/>
          <w:sz w:val="24"/>
          <w:szCs w:val="24"/>
          <w:lang w:val="en-US"/>
        </w:rPr>
        <w:t>,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 xml:space="preserve"> and Xiao</w:t>
      </w:r>
      <w:r>
        <w:rPr>
          <w:rFonts w:hint="eastAsia" w:ascii="Times New Roman" w:hAnsi="Times New Roman" w:eastAsia="等线" w:cs="Times New Roman"/>
          <w:iCs/>
          <w:sz w:val="24"/>
          <w:szCs w:val="24"/>
          <w:lang w:val="en-US"/>
        </w:rPr>
        <w:t>t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ao He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1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 w:eastAsia="zh-CN"/>
        </w:rPr>
        <w:t>,2,</w:t>
      </w:r>
      <w:r>
        <w:rPr>
          <w:rFonts w:hint="eastAsia" w:ascii="Times New Roman" w:hAnsi="Times New Roman" w:eastAsia="宋体" w:cs="Times New Roman"/>
          <w:iCs/>
          <w:sz w:val="24"/>
          <w:szCs w:val="24"/>
          <w:vertAlign w:val="superscript"/>
          <w:lang w:val="en-US"/>
        </w:rPr>
        <w:t>*</w:t>
      </w:r>
      <w:r>
        <w:rPr>
          <w:rFonts w:ascii="Times New Roman" w:hAnsi="Times New Roman" w:eastAsia="MS Mincho" w:cs="Times New Roman"/>
          <w:iCs/>
          <w:sz w:val="24"/>
          <w:szCs w:val="24"/>
          <w:lang w:val="en-US" w:eastAsia="ja-JP"/>
        </w:rPr>
        <w:t xml:space="preserve"> </w:t>
      </w:r>
    </w:p>
    <w:p w14:paraId="57A3420E">
      <w:pPr>
        <w:spacing w:line="480" w:lineRule="auto"/>
        <w:rPr>
          <w:rFonts w:ascii="Times New Roman" w:hAnsi="Times New Roman" w:eastAsia="Times New Roman"/>
          <w:color w:val="000000"/>
          <w:sz w:val="24"/>
        </w:rPr>
      </w:pPr>
      <w:bookmarkStart w:id="0" w:name="OLE_LINK106"/>
      <w:r>
        <w:rPr>
          <w:rFonts w:hint="eastAsia" w:ascii="Times New Roman" w:hAnsi="Times New Roman" w:eastAsia="宋体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State Key Laboratory of Oral &amp; Maxillofacial Reconstruction and Regeneration, National Clinical Research Center for Oral Diseases, Shaanxi International Joint Research Center for Oral Diseases, Department of Periodontology,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School of Stomatology,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The Fourth Military Medical University, Xi’an, Shaanxi, China</w:t>
      </w:r>
    </w:p>
    <w:p w14:paraId="2D29E4D6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hint="eastAsia" w:ascii="Times New Roman" w:hAnsi="Times New Roman"/>
          <w:sz w:val="24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sz w:val="24"/>
          <w:szCs w:val="24"/>
        </w:rPr>
        <w:t>Military Medical Innovation Center, Fourth Military Medical University, Xi'an, Shaanxi, China</w:t>
      </w:r>
    </w:p>
    <w:p w14:paraId="3B3C9FBD">
      <w:pPr>
        <w:spacing w:line="480" w:lineRule="auto"/>
        <w:rPr>
          <w:rFonts w:ascii="Times New Roman" w:hAnsi="Times New Roman" w:cs="Times New Roman"/>
          <w:iCs/>
          <w:sz w:val="24"/>
          <w:szCs w:val="28"/>
        </w:rPr>
      </w:pPr>
      <w:r>
        <w:rPr>
          <w:rFonts w:hint="eastAsia" w:ascii="Times New Roman" w:hAnsi="Times New Roman"/>
          <w:sz w:val="24"/>
          <w:szCs w:val="24"/>
          <w:vertAlign w:val="superscript"/>
          <w:lang w:val="en-US" w:eastAsia="zh-CN"/>
        </w:rPr>
        <w:t>3</w:t>
      </w:r>
      <w:r>
        <w:rPr>
          <w:rFonts w:ascii="Times New Roman" w:hAnsi="Times New Roman" w:cs="Times New Roman"/>
          <w:iCs/>
          <w:sz w:val="24"/>
          <w:szCs w:val="28"/>
        </w:rPr>
        <w:t>Key Laboratory of Shaanxi Province for Craniofacial Precision Medicine Research, Laboratory Center of Stomatology, Department of Paediatric Dentistry, College of Stomatology, Xi’an Jiaotong University, Xi’an, China</w:t>
      </w:r>
    </w:p>
    <w:p w14:paraId="783D2E54">
      <w:pPr>
        <w:spacing w:line="480" w:lineRule="auto"/>
        <w:rPr>
          <w:rFonts w:ascii="Times New Roman" w:hAnsi="Times New Roman" w:eastAsia="MS Mincho" w:cs="Times New Roman"/>
          <w:iCs/>
          <w:sz w:val="24"/>
          <w:szCs w:val="24"/>
          <w:lang w:val="en-US" w:eastAsia="ja-JP"/>
        </w:rPr>
      </w:pPr>
      <w:r>
        <w:rPr>
          <w:rFonts w:hint="eastAsia" w:ascii="Times New Roman" w:hAnsi="Times New Roman"/>
          <w:sz w:val="24"/>
          <w:szCs w:val="24"/>
          <w:vertAlign w:val="superscript"/>
          <w:lang w:val="en-US" w:eastAsia="zh-CN"/>
        </w:rPr>
        <w:t>4</w:t>
      </w:r>
      <w:r>
        <w:rPr>
          <w:rFonts w:ascii="Times New Roman" w:hAnsi="Times New Roman"/>
          <w:sz w:val="24"/>
          <w:szCs w:val="24"/>
        </w:rPr>
        <w:t>State Key Laboratory of Oral Diseases, National Center for Stomatology, National Clinical Research Center for Oral Diseases, West China Hospital of Stomatology, Sichuan University, Chengdu, Sichuan, China</w:t>
      </w:r>
    </w:p>
    <w:p w14:paraId="47232485">
      <w:pPr>
        <w:spacing w:line="480" w:lineRule="auto"/>
        <w:rPr>
          <w:rFonts w:hint="eastAsia" w:ascii="Times New Roman" w:hAnsi="Times New Roman" w:cs="Times New Roman"/>
          <w:iCs/>
          <w:sz w:val="24"/>
          <w:szCs w:val="28"/>
          <w:lang w:val="en-US" w:eastAsia="ja-JP"/>
        </w:rPr>
      </w:pPr>
      <w:r>
        <w:rPr>
          <w:rFonts w:hint="eastAsia" w:ascii="Times New Roman" w:hAnsi="Times New Roman" w:cs="Times New Roman"/>
          <w:iCs/>
          <w:sz w:val="24"/>
          <w:szCs w:val="28"/>
          <w:vertAlign w:val="superscript"/>
          <w:lang w:val="en-US" w:eastAsia="zh-CN"/>
        </w:rPr>
        <w:t>#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Yumeng Cao, Xuan Li,</w:t>
      </w:r>
      <w:r>
        <w:rPr>
          <w:rFonts w:hint="eastAsia" w:ascii="Times New Roman" w:hAnsi="Times New Roman" w:eastAsia="宋体" w:cs="Times New Roman"/>
          <w:iCs/>
          <w:sz w:val="24"/>
          <w:szCs w:val="24"/>
          <w:lang w:val="en-US" w:eastAsia="zh-CN"/>
        </w:rPr>
        <w:t xml:space="preserve"> and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 xml:space="preserve"> Lin Jing</w:t>
      </w:r>
      <w:r>
        <w:rPr>
          <w:rFonts w:hint="eastAsia" w:ascii="Times New Roman" w:hAnsi="Times New Roman" w:cs="Times New Roman"/>
          <w:iCs/>
          <w:sz w:val="24"/>
          <w:szCs w:val="28"/>
        </w:rPr>
        <w:t>contributed equally to this work.</w:t>
      </w:r>
    </w:p>
    <w:p w14:paraId="32FB64F1">
      <w:pPr>
        <w:spacing w:line="480" w:lineRule="auto"/>
        <w:rPr>
          <w:rFonts w:hint="default" w:ascii="Times New Roman" w:hAnsi="Times New Roman" w:cs="Times New Roman" w:eastAsiaTheme="minorEastAsia"/>
          <w:iCs/>
          <w:sz w:val="24"/>
          <w:szCs w:val="28"/>
          <w:lang w:val="en-US" w:eastAsia="zh-CN"/>
        </w:rPr>
      </w:pPr>
      <w:r>
        <w:rPr>
          <w:rFonts w:hint="eastAsia" w:ascii="Times New Roman" w:hAnsi="Times New Roman" w:cs="Times New Roman"/>
          <w:iCs/>
          <w:sz w:val="24"/>
          <w:szCs w:val="28"/>
          <w:vertAlign w:val="superscript"/>
          <w:lang w:val="en-US"/>
        </w:rPr>
        <w:t>*</w:t>
      </w:r>
      <w:r>
        <w:rPr>
          <w:rFonts w:hint="eastAsia" w:ascii="Times New Roman" w:hAnsi="Times New Roman" w:cs="Times New Roman"/>
          <w:iCs/>
          <w:sz w:val="24"/>
          <w:szCs w:val="28"/>
        </w:rPr>
        <w:t>Corresponding autho</w:t>
      </w:r>
      <w:r>
        <w:rPr>
          <w:rFonts w:hint="eastAsia" w:ascii="Times New Roman" w:hAnsi="Times New Roman" w:cs="Times New Roman"/>
          <w:iCs/>
          <w:sz w:val="24"/>
          <w:szCs w:val="28"/>
          <w:lang w:val="en-US" w:eastAsia="zh-CN"/>
        </w:rPr>
        <w:t>r:</w:t>
      </w:r>
    </w:p>
    <w:p w14:paraId="5E273B55">
      <w:pPr>
        <w:spacing w:line="480" w:lineRule="auto"/>
        <w:rPr>
          <w:rFonts w:ascii="Times New Roman" w:hAnsi="Times New Roman" w:cs="Times New Roman"/>
          <w:iCs/>
          <w:sz w:val="24"/>
          <w:szCs w:val="28"/>
        </w:rPr>
      </w:pP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Beimin Tian</w:t>
      </w:r>
      <w:r>
        <w:rPr>
          <w:rFonts w:hint="eastAsia" w:ascii="Times New Roman" w:hAnsi="Times New Roman" w:eastAsia="宋体" w:cs="Times New Roman"/>
          <w:iCs/>
          <w:sz w:val="24"/>
          <w:szCs w:val="24"/>
          <w:lang w:val="en-US" w:eastAsia="zh-CN"/>
        </w:rPr>
        <w:t xml:space="preserve"> </w:t>
      </w:r>
      <w:r>
        <w:fldChar w:fldCharType="begin"/>
      </w:r>
      <w:r>
        <w:instrText xml:space="preserve"> HYPERLINK "mailto:beimin24@163.com" </w:instrText>
      </w:r>
      <w:r>
        <w:fldChar w:fldCharType="separate"/>
      </w:r>
      <w:r>
        <w:rPr>
          <w:rStyle w:val="6"/>
          <w:rFonts w:hint="eastAsia" w:ascii="Times New Roman" w:hAnsi="Times New Roman" w:cs="Times New Roman"/>
          <w:iCs/>
          <w:sz w:val="24"/>
        </w:rPr>
        <w:t>beimin24@163.com</w:t>
      </w:r>
      <w:r>
        <w:rPr>
          <w:rStyle w:val="6"/>
          <w:rFonts w:hint="eastAsia" w:ascii="Times New Roman" w:hAnsi="Times New Roman" w:cs="Times New Roman"/>
          <w:iCs/>
          <w:sz w:val="24"/>
        </w:rPr>
        <w:fldChar w:fldCharType="end"/>
      </w:r>
    </w:p>
    <w:p w14:paraId="221C1E99">
      <w:pPr>
        <w:spacing w:line="480" w:lineRule="auto"/>
        <w:rPr>
          <w:rFonts w:ascii="Times New Roman" w:hAnsi="Times New Roman" w:cs="Times New Roman"/>
          <w:iCs/>
          <w:sz w:val="24"/>
          <w:szCs w:val="28"/>
          <w:lang w:val="en-US"/>
        </w:rPr>
      </w:pP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Mi Zhou</w:t>
      </w:r>
      <w:r>
        <w:rPr>
          <w:rFonts w:hint="eastAsia" w:ascii="Times New Roman" w:hAnsi="Times New Roman" w:eastAsia="宋体" w:cs="Times New Roman"/>
          <w:iCs/>
          <w:sz w:val="24"/>
          <w:szCs w:val="24"/>
          <w:lang w:val="en-US" w:eastAsia="zh-CN"/>
        </w:rPr>
        <w:t xml:space="preserve"> </w:t>
      </w:r>
      <w:r>
        <w:fldChar w:fldCharType="begin"/>
      </w:r>
      <w:r>
        <w:instrText xml:space="preserve"> HYPERLINK "mailto:zhoumi731@scu.edu.cn" </w:instrText>
      </w:r>
      <w:r>
        <w:fldChar w:fldCharType="separate"/>
      </w:r>
      <w:r>
        <w:rPr>
          <w:rStyle w:val="6"/>
          <w:rFonts w:hint="eastAsia" w:ascii="Times New Roman" w:hAnsi="Times New Roman" w:cs="Times New Roman"/>
          <w:iCs/>
          <w:sz w:val="24"/>
          <w:lang w:val="en-US"/>
        </w:rPr>
        <w:t>zhoumi731@scu.edu.cn</w:t>
      </w:r>
      <w:r>
        <w:rPr>
          <w:rStyle w:val="6"/>
          <w:rFonts w:hint="eastAsia" w:ascii="Times New Roman" w:hAnsi="Times New Roman" w:cs="Times New Roman"/>
          <w:iCs/>
          <w:sz w:val="24"/>
          <w:lang w:val="en-US"/>
        </w:rPr>
        <w:fldChar w:fldCharType="end"/>
      </w:r>
    </w:p>
    <w:p w14:paraId="3AF90D77">
      <w:pPr>
        <w:spacing w:line="480" w:lineRule="auto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Xiao</w:t>
      </w:r>
      <w:r>
        <w:rPr>
          <w:rFonts w:hint="eastAsia" w:ascii="Times New Roman" w:hAnsi="Times New Roman" w:eastAsia="等线" w:cs="Times New Roman"/>
          <w:iCs/>
          <w:sz w:val="24"/>
          <w:szCs w:val="24"/>
          <w:lang w:val="en-US"/>
        </w:rPr>
        <w:t>t</w:t>
      </w:r>
      <w:r>
        <w:rPr>
          <w:rFonts w:hint="eastAsia" w:ascii="Times New Roman" w:hAnsi="Times New Roman" w:eastAsia="MS Mincho" w:cs="Times New Roman"/>
          <w:iCs/>
          <w:sz w:val="24"/>
          <w:szCs w:val="24"/>
          <w:lang w:val="en-US" w:eastAsia="ja-JP"/>
        </w:rPr>
        <w:t>ao He</w:t>
      </w:r>
      <w:r>
        <w:rPr>
          <w:rFonts w:hint="eastAsia" w:ascii="Times New Roman" w:hAnsi="Times New Roman" w:eastAsia="宋体" w:cs="Times New Roman"/>
          <w:iCs/>
          <w:sz w:val="24"/>
          <w:szCs w:val="24"/>
          <w:lang w:val="en-US" w:eastAsia="zh-CN"/>
        </w:rPr>
        <w:t xml:space="preserve"> </w:t>
      </w:r>
      <w:bookmarkStart w:id="4" w:name="_GoBack"/>
      <w:bookmarkEnd w:id="4"/>
      <w:r>
        <w:rPr>
          <w:rStyle w:val="6"/>
          <w:rFonts w:hint="eastAsia" w:ascii="Times New Roman" w:hAnsi="Times New Roman" w:cs="Times New Roman"/>
          <w:iCs/>
          <w:sz w:val="24"/>
        </w:rPr>
        <w:t>xiaotaohe@fmmu.edu.cn</w:t>
      </w:r>
    </w:p>
    <w:p w14:paraId="7B8D5BF2">
      <w:pPr>
        <w:widowControl/>
        <w:spacing w:line="480" w:lineRule="auto"/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zh-CN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>1.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 xml:space="preserve"> Primer Pairs used for qRT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>PCR</w:t>
      </w:r>
    </w:p>
    <w:tbl>
      <w:tblPr>
        <w:tblStyle w:val="4"/>
        <w:tblW w:w="5000" w:type="pct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4050"/>
        <w:gridCol w:w="4091"/>
      </w:tblGrid>
      <w:tr w14:paraId="7C99D56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07941D3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Gene</w:t>
            </w:r>
          </w:p>
        </w:tc>
        <w:tc>
          <w:tcPr>
            <w:tcW w:w="0" w:type="auto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26C3F32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Forward primer sequence (5′-3′)</w:t>
            </w:r>
          </w:p>
        </w:tc>
        <w:tc>
          <w:tcPr>
            <w:tcW w:w="0" w:type="auto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1497974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Reverse primer sequence (3′-5′)</w:t>
            </w:r>
          </w:p>
        </w:tc>
      </w:tr>
      <w:tr w14:paraId="6AED333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5346C27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GAPDH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5CA06BB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GGTGAAGGTCGGAGTCAACGGA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1150FC5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GAGGGATCTCGCTCCTGGAAGA</w:t>
            </w:r>
          </w:p>
        </w:tc>
      </w:tr>
      <w:tr w14:paraId="56AB97E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8D2221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ALP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071A77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AAGGAAGATGCCGACGGTAA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331558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GGGGTCTTTCTCTTTCTCTGG</w:t>
            </w:r>
          </w:p>
        </w:tc>
      </w:tr>
      <w:tr w14:paraId="026FD5F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FEE592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RunX2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5DFBCE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TGGTTACTGTCATGGCGGGTA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35FEF6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TCTCAGATCGTTGAACCTTGCTA</w:t>
            </w:r>
          </w:p>
        </w:tc>
      </w:tr>
      <w:tr w14:paraId="4C9746C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7709AF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COL1A1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5F5794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CCCAGCCACAAAGAGTCTACAT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53991B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GATTGGTGGGATGTCTTCGTCTT</w:t>
            </w:r>
          </w:p>
        </w:tc>
      </w:tr>
      <w:tr w14:paraId="6D9677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2826C4C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OCN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081880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CCCAGGCGCTACCTGTATCAA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44D893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GGTCAGCCAACTCGTCACAGTC</w:t>
            </w:r>
          </w:p>
        </w:tc>
      </w:tr>
      <w:tr w14:paraId="16F91C7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0808A6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EMB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E49C79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ATGGGGAATCTTACTGGTGCC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F7BAF19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CCCCTCATCTGAGTGCTTCTTT</w:t>
            </w:r>
          </w:p>
        </w:tc>
      </w:tr>
      <w:tr w14:paraId="6082B04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DC6A90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PTEN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9500FB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TGGATTCGACTTAGACTTGACCT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F76ED8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GGTGGGTTATGGTCTTCAAAAGG</w:t>
            </w:r>
          </w:p>
        </w:tc>
      </w:tr>
      <w:tr w14:paraId="2B20B3C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0B26187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FBXW7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6542C9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GGCCAAAATGATTCCCAGCAA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63E9D2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ACTGGAGTTCGTGACACTGTTA</w:t>
            </w:r>
          </w:p>
        </w:tc>
      </w:tr>
      <w:tr w14:paraId="20A2DA6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09D600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PIK3CA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07A207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CCACGACCATCATCAGGTGAA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83B93D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CCTCACGGAGGCATTCTAAAGT</w:t>
            </w:r>
          </w:p>
        </w:tc>
      </w:tr>
      <w:tr w14:paraId="0C8B91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2A13F5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COL1A1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F06CC1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CCCAGCCACAAAGAGTCTACAT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2D12529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GATTGGTGGGATGTCTTCGTCTT</w:t>
            </w:r>
          </w:p>
        </w:tc>
      </w:tr>
      <w:tr w14:paraId="283C45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160766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RET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CAA73F4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AAAGTGGCATTGGGCCTCTAC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22F3620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GCAGGGCATGGACGTACAG</w:t>
            </w:r>
          </w:p>
        </w:tc>
      </w:tr>
      <w:tr w14:paraId="30C14C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B3CDAAC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FGFR2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89DB79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AGCACCATACTGGACCAACAC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59859F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GGCAGCGAAACTTGACAGTG</w:t>
            </w:r>
          </w:p>
        </w:tc>
      </w:tr>
      <w:tr w14:paraId="534F223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29056D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SEMA6A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66012B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AATCAGTATTTCGCATGGCAACT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EBB523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GCAATGTAGAGGGTTCCGTTCA</w:t>
            </w:r>
          </w:p>
        </w:tc>
      </w:tr>
    </w:tbl>
    <w:p w14:paraId="6BB1C94E">
      <w:pPr>
        <w:widowControl/>
        <w:spacing w:line="480" w:lineRule="auto"/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zh-CN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 xml:space="preserve">2. 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>Information on the Top 7 Candidate tsRNAs Identified in this Study</w:t>
      </w:r>
    </w:p>
    <w:tbl>
      <w:tblPr>
        <w:tblStyle w:val="8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5240"/>
        <w:gridCol w:w="1047"/>
        <w:gridCol w:w="927"/>
      </w:tblGrid>
      <w:tr w14:paraId="4ECF519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1E84A58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ID</w:t>
            </w:r>
          </w:p>
        </w:tc>
        <w:tc>
          <w:tcPr>
            <w:tcW w:w="5240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61CE1C8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Sequence</w:t>
            </w:r>
          </w:p>
        </w:tc>
        <w:tc>
          <w:tcPr>
            <w:tcW w:w="1047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3B2A537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Subtype</w:t>
            </w:r>
          </w:p>
        </w:tc>
        <w:tc>
          <w:tcPr>
            <w:tcW w:w="927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61D1F5C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Length</w:t>
            </w:r>
          </w:p>
        </w:tc>
      </w:tr>
      <w:tr w14:paraId="313559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top w:val="single" w:color="auto" w:sz="6" w:space="0"/>
            </w:tcBorders>
            <w:vAlign w:val="center"/>
          </w:tcPr>
          <w:p w14:paraId="027A472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tiRNA-Asn-GTT-2</w:t>
            </w:r>
          </w:p>
        </w:tc>
        <w:tc>
          <w:tcPr>
            <w:tcW w:w="5240" w:type="dxa"/>
            <w:tcBorders>
              <w:top w:val="single" w:color="auto" w:sz="6" w:space="0"/>
            </w:tcBorders>
            <w:vAlign w:val="center"/>
          </w:tcPr>
          <w:p w14:paraId="28088494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GCTTTCTTAGCTCAGTCGGTTAGAGCATCTGACTG</w:t>
            </w:r>
          </w:p>
        </w:tc>
        <w:tc>
          <w:tcPr>
            <w:tcW w:w="1047" w:type="dxa"/>
            <w:tcBorders>
              <w:top w:val="single" w:color="auto" w:sz="6" w:space="0"/>
            </w:tcBorders>
            <w:vAlign w:val="center"/>
          </w:tcPr>
          <w:p w14:paraId="69D2DA5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tiRNA-5</w:t>
            </w:r>
          </w:p>
        </w:tc>
        <w:tc>
          <w:tcPr>
            <w:tcW w:w="927" w:type="dxa"/>
            <w:tcBorders>
              <w:top w:val="single" w:color="auto" w:sz="6" w:space="0"/>
            </w:tcBorders>
            <w:vAlign w:val="center"/>
          </w:tcPr>
          <w:p w14:paraId="590F0B67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35</w:t>
            </w:r>
          </w:p>
        </w:tc>
      </w:tr>
      <w:tr w14:paraId="2F162BA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tl2br w:val="nil"/>
              <w:tr2bl w:val="nil"/>
            </w:tcBorders>
            <w:vAlign w:val="center"/>
          </w:tcPr>
          <w:p w14:paraId="66B4200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tiRNA-Pro-CGG-1</w:t>
            </w:r>
          </w:p>
        </w:tc>
        <w:tc>
          <w:tcPr>
            <w:tcW w:w="5240" w:type="dxa"/>
            <w:tcBorders>
              <w:tl2br w:val="nil"/>
              <w:tr2bl w:val="nil"/>
            </w:tcBorders>
            <w:vAlign w:val="center"/>
          </w:tcPr>
          <w:p w14:paraId="273DBBA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CGGGATGTAGCACAGTTGGTAGCGCGCCACGTTC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vAlign w:val="center"/>
          </w:tcPr>
          <w:p w14:paraId="0654F354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tiRNA-5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407821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34</w:t>
            </w:r>
          </w:p>
        </w:tc>
      </w:tr>
      <w:tr w14:paraId="46EC6E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tl2br w:val="nil"/>
              <w:tr2bl w:val="nil"/>
            </w:tcBorders>
            <w:vAlign w:val="center"/>
          </w:tcPr>
          <w:p w14:paraId="00969A1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tRF-fMet-CAT-2</w:t>
            </w:r>
          </w:p>
        </w:tc>
        <w:tc>
          <w:tcPr>
            <w:tcW w:w="5240" w:type="dxa"/>
            <w:tcBorders>
              <w:tl2br w:val="nil"/>
              <w:tr2bl w:val="nil"/>
            </w:tcBorders>
            <w:vAlign w:val="center"/>
          </w:tcPr>
          <w:p w14:paraId="2CA1283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CGCGGAGTGGAGCAGTGGTAGCTCGTTGGGC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vAlign w:val="center"/>
          </w:tcPr>
          <w:p w14:paraId="3D9075A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tRF-5c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9FDC14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31</w:t>
            </w:r>
          </w:p>
        </w:tc>
      </w:tr>
      <w:tr w14:paraId="70CA25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tl2br w:val="nil"/>
              <w:tr2bl w:val="nil"/>
            </w:tcBorders>
            <w:vAlign w:val="center"/>
          </w:tcPr>
          <w:p w14:paraId="7757F6B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tRF-Gly-GCC-1-M3</w:t>
            </w:r>
          </w:p>
        </w:tc>
        <w:tc>
          <w:tcPr>
            <w:tcW w:w="5240" w:type="dxa"/>
            <w:tcBorders>
              <w:tl2br w:val="nil"/>
              <w:tr2bl w:val="nil"/>
            </w:tcBorders>
            <w:vAlign w:val="center"/>
          </w:tcPr>
          <w:p w14:paraId="049FEE79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GCGGAAGTAGCTCAG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vAlign w:val="center"/>
          </w:tcPr>
          <w:p w14:paraId="068C4957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tRF-5a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EE6369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15</w:t>
            </w:r>
          </w:p>
        </w:tc>
      </w:tr>
      <w:tr w14:paraId="7782B4B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tl2br w:val="nil"/>
              <w:tr2bl w:val="nil"/>
            </w:tcBorders>
            <w:vAlign w:val="center"/>
          </w:tcPr>
          <w:p w14:paraId="15FDA71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tiRNA-Asn-GTT-1</w:t>
            </w:r>
          </w:p>
        </w:tc>
        <w:tc>
          <w:tcPr>
            <w:tcW w:w="5240" w:type="dxa"/>
            <w:tcBorders>
              <w:tl2br w:val="nil"/>
              <w:tr2bl w:val="nil"/>
            </w:tcBorders>
            <w:vAlign w:val="center"/>
          </w:tcPr>
          <w:p w14:paraId="3EFFFEF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TCTTCCTTAGCTCAGTTGGTTAGAGCATCTGACTG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vAlign w:val="center"/>
          </w:tcPr>
          <w:p w14:paraId="7DE5FD6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tiRNA-5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B3691C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35</w:t>
            </w:r>
          </w:p>
        </w:tc>
      </w:tr>
      <w:tr w14:paraId="2A509A3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tl2br w:val="nil"/>
              <w:tr2bl w:val="nil"/>
            </w:tcBorders>
            <w:vAlign w:val="center"/>
          </w:tcPr>
          <w:p w14:paraId="6C5C9AD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tRF-Pro-GGG-1</w:t>
            </w:r>
          </w:p>
        </w:tc>
        <w:tc>
          <w:tcPr>
            <w:tcW w:w="5240" w:type="dxa"/>
            <w:tcBorders>
              <w:tl2br w:val="nil"/>
              <w:tr2bl w:val="nil"/>
            </w:tcBorders>
            <w:vAlign w:val="center"/>
          </w:tcPr>
          <w:p w14:paraId="37ACFE67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CGGGGTGTAGCTCAGC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vAlign w:val="center"/>
          </w:tcPr>
          <w:p w14:paraId="02A8763C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tRF-5a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3CC93D9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16</w:t>
            </w:r>
          </w:p>
        </w:tc>
      </w:tr>
      <w:tr w14:paraId="4D67F5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74" w:type="dxa"/>
            <w:tcBorders>
              <w:tl2br w:val="nil"/>
              <w:tr2bl w:val="nil"/>
            </w:tcBorders>
            <w:vAlign w:val="center"/>
          </w:tcPr>
          <w:p w14:paraId="71390B2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i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21"/>
                <w:szCs w:val="21"/>
                <w:lang w:val="en-US"/>
                <w14:ligatures w14:val="none"/>
              </w:rPr>
              <w:t>tRF-fMet-CAT-1</w:t>
            </w:r>
          </w:p>
        </w:tc>
        <w:tc>
          <w:tcPr>
            <w:tcW w:w="5240" w:type="dxa"/>
            <w:tcBorders>
              <w:tl2br w:val="nil"/>
              <w:tr2bl w:val="nil"/>
            </w:tcBorders>
            <w:vAlign w:val="center"/>
          </w:tcPr>
          <w:p w14:paraId="346E4CA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CGCGGAGTGGAGCAGTGGTAGCTCGTTGGGCT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vAlign w:val="center"/>
          </w:tcPr>
          <w:p w14:paraId="067EBEC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tRF-5c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76A205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32</w:t>
            </w:r>
          </w:p>
        </w:tc>
      </w:tr>
    </w:tbl>
    <w:p w14:paraId="2BEF2089">
      <w:pPr>
        <w:widowControl/>
        <w:spacing w:line="480" w:lineRule="auto"/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zh-CN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 xml:space="preserve">3. 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 xml:space="preserve">Primers for </w:t>
      </w:r>
      <w:r>
        <w:rPr>
          <w:rFonts w:ascii="Times New Roman" w:hAnsi="Times New Roman" w:eastAsia="宋体" w:cs="Times New Roman"/>
          <w:i/>
          <w:iCs/>
          <w:kern w:val="0"/>
          <w:sz w:val="24"/>
          <w:szCs w:val="24"/>
          <w:lang w:val="en-US" w:eastAsia="en-US"/>
          <w14:ligatures w14:val="none"/>
        </w:rPr>
        <w:t>U6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 xml:space="preserve"> and tsRNAs used in Poly(A)-Tailing qRT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/>
          <w14:ligatures w14:val="none"/>
        </w:rPr>
        <w:t>-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>PCR</w:t>
      </w:r>
    </w:p>
    <w:tbl>
      <w:tblPr>
        <w:tblStyle w:val="9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3"/>
        <w:gridCol w:w="4665"/>
      </w:tblGrid>
      <w:tr w14:paraId="65C730C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0FBFF240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Primers</w:t>
            </w:r>
          </w:p>
        </w:tc>
        <w:tc>
          <w:tcPr>
            <w:tcW w:w="4068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51BD49D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Sequence (5'-3')</w:t>
            </w:r>
          </w:p>
        </w:tc>
      </w:tr>
      <w:tr w14:paraId="2D706E9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op w:val="single" w:color="auto" w:sz="6" w:space="0"/>
            </w:tcBorders>
            <w:vAlign w:val="center"/>
          </w:tcPr>
          <w:p w14:paraId="25A6EA1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U6 (Forwards)</w:t>
            </w:r>
          </w:p>
        </w:tc>
        <w:tc>
          <w:tcPr>
            <w:tcW w:w="4068" w:type="dxa"/>
            <w:tcBorders>
              <w:top w:val="single" w:color="auto" w:sz="6" w:space="0"/>
            </w:tcBorders>
            <w:vAlign w:val="center"/>
          </w:tcPr>
          <w:p w14:paraId="0F6EEC6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TGCTTCGGCAGCACATATAC</w:t>
            </w:r>
          </w:p>
        </w:tc>
      </w:tr>
      <w:tr w14:paraId="47FF62F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4D5010D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U6 (Reverse)</w:t>
            </w:r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13A1F9F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TCACGAATTTGCGTGTCATC</w:t>
            </w:r>
          </w:p>
        </w:tc>
      </w:tr>
      <w:tr w14:paraId="6F4A84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2B850064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tiRNA-Asn-GTT-2</w:t>
            </w:r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286CC190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GGTGAAGGTCGGAGTCAACGGA</w:t>
            </w:r>
          </w:p>
        </w:tc>
      </w:tr>
      <w:tr w14:paraId="2F78DA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18D7B3B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tiRNA-Pro-CGG-1</w:t>
            </w:r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2615DAD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GAGGGATCTCGCTCCTGGAAGA</w:t>
            </w:r>
          </w:p>
        </w:tc>
      </w:tr>
      <w:tr w14:paraId="24DFF0D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4A52C35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tRF-fMet-CAT-2</w:t>
            </w:r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641C185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AAGGAAGATGCCGACGGTAA</w:t>
            </w:r>
          </w:p>
        </w:tc>
      </w:tr>
      <w:tr w14:paraId="2110B0A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3E2668E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tRF-Gly-GCC-1-M3</w:t>
            </w:r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6292493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GGGGTCTTTCTCTTTCTCTGG</w:t>
            </w:r>
          </w:p>
        </w:tc>
      </w:tr>
      <w:tr w14:paraId="336296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1854F9E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tiRNA-Asn-GTT-1</w:t>
            </w:r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0F044F4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TGGTTACTGTCATGGCGGGTA</w:t>
            </w:r>
          </w:p>
        </w:tc>
      </w:tr>
      <w:tr w14:paraId="2C3CF15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6824996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bookmarkStart w:id="1" w:name="OLE_LINK17"/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tRF-Pro-GGG-1</w:t>
            </w:r>
            <w:bookmarkEnd w:id="1"/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5F1E6607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TCTCAGATCGTTGAACCTTGCTA</w:t>
            </w:r>
          </w:p>
        </w:tc>
      </w:tr>
      <w:tr w14:paraId="4FD7B93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1" w:type="dxa"/>
            <w:tcBorders>
              <w:tl2br w:val="nil"/>
              <w:tr2bl w:val="nil"/>
            </w:tcBorders>
            <w:vAlign w:val="center"/>
          </w:tcPr>
          <w:p w14:paraId="39024A94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tRF-fMet-CAT-1</w:t>
            </w:r>
          </w:p>
        </w:tc>
        <w:tc>
          <w:tcPr>
            <w:tcW w:w="4068" w:type="dxa"/>
            <w:tcBorders>
              <w:tl2br w:val="nil"/>
              <w:tr2bl w:val="nil"/>
            </w:tcBorders>
            <w:vAlign w:val="center"/>
          </w:tcPr>
          <w:p w14:paraId="27F3D24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CCCAGCCACAAAGAGTCTACAT</w:t>
            </w:r>
          </w:p>
        </w:tc>
      </w:tr>
    </w:tbl>
    <w:p w14:paraId="27D7C599">
      <w:pPr>
        <w:widowControl/>
        <w:spacing w:line="480" w:lineRule="auto"/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zh-CN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color w:val="0000FF"/>
          <w:kern w:val="0"/>
          <w:sz w:val="24"/>
          <w:szCs w:val="24"/>
          <w:lang w:val="en-US" w:eastAsia="en-US"/>
          <w14:ligatures w14:val="none"/>
        </w:rPr>
        <w:t>4.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 xml:space="preserve"> The Sequences of the RNA Inhibitors and Mimics</w:t>
      </w:r>
    </w:p>
    <w:tbl>
      <w:tblPr>
        <w:tblStyle w:val="10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6336"/>
      </w:tblGrid>
      <w:tr w14:paraId="3E934BC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1BC45859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Name</w:t>
            </w:r>
          </w:p>
        </w:tc>
        <w:tc>
          <w:tcPr>
            <w:tcW w:w="6195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567E1909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Sequence (5'-3')</w:t>
            </w:r>
          </w:p>
        </w:tc>
      </w:tr>
      <w:tr w14:paraId="0012DE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33CF058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si-tiRNA-Asn-GTT-2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28131B8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CAGUCAGAUGCUCUAACCGACUGAGCUAAGAAAGC</w:t>
            </w:r>
          </w:p>
        </w:tc>
      </w:tr>
      <w:tr w14:paraId="4850A84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6EDEAAA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si-tiRNA-Pro-CGG-1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6F451557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GAACGUGGCGCGCUACCAACUGUGCUACAUCCG</w:t>
            </w:r>
          </w:p>
        </w:tc>
      </w:tr>
      <w:tr w14:paraId="3FF30CA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5953DD5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si-tRF-Gly-GCC-1-M3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015F4BF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CUGAGCUACUUCCGC</w:t>
            </w:r>
          </w:p>
        </w:tc>
      </w:tr>
      <w:tr w14:paraId="696370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6A38C05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si-tiRNA-Asn-GTT-1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1E381AA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CAGUCAGAUGCUCUAACCAACUGAGCUAAGGAAGA</w:t>
            </w:r>
          </w:p>
        </w:tc>
      </w:tr>
      <w:tr w14:paraId="375E18D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26D9236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si-tRF-Pro-GGG-1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7330EF6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GCUGAGCUACACCCCG</w:t>
            </w:r>
          </w:p>
        </w:tc>
      </w:tr>
      <w:tr w14:paraId="55E948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2FEBCDD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OE-tiRNA-Asn-GTT-1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044493D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UCUUCCUUAGCUCAGUUGGUUAGAGCAUCUGACUG</w:t>
            </w:r>
          </w:p>
        </w:tc>
      </w:tr>
      <w:tr w14:paraId="4C3539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718387D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OE-tRF-Pro-GGG-1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5E004A74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CGGGGUGUAGCUCAGC</w:t>
            </w:r>
          </w:p>
        </w:tc>
      </w:tr>
      <w:tr w14:paraId="7D05F34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30E248C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/>
                <w14:ligatures w14:val="none"/>
              </w:rPr>
              <w:t>si-PurB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  <w:t>-1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740EF62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  <w:t>GCGAAUUCUUGGUGCGUGA</w:t>
            </w:r>
          </w:p>
        </w:tc>
      </w:tr>
      <w:tr w14:paraId="6996784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6782C5C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/>
                <w14:ligatures w14:val="none"/>
              </w:rPr>
              <w:t>si-PurB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  <w:t>-2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195A434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GCUCAUAGACGACUACGGA</w:t>
            </w:r>
          </w:p>
        </w:tc>
      </w:tr>
      <w:tr w14:paraId="54A72DA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86" w:type="dxa"/>
            <w:tcBorders>
              <w:tl2br w:val="nil"/>
              <w:tr2bl w:val="nil"/>
            </w:tcBorders>
            <w:vAlign w:val="center"/>
          </w:tcPr>
          <w:p w14:paraId="69005A5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/>
                <w14:ligatures w14:val="none"/>
              </w:rPr>
              <w:t>si-PurB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  <w:t>-3</w:t>
            </w:r>
          </w:p>
        </w:tc>
        <w:tc>
          <w:tcPr>
            <w:tcW w:w="6195" w:type="dxa"/>
            <w:tcBorders>
              <w:tl2br w:val="nil"/>
              <w:tr2bl w:val="nil"/>
            </w:tcBorders>
            <w:vAlign w:val="center"/>
          </w:tcPr>
          <w:p w14:paraId="67201A1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GCUGGGCGACUUCAUAGAA</w:t>
            </w:r>
          </w:p>
        </w:tc>
      </w:tr>
    </w:tbl>
    <w:p w14:paraId="651E6764">
      <w:pPr>
        <w:widowControl/>
        <w:spacing w:line="480" w:lineRule="auto"/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3333FF"/>
          <w:kern w:val="0"/>
          <w:sz w:val="24"/>
          <w:szCs w:val="24"/>
          <w:lang w:val="en-US" w:eastAsia="en-US"/>
          <w14:ligatures w14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3333FF"/>
          <w:kern w:val="0"/>
          <w:sz w:val="24"/>
          <w:szCs w:val="24"/>
          <w:lang w:val="en-US" w:eastAsia="zh-CN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color w:val="3333FF"/>
          <w:kern w:val="0"/>
          <w:sz w:val="24"/>
          <w:szCs w:val="24"/>
          <w:lang w:val="en-US" w:eastAsia="en-US"/>
          <w14:ligatures w14:val="none"/>
        </w:rPr>
        <w:t>5.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en-US"/>
          <w14:ligatures w14:val="none"/>
        </w:rPr>
        <w:t xml:space="preserve"> The Nucleic Acid Sequences used in this Study</w:t>
      </w:r>
    </w:p>
    <w:tbl>
      <w:tblPr>
        <w:tblStyle w:val="11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722"/>
      </w:tblGrid>
      <w:tr w14:paraId="13144D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26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5A714B48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DNA</w:t>
            </w:r>
          </w:p>
        </w:tc>
        <w:tc>
          <w:tcPr>
            <w:tcW w:w="6618" w:type="dxa"/>
            <w:tcBorders>
              <w:bottom w:val="single" w:color="auto" w:sz="6" w:space="0"/>
              <w:tl2br w:val="nil"/>
              <w:tr2bl w:val="nil"/>
            </w:tcBorders>
            <w:vAlign w:val="center"/>
          </w:tcPr>
          <w:p w14:paraId="4761EED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/>
                <w14:ligatures w14:val="none"/>
              </w:rPr>
              <w:t>Sequence (5’-3’)</w:t>
            </w:r>
          </w:p>
        </w:tc>
      </w:tr>
      <w:tr w14:paraId="2838262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26" w:type="dxa"/>
            <w:tcBorders>
              <w:top w:val="single" w:color="auto" w:sz="6" w:space="0"/>
            </w:tcBorders>
            <w:vAlign w:val="center"/>
          </w:tcPr>
          <w:p w14:paraId="0CFC64D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S1</w:t>
            </w:r>
          </w:p>
        </w:tc>
        <w:tc>
          <w:tcPr>
            <w:tcW w:w="6618" w:type="dxa"/>
            <w:tcBorders>
              <w:top w:val="single" w:color="auto" w:sz="6" w:space="0"/>
            </w:tcBorders>
            <w:vAlign w:val="center"/>
          </w:tcPr>
          <w:p w14:paraId="49B4629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ATTTATCACCCGCCATAGTAGACGTATCACCAGGCAGTTGAGACGAACATTCCTAAGTCTGAATTGACCTGTGAATT</w:t>
            </w:r>
          </w:p>
        </w:tc>
      </w:tr>
      <w:tr w14:paraId="1431372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26" w:type="dxa"/>
            <w:tcBorders>
              <w:tl2br w:val="nil"/>
              <w:tr2bl w:val="nil"/>
            </w:tcBorders>
            <w:vAlign w:val="center"/>
          </w:tcPr>
          <w:p w14:paraId="0D1DAA4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S2</w:t>
            </w:r>
          </w:p>
        </w:tc>
        <w:tc>
          <w:tcPr>
            <w:tcW w:w="6618" w:type="dxa"/>
            <w:tcBorders>
              <w:tl2br w:val="nil"/>
              <w:tr2bl w:val="nil"/>
            </w:tcBorders>
            <w:vAlign w:val="center"/>
          </w:tcPr>
          <w:p w14:paraId="461AFB8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ACATGCGAGGGTCCAATACCGACGATTACAGCTTGCTACACGATTCAGACTTAGGAATGTTCGTTGACCTGTGAATT</w:t>
            </w:r>
          </w:p>
        </w:tc>
      </w:tr>
      <w:tr w14:paraId="505A616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26" w:type="dxa"/>
            <w:tcBorders>
              <w:tl2br w:val="nil"/>
              <w:tr2bl w:val="nil"/>
            </w:tcBorders>
            <w:vAlign w:val="center"/>
          </w:tcPr>
          <w:p w14:paraId="3F1E82D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S3</w:t>
            </w:r>
          </w:p>
        </w:tc>
        <w:tc>
          <w:tcPr>
            <w:tcW w:w="6618" w:type="dxa"/>
            <w:tcBorders>
              <w:tl2br w:val="nil"/>
              <w:tr2bl w:val="nil"/>
            </w:tcBorders>
            <w:vAlign w:val="center"/>
          </w:tcPr>
          <w:p w14:paraId="108EC64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ACTACTATGGCGGGTGATAAAACGTGTAGCAAGCTGTAATCGACGGGAAGAGCATGCCCATCCTTGACCTGTGAATT</w:t>
            </w:r>
          </w:p>
        </w:tc>
      </w:tr>
      <w:tr w14:paraId="544C7ED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26" w:type="dxa"/>
            <w:tcBorders>
              <w:tl2br w:val="nil"/>
              <w:tr2bl w:val="nil"/>
            </w:tcBorders>
            <w:vAlign w:val="center"/>
          </w:tcPr>
          <w:p w14:paraId="36574F56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S4</w:t>
            </w:r>
          </w:p>
        </w:tc>
        <w:tc>
          <w:tcPr>
            <w:tcW w:w="6618" w:type="dxa"/>
            <w:tcBorders>
              <w:tl2br w:val="nil"/>
              <w:tr2bl w:val="nil"/>
            </w:tcBorders>
            <w:vAlign w:val="center"/>
          </w:tcPr>
          <w:p w14:paraId="4E8B627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ACGGTATTGGACCCTCGCATGACTCAACTGCCTGGTGATACGAGGATGGGCATGCTCTTCCCG</w:t>
            </w:r>
          </w:p>
        </w:tc>
      </w:tr>
      <w:tr w14:paraId="290A25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26" w:type="dxa"/>
            <w:tcBorders>
              <w:tl2br w:val="nil"/>
              <w:tr2bl w:val="nil"/>
            </w:tcBorders>
            <w:vAlign w:val="center"/>
          </w:tcPr>
          <w:p w14:paraId="15AAC644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si-tRF sense strand</w:t>
            </w:r>
          </w:p>
        </w:tc>
        <w:tc>
          <w:tcPr>
            <w:tcW w:w="6618" w:type="dxa"/>
            <w:tcBorders>
              <w:tl2br w:val="nil"/>
              <w:tr2bl w:val="nil"/>
            </w:tcBorders>
            <w:vAlign w:val="center"/>
          </w:tcPr>
          <w:p w14:paraId="5384CF1B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GCUGAGCUACACCCCG</w:t>
            </w:r>
          </w:p>
        </w:tc>
      </w:tr>
      <w:tr w14:paraId="5D51EA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526" w:type="dxa"/>
            <w:tcBorders>
              <w:tl2br w:val="nil"/>
              <w:tr2bl w:val="nil"/>
            </w:tcBorders>
            <w:vAlign w:val="center"/>
          </w:tcPr>
          <w:p w14:paraId="0554937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si-tRF antisense strand</w:t>
            </w:r>
          </w:p>
        </w:tc>
        <w:tc>
          <w:tcPr>
            <w:tcW w:w="6618" w:type="dxa"/>
            <w:tcBorders>
              <w:tl2br w:val="nil"/>
              <w:tr2bl w:val="nil"/>
            </w:tcBorders>
            <w:vAlign w:val="center"/>
          </w:tcPr>
          <w:p w14:paraId="18AA6E30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/>
                <w14:ligatures w14:val="none"/>
              </w:rPr>
              <w:t>CGGGGUGUAGCUCAGCUUCACAGGUCAA</w:t>
            </w:r>
          </w:p>
        </w:tc>
      </w:tr>
    </w:tbl>
    <w:p w14:paraId="01E5A270">
      <w:pPr>
        <w:widowControl/>
        <w:spacing w:line="480" w:lineRule="auto"/>
        <w:jc w:val="left"/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</w:pPr>
    </w:p>
    <w:p w14:paraId="1DDF88D7">
      <w:pPr>
        <w:widowControl/>
        <w:spacing w:line="480" w:lineRule="auto"/>
        <w:jc w:val="left"/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</w:pPr>
    </w:p>
    <w:p w14:paraId="7851B99E">
      <w:pPr>
        <w:spacing w:line="480" w:lineRule="auto"/>
        <w:jc w:val="center"/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  <w:drawing>
          <wp:inline distT="0" distB="0" distL="114300" distR="114300">
            <wp:extent cx="3166745" cy="2419985"/>
            <wp:effectExtent l="0" t="0" r="8255" b="5715"/>
            <wp:docPr id="15" name="图片 15" descr="triton处理前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triton处理前后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674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ADC87">
      <w:pPr>
        <w:keepNext w:val="0"/>
        <w:keepLines w:val="0"/>
        <w:pageBreakBefore w:val="0"/>
        <w:widowControl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宋体" w:cs="Times New Roman"/>
          <w:color w:val="FF0000"/>
          <w:kern w:val="0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</w:rPr>
        <w:t xml:space="preserve">Revised Fig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S1.</w:t>
      </w:r>
      <w:r>
        <w:rPr>
          <w:rFonts w:hint="eastAsia"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color w:val="FF0000"/>
          <w:kern w:val="0"/>
          <w:sz w:val="24"/>
          <w:szCs w:val="24"/>
        </w:rPr>
        <w:t xml:space="preserve">The differences in the detection of the particle size concentration before (brown) and after (yellow) Triton X-100 treatment reflected the </w:t>
      </w:r>
      <w:r>
        <w:rPr>
          <w:rFonts w:hint="eastAsia" w:ascii="Times New Roman" w:hAnsi="Times New Roman" w:eastAsia="宋体" w:cs="Times New Roman"/>
          <w:i/>
          <w:iCs/>
          <w:color w:val="FF0000"/>
          <w:kern w:val="0"/>
          <w:sz w:val="24"/>
          <w:szCs w:val="24"/>
        </w:rPr>
        <w:t>P. gingivalis</w:t>
      </w:r>
      <w:r>
        <w:rPr>
          <w:rFonts w:hint="eastAsia" w:ascii="Times New Roman" w:hAnsi="Times New Roman" w:eastAsia="宋体" w:cs="Times New Roman"/>
          <w:color w:val="FF0000"/>
          <w:kern w:val="0"/>
          <w:sz w:val="24"/>
          <w:szCs w:val="24"/>
        </w:rPr>
        <w:t xml:space="preserve"> OMVs purity.</w:t>
      </w:r>
    </w:p>
    <w:p w14:paraId="16949533">
      <w:pPr>
        <w:widowControl/>
        <w:spacing w:line="480" w:lineRule="auto"/>
        <w:jc w:val="left"/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</w:pPr>
      <w:r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  <w:br w:type="textWrapping"/>
      </w:r>
      <w:r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  <w:drawing>
          <wp:inline distT="0" distB="0" distL="0" distR="0">
            <wp:extent cx="5274310" cy="6696710"/>
            <wp:effectExtent l="0" t="0" r="8890" b="8890"/>
            <wp:docPr id="1534355432" name="图片 1" descr="日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55432" name="图片 1" descr="日历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9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C7435">
      <w:pPr>
        <w:widowControl/>
        <w:spacing w:line="480" w:lineRule="auto"/>
        <w:jc w:val="left"/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</w:pP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en-US"/>
          <w14:ligatures w14:val="none"/>
        </w:rPr>
        <w:t>Fig</w:t>
      </w:r>
      <w:r>
        <w:rPr>
          <w:rFonts w:hint="eastAsia"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.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en-US"/>
          <w14:ligatures w14:val="none"/>
        </w:rPr>
        <w:t xml:space="preserve"> 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S</w:t>
      </w:r>
      <w:r>
        <w:rPr>
          <w:rFonts w:hint="eastAsia"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zh-CN"/>
          <w14:ligatures w14:val="none"/>
        </w:rPr>
        <w:t>2</w:t>
      </w:r>
      <w:r>
        <w:rPr>
          <w:rFonts w:ascii="Times New Roman" w:hAnsi="Times New Roman" w:eastAsia="等线" w:cs="Times New Roman"/>
          <w:b/>
          <w:bCs/>
          <w:kern w:val="0"/>
          <w:sz w:val="24"/>
          <w:szCs w:val="20"/>
          <w:lang w:val="en-US" w:eastAsia="en-US"/>
          <w14:ligatures w14:val="none"/>
        </w:rPr>
        <w:t xml:space="preserve">. </w:t>
      </w:r>
      <w:r>
        <w:rPr>
          <w:rFonts w:ascii="Times New Roman" w:hAnsi="Times New Roman" w:eastAsia="等线" w:cs="Times New Roman"/>
          <w:i/>
          <w:iCs/>
          <w:kern w:val="0"/>
          <w:sz w:val="24"/>
          <w:szCs w:val="20"/>
          <w:lang w:val="en-US" w:eastAsia="en-US"/>
          <w14:ligatures w14:val="none"/>
        </w:rPr>
        <w:t>P. gingivalis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OMV injection suppresses </w:t>
      </w:r>
      <w:bookmarkStart w:id="2" w:name="_Hlk205020196"/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osteogenesis in a murine periodontitis model</w:t>
      </w:r>
      <w:bookmarkEnd w:id="2"/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.</w:t>
      </w:r>
      <w:r>
        <w:rPr>
          <w:rFonts w:ascii="Times New Roman" w:hAnsi="Times New Roman" w:eastAsia="等线" w:cs="Times New Roman"/>
          <w:b/>
          <w:bCs/>
          <w:kern w:val="0"/>
          <w:sz w:val="24"/>
          <w:szCs w:val="20"/>
          <w:lang w:val="en-US" w:eastAsia="en-US"/>
          <w14:ligatures w14:val="none"/>
        </w:rPr>
        <w:t xml:space="preserve"> 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A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Schematic diagram depicting the periodontal injection of</w:t>
      </w:r>
      <w:bookmarkStart w:id="3" w:name="_Hlk205020188"/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</w:t>
      </w:r>
      <w:r>
        <w:rPr>
          <w:rFonts w:ascii="Times New Roman" w:hAnsi="Times New Roman" w:eastAsia="等线" w:cs="Times New Roman"/>
          <w:i/>
          <w:iCs/>
          <w:kern w:val="0"/>
          <w:sz w:val="24"/>
          <w:szCs w:val="20"/>
          <w:lang w:val="en-US" w:eastAsia="en-US"/>
          <w14:ligatures w14:val="none"/>
        </w:rPr>
        <w:t xml:space="preserve">P. gingivalis 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OMVs</w:t>
      </w:r>
      <w:bookmarkEnd w:id="3"/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in mice.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B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Representative images of H&amp;E staining showing the remaining alveolar bone of periodontal tissues from the control and OMVs groups.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C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Representative images of Masson’s trichrome staining showing the periodontal fibers in the periodontal ligamentous tissues from the control and OMVs groups.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D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Representative micro-CT images showing the remaining periodontal bone in the control and OMVs groups. (a1−a2) Representative images of 3D reconstructed views and (b1−b2) sagittal-section views. The yellow lines indicate the border of the CEJ. The red lines mark the distance from the CEJ to the ABC.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E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Quantitative analysis of the BV/TV, Tb.Sp, and CEJ-ABC based on micro-CT scanning (</w:t>
      </w:r>
      <w:r>
        <w:rPr>
          <w:rFonts w:ascii="Times New Roman" w:hAnsi="Times New Roman" w:eastAsia="等线" w:cs="Times New Roman"/>
          <w:i/>
          <w:iCs/>
          <w:kern w:val="0"/>
          <w:sz w:val="24"/>
          <w:szCs w:val="20"/>
          <w:lang w:val="en-US" w:eastAsia="en-US"/>
          <w14:ligatures w14:val="none"/>
        </w:rPr>
        <w:t>n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= 6).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F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en-US"/>
          <w14:ligatures w14:val="none"/>
        </w:rPr>
        <w:t>-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H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Representative images of immunofluorescence staining showing the expression of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F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Runx2,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G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ALP, and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H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COL1A1 in periodontal tissues from the control and OMVs groups. (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>I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>) Corresponding quantitative analysis of Runx2, ALP, and COL1A1 expression (</w:t>
      </w:r>
      <w:r>
        <w:rPr>
          <w:rFonts w:ascii="Times New Roman" w:hAnsi="Times New Roman" w:eastAsia="等线" w:cs="Times New Roman"/>
          <w:i/>
          <w:iCs/>
          <w:kern w:val="0"/>
          <w:sz w:val="24"/>
          <w:szCs w:val="20"/>
          <w:lang w:val="en-US" w:eastAsia="en-US"/>
          <w14:ligatures w14:val="none"/>
        </w:rPr>
        <w:t>n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= 3). The data are presented as the means ± SDs. *</w:t>
      </w:r>
      <w:r>
        <w:rPr>
          <w:rFonts w:ascii="Times New Roman" w:hAnsi="Times New Roman" w:eastAsia="等线" w:cs="Times New Roman"/>
          <w:i/>
          <w:iCs/>
          <w:kern w:val="0"/>
          <w:sz w:val="24"/>
          <w:szCs w:val="20"/>
          <w:lang w:val="en-US" w:eastAsia="en-US"/>
          <w14:ligatures w14:val="none"/>
        </w:rPr>
        <w:t>p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&lt; 0.05, **</w:t>
      </w:r>
      <w:r>
        <w:rPr>
          <w:rFonts w:ascii="Times New Roman" w:hAnsi="Times New Roman" w:eastAsia="等线" w:cs="Times New Roman"/>
          <w:i/>
          <w:iCs/>
          <w:kern w:val="0"/>
          <w:sz w:val="24"/>
          <w:szCs w:val="20"/>
          <w:lang w:val="en-US" w:eastAsia="en-US"/>
          <w14:ligatures w14:val="none"/>
        </w:rPr>
        <w:t>p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&lt; 0.01, and ***</w:t>
      </w:r>
      <w:r>
        <w:rPr>
          <w:rFonts w:ascii="Times New Roman" w:hAnsi="Times New Roman" w:eastAsia="等线" w:cs="Times New Roman"/>
          <w:i/>
          <w:iCs/>
          <w:kern w:val="0"/>
          <w:sz w:val="24"/>
          <w:szCs w:val="20"/>
          <w:lang w:val="en-US" w:eastAsia="en-US"/>
          <w14:ligatures w14:val="none"/>
        </w:rPr>
        <w:t>p</w:t>
      </w:r>
      <w:r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  <w:t xml:space="preserve"> &lt; 0.001 indicate significant differences between the two groups.</w:t>
      </w:r>
    </w:p>
    <w:p w14:paraId="0D72F551">
      <w:pPr>
        <w:widowControl/>
        <w:spacing w:line="480" w:lineRule="auto"/>
        <w:jc w:val="left"/>
        <w:rPr>
          <w:rFonts w:ascii="Times New Roman" w:hAnsi="Times New Roman" w:eastAsia="等线" w:cs="Times New Roman"/>
          <w:kern w:val="0"/>
          <w:sz w:val="24"/>
          <w:szCs w:val="20"/>
          <w:lang w:val="en-US" w:eastAsia="en-US"/>
          <w14:ligatures w14:val="none"/>
        </w:rPr>
      </w:pPr>
    </w:p>
    <w:p w14:paraId="0E39D2A9">
      <w:pPr>
        <w:widowControl/>
        <w:spacing w:line="480" w:lineRule="auto"/>
        <w:jc w:val="left"/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</w:pPr>
      <w:r>
        <w:rPr>
          <w:rFonts w:hint="eastAsia"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  <w:drawing>
          <wp:inline distT="0" distB="0" distL="0" distR="0">
            <wp:extent cx="4120515" cy="5434330"/>
            <wp:effectExtent l="0" t="0" r="6985" b="1270"/>
            <wp:docPr id="1168931928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31928" name="图片 1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567" cy="543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353A4">
      <w:pPr>
        <w:spacing w:line="480" w:lineRule="auto"/>
        <w:rPr>
          <w:rFonts w:ascii="Times New Roman" w:hAnsi="Times New Roman" w:eastAsia="MS Mincho" w:cs="Times New Roman"/>
          <w:sz w:val="24"/>
          <w:szCs w:val="20"/>
          <w:lang w:val="de-DE" w:eastAsia="en-US"/>
        </w:rPr>
      </w:pPr>
      <w:r>
        <w:rPr>
          <w:rFonts w:ascii="Times New Roman" w:hAnsi="Times New Roman" w:eastAsia="等线" w:cs="Times New Roman"/>
          <w:b/>
          <w:bCs/>
          <w:color w:val="0000FF"/>
          <w:sz w:val="24"/>
          <w:szCs w:val="20"/>
          <w:lang w:val="en-US" w:eastAsia="en-US"/>
        </w:rPr>
        <w:t>Fig</w:t>
      </w:r>
      <w:r>
        <w:rPr>
          <w:rFonts w:hint="eastAsia" w:ascii="Times New Roman" w:hAnsi="Times New Roman" w:eastAsia="等线" w:cs="Times New Roman"/>
          <w:b/>
          <w:bCs/>
          <w:color w:val="0000FF"/>
          <w:sz w:val="24"/>
          <w:szCs w:val="20"/>
          <w:lang w:val="en-US"/>
        </w:rPr>
        <w:t>. S</w:t>
      </w:r>
      <w:r>
        <w:rPr>
          <w:rFonts w:hint="eastAsia" w:ascii="Times New Roman" w:hAnsi="Times New Roman" w:eastAsia="等线" w:cs="Times New Roman"/>
          <w:b/>
          <w:bCs/>
          <w:color w:val="0000FF"/>
          <w:sz w:val="24"/>
          <w:szCs w:val="20"/>
          <w:lang w:val="en-US" w:eastAsia="zh-CN"/>
        </w:rPr>
        <w:t>3</w:t>
      </w:r>
      <w:r>
        <w:rPr>
          <w:rFonts w:ascii="Times New Roman" w:hAnsi="Times New Roman" w:eastAsia="等线" w:cs="Times New Roman"/>
          <w:b/>
          <w:bCs/>
          <w:sz w:val="24"/>
          <w:szCs w:val="20"/>
          <w:lang w:val="en-US" w:eastAsia="en-US"/>
        </w:rPr>
        <w:t xml:space="preserve">. </w:t>
      </w:r>
      <w:r>
        <w:rPr>
          <w:rFonts w:hint="eastAsia" w:ascii="Times New Roman" w:hAnsi="Times New Roman" w:eastAsia="等线" w:cs="Times New Roman"/>
          <w:i w:val="0"/>
          <w:iCs w:val="0"/>
          <w:sz w:val="24"/>
          <w:szCs w:val="20"/>
          <w:lang w:val="en-US" w:eastAsia="en-US"/>
        </w:rPr>
        <w:t>Successful isolation and characterization of PDLSCs</w:t>
      </w:r>
      <w:r>
        <w:rPr>
          <w:rFonts w:hint="eastAsia" w:ascii="Times New Roman" w:hAnsi="Times New Roman" w:eastAsia="等线" w:cs="Times New Roman"/>
          <w:i w:val="0"/>
          <w:iCs w:val="0"/>
          <w:sz w:val="24"/>
          <w:szCs w:val="20"/>
          <w:lang w:val="en-US" w:eastAsia="zh-CN"/>
        </w:rPr>
        <w:t xml:space="preserve">. </w:t>
      </w:r>
      <w:r>
        <w:rPr>
          <w:rFonts w:ascii="Times New Roman" w:hAnsi="Times New Roman" w:eastAsia="MS Mincho" w:cs="Times New Roman"/>
          <w:sz w:val="24"/>
          <w:szCs w:val="20"/>
          <w:lang w:val="de-DE" w:eastAsia="en-US"/>
        </w:rPr>
        <w:t>(</w:t>
      </w:r>
      <w:r>
        <w:rPr>
          <w:rFonts w:ascii="Times New Roman" w:hAnsi="Times New Roman" w:eastAsia="MS Mincho" w:cs="Times New Roman"/>
          <w:b/>
          <w:bCs/>
          <w:color w:val="0000FF"/>
          <w:sz w:val="24"/>
          <w:szCs w:val="20"/>
          <w:lang w:val="de-DE" w:eastAsia="en-US"/>
        </w:rPr>
        <w:t>A</w:t>
      </w:r>
      <w:r>
        <w:rPr>
          <w:rFonts w:ascii="Times New Roman" w:hAnsi="Times New Roman" w:eastAsia="MS Mincho" w:cs="Times New Roman"/>
          <w:sz w:val="24"/>
          <w:szCs w:val="20"/>
          <w:lang w:val="de-DE" w:eastAsia="en-US"/>
        </w:rPr>
        <w:t>) representative optical microscopic images showing the cellular shapes of PDLSCs. (</w:t>
      </w:r>
      <w:r>
        <w:rPr>
          <w:rFonts w:ascii="Times New Roman" w:hAnsi="Times New Roman" w:eastAsia="MS Mincho" w:cs="Times New Roman"/>
          <w:b/>
          <w:bCs/>
          <w:color w:val="0000FF"/>
          <w:sz w:val="24"/>
          <w:szCs w:val="20"/>
          <w:lang w:val="de-DE" w:eastAsia="en-US"/>
        </w:rPr>
        <w:t>B</w:t>
      </w:r>
      <w:r>
        <w:rPr>
          <w:rFonts w:ascii="Times New Roman" w:hAnsi="Times New Roman" w:eastAsia="MS Mincho" w:cs="Times New Roman"/>
          <w:sz w:val="24"/>
          <w:szCs w:val="20"/>
          <w:lang w:val="de-DE" w:eastAsia="en-US"/>
        </w:rPr>
        <w:t>) The growth curves of PDLSCs analyzed by CCK8 assays. (</w:t>
      </w:r>
      <w:r>
        <w:rPr>
          <w:rFonts w:ascii="Times New Roman" w:hAnsi="Times New Roman" w:eastAsia="MS Mincho" w:cs="Times New Roman"/>
          <w:b/>
          <w:bCs/>
          <w:color w:val="0000FF"/>
          <w:sz w:val="24"/>
          <w:szCs w:val="20"/>
          <w:lang w:val="de-DE" w:eastAsia="en-US"/>
        </w:rPr>
        <w:t>C</w:t>
      </w:r>
      <w:r>
        <w:rPr>
          <w:rFonts w:ascii="Times New Roman" w:hAnsi="Times New Roman" w:eastAsia="MS Mincho" w:cs="Times New Roman"/>
          <w:sz w:val="24"/>
          <w:szCs w:val="20"/>
          <w:lang w:val="de-DE" w:eastAsia="en-US"/>
        </w:rPr>
        <w:t>) Flow cytometry showing the positive expression of CD90, CD105, and CD 146 and negative expression of CD31, CD34 and CD45 in PDLSCs. (</w:t>
      </w:r>
      <w:r>
        <w:rPr>
          <w:rFonts w:ascii="Times New Roman" w:hAnsi="Times New Roman" w:eastAsia="MS Mincho" w:cs="Times New Roman"/>
          <w:b/>
          <w:bCs/>
          <w:color w:val="0000FF"/>
          <w:sz w:val="24"/>
          <w:szCs w:val="20"/>
          <w:lang w:val="de-DE" w:eastAsia="en-US"/>
        </w:rPr>
        <w:t>D</w:t>
      </w:r>
      <w:r>
        <w:rPr>
          <w:rFonts w:ascii="Times New Roman" w:hAnsi="Times New Roman" w:eastAsia="MS Mincho" w:cs="Times New Roman"/>
          <w:sz w:val="24"/>
          <w:szCs w:val="20"/>
          <w:lang w:val="de-DE" w:eastAsia="en-US"/>
        </w:rPr>
        <w:t>) Representative images of ARS staining showing the osteogenic differentiation potentials of PDSLCs following 21 days’ osteogenic induction. (</w:t>
      </w:r>
      <w:r>
        <w:rPr>
          <w:rFonts w:ascii="Times New Roman" w:hAnsi="Times New Roman" w:eastAsia="MS Mincho" w:cs="Times New Roman"/>
          <w:b/>
          <w:bCs/>
          <w:color w:val="0000FF"/>
          <w:sz w:val="24"/>
          <w:szCs w:val="20"/>
          <w:lang w:val="de-DE" w:eastAsia="en-US"/>
        </w:rPr>
        <w:t>E</w:t>
      </w:r>
      <w:r>
        <w:rPr>
          <w:rFonts w:ascii="Times New Roman" w:hAnsi="Times New Roman" w:eastAsia="MS Mincho" w:cs="Times New Roman"/>
          <w:sz w:val="24"/>
          <w:szCs w:val="20"/>
          <w:lang w:val="de-DE" w:eastAsia="en-US"/>
        </w:rPr>
        <w:t>) Representative images of oil red staining showing the adipogenic differentiation potentials of PDSLCs following 21 days of adipogenic culture.</w:t>
      </w:r>
    </w:p>
    <w:p w14:paraId="26BCA7E6">
      <w:pPr>
        <w:widowControl/>
        <w:spacing w:line="480" w:lineRule="auto"/>
        <w:jc w:val="left"/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</w:pPr>
    </w:p>
    <w:p w14:paraId="2E81FCEB">
      <w:pPr>
        <w:widowControl/>
        <w:spacing w:line="480" w:lineRule="auto"/>
        <w:jc w:val="center"/>
        <w:rPr>
          <w:rFonts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</w:pPr>
      <w:r>
        <w:rPr>
          <w:rFonts w:hint="eastAsia" w:ascii="Times New Roman" w:hAnsi="Times New Roman" w:eastAsia="MS Mincho" w:cs="Times New Roman"/>
          <w:kern w:val="0"/>
          <w:sz w:val="24"/>
          <w:szCs w:val="24"/>
          <w:lang w:val="de-DE" w:eastAsia="ja-JP"/>
          <w14:ligatures w14:val="none"/>
        </w:rPr>
        <w:drawing>
          <wp:inline distT="0" distB="0" distL="0" distR="0">
            <wp:extent cx="3632200" cy="2093595"/>
            <wp:effectExtent l="0" t="0" r="0" b="1905"/>
            <wp:docPr id="1494773392" name="图片 2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73392" name="图片 2" descr="图表, 条形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482" cy="209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09F75">
      <w:pPr>
        <w:widowControl/>
        <w:spacing w:line="480" w:lineRule="auto"/>
        <w:jc w:val="left"/>
        <w:rPr>
          <w:rFonts w:ascii="Times New Roman" w:hAnsi="Times New Roman" w:eastAsia="等线" w:cs="Times New Roman"/>
          <w:color w:val="000000"/>
          <w:kern w:val="0"/>
          <w:sz w:val="24"/>
          <w:szCs w:val="20"/>
          <w:lang w:val="en-US" w:eastAsia="en-US"/>
          <w14:ligatures w14:val="none"/>
        </w:rPr>
      </w:pP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en-US"/>
          <w14:ligatures w14:val="none"/>
        </w:rPr>
        <w:t>Fig</w:t>
      </w:r>
      <w:r>
        <w:rPr>
          <w:rFonts w:hint="eastAsia"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/>
          <w14:ligatures w14:val="none"/>
        </w:rPr>
        <w:t xml:space="preserve">. 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en-US"/>
          <w14:ligatures w14:val="none"/>
        </w:rPr>
        <w:t>S</w:t>
      </w:r>
      <w:r>
        <w:rPr>
          <w:rFonts w:hint="eastAsia"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zh-CN"/>
          <w14:ligatures w14:val="none"/>
        </w:rPr>
        <w:t>4</w:t>
      </w:r>
      <w:r>
        <w:rPr>
          <w:rFonts w:ascii="Times New Roman" w:hAnsi="Times New Roman" w:eastAsia="等线" w:cs="Times New Roman"/>
          <w:b/>
          <w:bCs/>
          <w:color w:val="0000FF"/>
          <w:kern w:val="0"/>
          <w:sz w:val="24"/>
          <w:szCs w:val="20"/>
          <w:lang w:val="en-US" w:eastAsia="en-US"/>
          <w14:ligatures w14:val="none"/>
        </w:rPr>
        <w:t xml:space="preserve">. 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0"/>
          <w:lang w:val="en-US" w:eastAsia="en-US"/>
          <w14:ligatures w14:val="none"/>
        </w:rPr>
        <w:t xml:space="preserve">The influence of different concentrations (1, 3, and 10 μg/mL) of 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4"/>
          <w:szCs w:val="20"/>
          <w:lang w:val="en-US" w:eastAsia="en-US"/>
          <w14:ligatures w14:val="none"/>
        </w:rPr>
        <w:t>P. gingivalis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0"/>
          <w:lang w:val="en-US" w:eastAsia="en-US"/>
          <w14:ligatures w14:val="none"/>
        </w:rPr>
        <w:t xml:space="preserve"> OMVs on the proliferation of PDLSCs analyzed by CCK8 analysis (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4"/>
          <w:szCs w:val="20"/>
          <w:lang w:val="en-US" w:eastAsia="en-US"/>
          <w14:ligatures w14:val="none"/>
        </w:rPr>
        <w:t>n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0"/>
          <w:lang w:val="en-US" w:eastAsia="en-US"/>
          <w14:ligatures w14:val="none"/>
        </w:rPr>
        <w:t xml:space="preserve"> = 3).</w:t>
      </w:r>
    </w:p>
    <w:p w14:paraId="1908E517">
      <w:pPr>
        <w:widowControl/>
        <w:spacing w:line="480" w:lineRule="auto"/>
        <w:jc w:val="left"/>
        <w:rPr>
          <w:rFonts w:ascii="Times New Roman" w:hAnsi="Times New Roman" w:eastAsia="等线" w:cs="Times New Roman"/>
          <w:color w:val="000000"/>
          <w:kern w:val="0"/>
          <w:sz w:val="24"/>
          <w:szCs w:val="20"/>
          <w:lang w:val="en-US" w:eastAsia="en-US"/>
          <w14:ligatures w14:val="none"/>
        </w:rPr>
      </w:pPr>
    </w:p>
    <w:p w14:paraId="7EE9F794">
      <w:pPr>
        <w:jc w:val="center"/>
        <w:rPr>
          <w:rFonts w:ascii="Times New Roman" w:hAnsi="Times New Roman" w:eastAsia="等线" w:cs="Times New Roman"/>
          <w:color w:val="0000FF"/>
          <w:szCs w:val="21"/>
        </w:rPr>
      </w:pPr>
      <w:r>
        <w:rPr>
          <w:rFonts w:hint="eastAsia" w:ascii="Times New Roman" w:hAnsi="Times New Roman" w:eastAsia="等线" w:cs="Times New Roman"/>
          <w:color w:val="0000FF"/>
          <w:szCs w:val="21"/>
        </w:rPr>
        <w:drawing>
          <wp:inline distT="0" distB="0" distL="114300" distR="114300">
            <wp:extent cx="3140075" cy="2419985"/>
            <wp:effectExtent l="0" t="0" r="9525" b="5715"/>
            <wp:docPr id="9" name="图片 9" descr="Layou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Layout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007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248A4">
      <w:pPr>
        <w:widowControl/>
        <w:spacing w:line="480" w:lineRule="auto"/>
        <w:jc w:val="left"/>
        <w:rPr>
          <w:rFonts w:ascii="Times New Roman" w:hAnsi="Times New Roman" w:eastAsia="等线" w:cs="Times New Roman"/>
          <w:b/>
          <w:bCs/>
          <w:color w:val="FF0000"/>
          <w:kern w:val="0"/>
          <w:sz w:val="24"/>
          <w:szCs w:val="24"/>
          <w:lang w:val="en-US" w:eastAsia="en-US"/>
          <w14:ligatures w14:val="none"/>
        </w:rPr>
      </w:pP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</w:rPr>
        <w:t>Revised Fig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S5.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 xml:space="preserve"> Relative expression levels of </w:t>
      </w:r>
      <w:r>
        <w:rPr>
          <w:rFonts w:hint="eastAsia" w:ascii="Times New Roman" w:hAnsi="Times New Roman" w:eastAsia="等线" w:cs="Times New Roman"/>
          <w:i/>
          <w:iCs/>
          <w:color w:val="FF0000"/>
          <w:kern w:val="0"/>
          <w:sz w:val="24"/>
          <w:szCs w:val="24"/>
          <w:lang w:val="en-US" w:eastAsia="en-US"/>
          <w14:ligatures w14:val="none"/>
        </w:rPr>
        <w:t>tRF-Pro-GGG-1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 xml:space="preserve"> and PurB in PDLSCs following treatments with </w:t>
      </w:r>
      <w:r>
        <w:rPr>
          <w:rFonts w:hint="eastAsia" w:ascii="Times New Roman" w:hAnsi="Times New Roman" w:eastAsia="等线" w:cs="Times New Roman"/>
          <w:i/>
          <w:iCs/>
          <w:color w:val="FF0000"/>
          <w:kern w:val="0"/>
          <w:sz w:val="24"/>
          <w:szCs w:val="24"/>
          <w:lang w:val="en-US" w:eastAsia="en-US"/>
          <w14:ligatures w14:val="none"/>
        </w:rPr>
        <w:t>tRF-Pro-GGG-1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 xml:space="preserve"> inhibitor, mimic or si-PurB in transfection experiments </w:t>
      </w:r>
      <w:r>
        <w:rPr>
          <w:rFonts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(</w:t>
      </w:r>
      <w:r>
        <w:rPr>
          <w:rFonts w:ascii="Times New Roman" w:hAnsi="Times New Roman" w:eastAsia="等线" w:cs="Times New Roman"/>
          <w:i/>
          <w:iCs/>
          <w:color w:val="FF0000"/>
          <w:kern w:val="0"/>
          <w:sz w:val="24"/>
          <w:szCs w:val="24"/>
          <w:lang w:val="en-US" w:eastAsia="en-US"/>
          <w14:ligatures w14:val="none"/>
        </w:rPr>
        <w:t>n</w:t>
      </w:r>
      <w:r>
        <w:rPr>
          <w:rFonts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 xml:space="preserve"> = 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3</w:t>
      </w:r>
      <w:r>
        <w:rPr>
          <w:rFonts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)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.</w:t>
      </w:r>
    </w:p>
    <w:p w14:paraId="1D822E69">
      <w:pPr>
        <w:widowControl/>
        <w:spacing w:line="480" w:lineRule="auto"/>
        <w:jc w:val="left"/>
        <w:rPr>
          <w:rFonts w:ascii="Times New Roman" w:hAnsi="Times New Roman" w:eastAsia="等线" w:cs="Times New Roman"/>
          <w:color w:val="000000"/>
          <w:kern w:val="0"/>
          <w:sz w:val="24"/>
          <w:szCs w:val="20"/>
          <w:lang w:val="en-US" w:eastAsia="en-US"/>
          <w14:ligatures w14:val="none"/>
        </w:rPr>
      </w:pPr>
    </w:p>
    <w:p w14:paraId="33F101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  <w14:ligatures w14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  <w14:ligatures w14:val="none"/>
        </w:rPr>
        <w:drawing>
          <wp:inline distT="0" distB="0" distL="114300" distR="114300">
            <wp:extent cx="3470910" cy="4759325"/>
            <wp:effectExtent l="0" t="0" r="8890" b="3175"/>
            <wp:docPr id="2" name="图片 2" descr="Revised 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evised Figure S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7091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5114D">
      <w:pPr>
        <w:widowControl/>
        <w:spacing w:line="480" w:lineRule="auto"/>
        <w:jc w:val="left"/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/>
        </w:rPr>
        <w:t>Revised Fig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/>
        </w:rPr>
        <w:t>S6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lang w:val="en-US" w:eastAsia="zh-CN"/>
        </w:rPr>
        <w:t>In vivo</w:t>
      </w:r>
      <w:r>
        <w:rPr>
          <w:rFonts w:hint="eastAsia" w:ascii="Times New Roman" w:hAnsi="Times New Roman" w:cs="Times New Roman"/>
          <w:b w:val="0"/>
          <w:bCs w:val="0"/>
          <w:color w:val="FF0000"/>
          <w:sz w:val="24"/>
          <w:szCs w:val="24"/>
          <w:lang w:val="en-US" w:eastAsia="zh-CN"/>
        </w:rPr>
        <w:t xml:space="preserve"> safety assessment of si-tRF-tFNA.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(</w:t>
      </w:r>
      <w:r>
        <w:rPr>
          <w:rFonts w:ascii="Times New Roman" w:hAnsi="Times New Roman" w:eastAsia="MS Mincho" w:cs="Times New Roman"/>
          <w:b/>
          <w:bCs/>
          <w:color w:val="0000FF"/>
          <w:sz w:val="24"/>
          <w:szCs w:val="20"/>
          <w:lang w:val="de-DE" w:eastAsia="en-US"/>
        </w:rPr>
        <w:t>A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) Quantitative analysis of the liver function indicators (ALT and AST) and the kidney function indicators (BUN and CREA) (</w:t>
      </w:r>
      <w:r>
        <w:rPr>
          <w:rFonts w:hint="eastAsia" w:ascii="Times New Roman" w:hAnsi="Times New Roman" w:eastAsia="等线" w:cs="Times New Roman"/>
          <w:i/>
          <w:iCs/>
          <w:color w:val="FF0000"/>
          <w:kern w:val="0"/>
          <w:sz w:val="24"/>
          <w:szCs w:val="24"/>
          <w:lang w:val="en-US" w:eastAsia="en-US"/>
          <w14:ligatures w14:val="none"/>
        </w:rPr>
        <w:t>n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 xml:space="preserve"> = 4). 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zh-CN"/>
          <w14:ligatures w14:val="none"/>
        </w:rPr>
        <w:t>(</w:t>
      </w:r>
      <w:r>
        <w:rPr>
          <w:rFonts w:hint="eastAsia" w:ascii="Times New Roman" w:hAnsi="Times New Roman" w:eastAsia="宋体" w:cs="Times New Roman"/>
          <w:b/>
          <w:bCs/>
          <w:color w:val="0000FF"/>
          <w:sz w:val="24"/>
          <w:szCs w:val="20"/>
          <w:lang w:val="en-US" w:eastAsia="zh-CN"/>
        </w:rPr>
        <w:t>B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zh-CN"/>
          <w14:ligatures w14:val="none"/>
        </w:rPr>
        <w:t xml:space="preserve">) 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Quantitative analysis of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zh-CN"/>
          <w14:ligatures w14:val="none"/>
        </w:rPr>
        <w:t xml:space="preserve"> the complete blood count 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(</w:t>
      </w:r>
      <w:r>
        <w:rPr>
          <w:rFonts w:hint="eastAsia" w:ascii="Times New Roman" w:hAnsi="Times New Roman" w:eastAsia="等线" w:cs="Times New Roman"/>
          <w:i/>
          <w:iCs/>
          <w:color w:val="FF0000"/>
          <w:kern w:val="0"/>
          <w:sz w:val="24"/>
          <w:szCs w:val="24"/>
          <w:lang w:val="en-US" w:eastAsia="en-US"/>
          <w14:ligatures w14:val="none"/>
        </w:rPr>
        <w:t>n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 xml:space="preserve"> = 4).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(</w:t>
      </w:r>
      <w:r>
        <w:rPr>
          <w:rFonts w:hint="eastAsia" w:ascii="Times New Roman" w:hAnsi="Times New Roman" w:eastAsia="宋体" w:cs="Times New Roman"/>
          <w:b/>
          <w:bCs/>
          <w:color w:val="0000FF"/>
          <w:sz w:val="24"/>
          <w:szCs w:val="20"/>
          <w:lang w:val="en-US" w:eastAsia="zh-CN"/>
        </w:rPr>
        <w:t>C</w:t>
      </w:r>
      <w:r>
        <w:rPr>
          <w:rFonts w:hint="eastAsia" w:ascii="Times New Roman" w:hAnsi="Times New Roman" w:eastAsia="等线" w:cs="Times New Roman"/>
          <w:color w:val="FF0000"/>
          <w:kern w:val="0"/>
          <w:sz w:val="24"/>
          <w:szCs w:val="24"/>
          <w:lang w:val="en-US" w:eastAsia="en-US"/>
          <w14:ligatures w14:val="none"/>
        </w:rPr>
        <w:t>) Representative images of H&amp;E staining of major organs (heart, liver, spleen, lung, and kidney).</w:t>
      </w:r>
    </w:p>
    <w:p w14:paraId="70495BA5">
      <w:pPr>
        <w:widowControl/>
        <w:spacing w:line="480" w:lineRule="auto"/>
        <w:jc w:val="left"/>
        <w:rPr>
          <w:rFonts w:hint="eastAsia" w:ascii="Times New Roman" w:hAnsi="Times New Roman" w:cs="Times New Roman"/>
          <w:b/>
          <w:bCs/>
          <w:color w:val="FF0000"/>
          <w:sz w:val="24"/>
          <w:szCs w:val="24"/>
        </w:rPr>
      </w:pPr>
    </w:p>
    <w:sectPr>
      <w:footerReference r:id="rId3" w:type="default"/>
      <w:pgSz w:w="11906" w:h="16838"/>
      <w:pgMar w:top="1134" w:right="1417" w:bottom="1417" w:left="1417" w:header="851" w:footer="992" w:gutter="0"/>
      <w:lnNumType w:countBy="1" w:restart="continuous"/>
      <w:cols w:space="425" w:num="1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C41D6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C9770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C9770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33778"/>
    <w:rsid w:val="08E05727"/>
    <w:rsid w:val="1DC12F81"/>
    <w:rsid w:val="210070C5"/>
    <w:rsid w:val="21554E33"/>
    <w:rsid w:val="22BE1006"/>
    <w:rsid w:val="2C08124C"/>
    <w:rsid w:val="2D2D251B"/>
    <w:rsid w:val="45333778"/>
    <w:rsid w:val="4C5F09D9"/>
    <w:rsid w:val="4CA84FDE"/>
    <w:rsid w:val="500F5305"/>
    <w:rsid w:val="7298621E"/>
    <w:rsid w:val="7D0B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2"/>
      <w:lang w:val="en-GB" w:eastAsia="zh-CN" w:bidi="ar-SA"/>
      <w14:ligatures w14:val="standardContextual"/>
    </w:rPr>
  </w:style>
  <w:style w:type="table" w:styleId="4">
    <w:name w:val="Table Grid"/>
    <w:qFormat/>
    <w:uiPriority w:val="0"/>
    <w:pPr>
      <w:widowControl w:val="0"/>
      <w:spacing w:line="264" w:lineRule="auto"/>
      <w:ind w:firstLine="200" w:firstLineChars="20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paragraph" w:customStyle="1" w:styleId="7">
    <w:name w:val="Title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/>
      <w:kern w:val="2"/>
      <w:sz w:val="21"/>
      <w:szCs w:val="22"/>
      <w:lang w:val="en-US" w:eastAsia="zh-CN" w:bidi="ar-SA"/>
      <w14:ligatures w14:val="standardContextual"/>
    </w:rPr>
  </w:style>
  <w:style w:type="table" w:customStyle="1" w:styleId="8">
    <w:name w:val="Table Grid1"/>
    <w:qFormat/>
    <w:uiPriority w:val="0"/>
    <w:pPr>
      <w:widowControl w:val="0"/>
      <w:spacing w:line="264" w:lineRule="auto"/>
      <w:ind w:firstLine="200" w:firstLineChars="20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Table Grid2"/>
    <w:qFormat/>
    <w:uiPriority w:val="0"/>
    <w:pPr>
      <w:widowControl w:val="0"/>
      <w:spacing w:line="264" w:lineRule="auto"/>
      <w:ind w:firstLine="200" w:firstLineChars="20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Table Grid3"/>
    <w:qFormat/>
    <w:uiPriority w:val="0"/>
    <w:pPr>
      <w:widowControl w:val="0"/>
      <w:spacing w:line="264" w:lineRule="auto"/>
      <w:ind w:firstLine="200" w:firstLineChars="20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Table Grid4"/>
    <w:qFormat/>
    <w:uiPriority w:val="0"/>
    <w:pPr>
      <w:widowControl w:val="0"/>
      <w:spacing w:line="264" w:lineRule="auto"/>
      <w:ind w:firstLine="200" w:firstLineChars="20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787</Words>
  <Characters>5997</Characters>
  <Lines>0</Lines>
  <Paragraphs>0</Paragraphs>
  <TotalTime>11</TotalTime>
  <ScaleCrop>false</ScaleCrop>
  <LinksUpToDate>false</LinksUpToDate>
  <CharactersWithSpaces>6633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2025-09-20T08:20:00Z</dcterms:created>
  <dc:creator>YuMeng</dc:creator>
  <cp:lastModifiedBy>YuMeng</cp:lastModifiedBy>
  <dcterms:modified xsi:type="dcterms:W3CDTF">2025-12-24T14:39:00Z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9E2499DC2C994A4692198A3AB3DF17D9_13</vt:lpwstr>
  </property>
  <property fmtid="{D5CDD505-2E9C-101B-9397-08002B2CF9AE}" pid="4" name="KSOTemplateDocerSaveRecord">
    <vt:lpwstr>eyJoZGlkIjoiZjFmZWIzNDg2MmIzZjExOTIzMmViNTBmYTMwYTk0ZWYiLCJ1c2VySWQiOiIzMjE4MzI4OTUifQ==</vt:lpwstr>
  </property>
</Properties>
</file>