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07D4" w14:textId="77777777" w:rsidR="00F10EFD" w:rsidRDefault="00F10EFD" w:rsidP="00F10EF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Quercetin derived extracellular vesicles combined with ROS responsive hydrogel for diverse damaged tissues repair</w:t>
      </w:r>
    </w:p>
    <w:p w14:paraId="0D06D0EA" w14:textId="77777777" w:rsidR="00E364E2" w:rsidRPr="00B4461C" w:rsidRDefault="00E364E2">
      <w:pPr>
        <w:rPr>
          <w:rFonts w:hint="eastAsia"/>
        </w:rPr>
      </w:pPr>
    </w:p>
    <w:p w14:paraId="59894785" w14:textId="77777777" w:rsidR="00E364E2" w:rsidRDefault="00E364E2">
      <w:pPr>
        <w:rPr>
          <w:rFonts w:hint="eastAsia"/>
        </w:rPr>
      </w:pPr>
    </w:p>
    <w:p w14:paraId="0289A119" w14:textId="77777777" w:rsidR="00E364E2" w:rsidRDefault="00E364E2">
      <w:pPr>
        <w:rPr>
          <w:rFonts w:hint="eastAsia"/>
        </w:rPr>
      </w:pPr>
    </w:p>
    <w:p w14:paraId="74F5DF25" w14:textId="77777777" w:rsidR="00E364E2" w:rsidRDefault="00E364E2">
      <w:pPr>
        <w:rPr>
          <w:rFonts w:hint="eastAsia"/>
        </w:rPr>
      </w:pPr>
    </w:p>
    <w:p w14:paraId="177E8EF3" w14:textId="77777777" w:rsidR="00E364E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Assessment of adhesion scoring method</w:t>
      </w:r>
    </w:p>
    <w:p w14:paraId="6D3EB819" w14:textId="77777777" w:rsidR="00E364E2" w:rsidRDefault="00000000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scoring criteria were as follows: a score of 0 denoted the absence of adhesion; a score of 1 indicated the presence of a single thin layer of adhesion; a score of 2 represented multiple thin-layer adhesions; a score of 3 signified the existence of thick laminin lesions; and a score of 4 reflected the attachment of thick laminae to the underlying tissue or the presence of multiple foci of thick laminae. These assessments were conducted by independent evaluators in a double-blind fashion to ensure objectivity.</w:t>
      </w:r>
    </w:p>
    <w:p w14:paraId="1A297D49" w14:textId="77777777" w:rsidR="00E364E2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Detection of anti-inflammatory and antioxidant factors in KEVs</w:t>
      </w:r>
    </w:p>
    <w:p w14:paraId="44B82A11" w14:textId="7D2B5159" w:rsidR="00E364E2" w:rsidRDefault="00000000" w:rsidP="00D03F3F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KEVs contain large number of anti-inflammatory and antioxidant factors, which main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“Hippo signaling pathway”, “TGF-beta signaling pathway”, “TNF signaling pathway”,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FoxO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signaling pathway”, “NF-kappa B signaling pathway”, and “NF-kappa B signaling pathway”</w:t>
      </w:r>
      <w:r w:rsidR="00D03F3F" w:rsidRPr="00D03F3F">
        <w:rPr>
          <w:rFonts w:ascii="Segoe UI" w:eastAsia="宋体" w:hAnsi="Segoe UI" w:cs="Segoe UI"/>
          <w:color w:val="2A2B2E"/>
          <w:kern w:val="0"/>
          <w:sz w:val="23"/>
          <w:szCs w:val="23"/>
          <w:shd w:val="clear" w:color="auto" w:fill="FFFFFF"/>
        </w:rPr>
        <w:t xml:space="preserve"> </w:t>
      </w:r>
      <w:r w:rsidR="00D03F3F" w:rsidRPr="00D03F3F">
        <w:rPr>
          <w:rFonts w:ascii="Times New Roman" w:hAnsi="Times New Roman" w:cs="Times New Roman"/>
          <w:sz w:val="24"/>
          <w:szCs w:val="24"/>
        </w:rPr>
        <w:t>and so on</w:t>
      </w:r>
      <w:r w:rsidRPr="00D03F3F">
        <w:rPr>
          <w:rFonts w:ascii="Times New Roman" w:hAnsi="Times New Roman" w:cs="Times New Roman"/>
          <w:sz w:val="24"/>
          <w:szCs w:val="24"/>
        </w:rPr>
        <w:t>.</w:t>
      </w:r>
    </w:p>
    <w:p w14:paraId="6832B221" w14:textId="77777777" w:rsidR="00E364E2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E881AA" w14:textId="77777777" w:rsidR="00E364E2" w:rsidRDefault="00E364E2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21C34342" w14:textId="77777777" w:rsidR="00E364E2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EF40801" wp14:editId="72E41D40">
            <wp:extent cx="4806315" cy="1276985"/>
            <wp:effectExtent l="0" t="0" r="0" b="0"/>
            <wp:docPr id="5906896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689623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0654" cy="128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7EF0D" w14:textId="7777777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S1.</w:t>
      </w:r>
      <w:r>
        <w:rPr>
          <w:rFonts w:ascii="Times New Roman" w:hAnsi="Times New Roman" w:cs="Times New Roman"/>
          <w:sz w:val="24"/>
          <w:szCs w:val="24"/>
        </w:rPr>
        <w:t xml:space="preserve"> The synthesis process of Linker.</w:t>
      </w:r>
    </w:p>
    <w:p w14:paraId="749AA8C6" w14:textId="77777777" w:rsidR="00E364E2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49B913" w14:textId="77777777" w:rsidR="00E364E2" w:rsidRDefault="00000000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4430913" wp14:editId="0ABFFC3E">
            <wp:extent cx="3708400" cy="3028950"/>
            <wp:effectExtent l="0" t="0" r="6350" b="0"/>
            <wp:docPr id="14463147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14789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2755" cy="304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E0590" w14:textId="77777777" w:rsidR="00E364E2" w:rsidRDefault="00E364E2">
      <w:pPr>
        <w:jc w:val="center"/>
        <w:rPr>
          <w:rFonts w:hint="eastAsia"/>
        </w:rPr>
      </w:pPr>
    </w:p>
    <w:p w14:paraId="4338424C" w14:textId="7777777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Synthesis process of PVA-Linker-CS.</w:t>
      </w:r>
    </w:p>
    <w:p w14:paraId="60544768" w14:textId="77777777" w:rsidR="00E364E2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444CE8" w14:textId="77777777" w:rsidR="00E364E2" w:rsidRDefault="00E364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4717E2" w14:textId="7777777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3C7DF1" wp14:editId="65B8287E">
            <wp:extent cx="5039995" cy="1429385"/>
            <wp:effectExtent l="0" t="0" r="8255" b="0"/>
            <wp:docPr id="745675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7540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29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6BE409" w14:textId="7777777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1"/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Zeta distribution of KEVs before (a) and after (b) coating </w:t>
      </w:r>
      <w:bookmarkEnd w:id="0"/>
      <w:r>
        <w:rPr>
          <w:rFonts w:ascii="Times New Roman" w:hAnsi="Times New Roman" w:cs="Times New Roman" w:hint="eastAsia"/>
          <w:sz w:val="24"/>
          <w:szCs w:val="24"/>
        </w:rPr>
        <w:t>quercetin.</w:t>
      </w:r>
    </w:p>
    <w:p w14:paraId="68FAB5BD" w14:textId="2B5B0A89" w:rsidR="00B4461C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4B808C" w14:textId="7777777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F64E7A" wp14:editId="582D93F5">
            <wp:extent cx="4593590" cy="1718945"/>
            <wp:effectExtent l="0" t="0" r="0" b="0"/>
            <wp:docPr id="21162310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31020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089" cy="172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F3BAC" w14:textId="7777777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OLE_LINK21"/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1"/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Concentration of RNA.</w:t>
      </w:r>
    </w:p>
    <w:p w14:paraId="14F113E6" w14:textId="77777777" w:rsidR="00E364E2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950CEF" w14:textId="77777777" w:rsidR="00E364E2" w:rsidRDefault="00E364E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364E2" w14:paraId="621CDDEB" w14:textId="77777777">
        <w:tc>
          <w:tcPr>
            <w:tcW w:w="2765" w:type="dxa"/>
          </w:tcPr>
          <w:p w14:paraId="141E1760" w14:textId="77777777" w:rsidR="00E364E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name</w:t>
            </w:r>
          </w:p>
        </w:tc>
        <w:tc>
          <w:tcPr>
            <w:tcW w:w="2765" w:type="dxa"/>
          </w:tcPr>
          <w:p w14:paraId="61737CBD" w14:textId="77777777" w:rsidR="00E364E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 concentration(ng/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66" w:type="dxa"/>
          </w:tcPr>
          <w:p w14:paraId="268547B6" w14:textId="77777777" w:rsidR="00E364E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library volume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64E2" w14:paraId="2C465183" w14:textId="77777777">
        <w:tc>
          <w:tcPr>
            <w:tcW w:w="2765" w:type="dxa"/>
          </w:tcPr>
          <w:p w14:paraId="087A612F" w14:textId="77777777" w:rsidR="00E364E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kiwi fruit</w:t>
            </w:r>
          </w:p>
        </w:tc>
        <w:tc>
          <w:tcPr>
            <w:tcW w:w="2765" w:type="dxa"/>
          </w:tcPr>
          <w:p w14:paraId="59EEEF43" w14:textId="77777777" w:rsidR="00E364E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0.812</w:t>
            </w:r>
          </w:p>
        </w:tc>
        <w:tc>
          <w:tcPr>
            <w:tcW w:w="2766" w:type="dxa"/>
          </w:tcPr>
          <w:p w14:paraId="3E5DB71B" w14:textId="77777777" w:rsidR="00E364E2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11.368</w:t>
            </w:r>
          </w:p>
        </w:tc>
      </w:tr>
    </w:tbl>
    <w:p w14:paraId="20B1EC1A" w14:textId="77777777" w:rsidR="00E364E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library concentration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4BB6F4B" w14:textId="77777777" w:rsidR="00E364E2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A985E3" w14:textId="65B48D23" w:rsidR="00E364E2" w:rsidRDefault="00BD4C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A9768EE" wp14:editId="3E6FB5CD">
            <wp:extent cx="5274310" cy="3107055"/>
            <wp:effectExtent l="0" t="0" r="2540" b="0"/>
            <wp:docPr id="1298367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6752" name="图片 12983675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08B95" w14:textId="06ABA3FF" w:rsidR="00A91951" w:rsidRDefault="00A256B3" w:rsidP="00BD4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D4CE4" w:rsidRPr="00BD4CE4">
        <w:rPr>
          <w:rFonts w:ascii="Times New Roman" w:hAnsi="Times New Roman" w:cs="Times New Roman" w:hint="eastAsia"/>
          <w:sz w:val="24"/>
          <w:szCs w:val="24"/>
        </w:rPr>
        <w:t>RNA sequencing analysis of KEVs. (a) The length distribution of small RNAs in KEVs.</w:t>
      </w:r>
      <w:r w:rsidR="00BD4CE4"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="00BD4CE4" w:rsidRPr="00BD4CE4">
        <w:rPr>
          <w:rFonts w:ascii="Times New Roman" w:hAnsi="Times New Roman" w:cs="Times New Roman" w:hint="eastAsia"/>
          <w:sz w:val="24"/>
          <w:szCs w:val="24"/>
        </w:rPr>
        <w:t>The proportion of miRNA bases in KEVs</w:t>
      </w:r>
      <w:r w:rsidR="00BD4CE4">
        <w:rPr>
          <w:rFonts w:ascii="Times New Roman" w:hAnsi="Times New Roman" w:cs="Times New Roman" w:hint="eastAsia"/>
          <w:sz w:val="24"/>
          <w:szCs w:val="24"/>
        </w:rPr>
        <w:t xml:space="preserve">. (c) </w:t>
      </w:r>
      <w:r w:rsidR="00BD4CE4" w:rsidRPr="00BD4CE4">
        <w:rPr>
          <w:rFonts w:ascii="Times New Roman" w:hAnsi="Times New Roman" w:cs="Times New Roman" w:hint="eastAsia"/>
          <w:sz w:val="24"/>
          <w:szCs w:val="24"/>
        </w:rPr>
        <w:t>The top 20 of miRNA.</w:t>
      </w:r>
      <w:r w:rsidR="00BD4CE4">
        <w:rPr>
          <w:rFonts w:ascii="Times New Roman" w:hAnsi="Times New Roman" w:cs="Times New Roman" w:hint="eastAsia"/>
          <w:sz w:val="24"/>
          <w:szCs w:val="24"/>
        </w:rPr>
        <w:t xml:space="preserve"> (d) </w:t>
      </w:r>
      <w:r w:rsidR="00A91951" w:rsidRPr="00A91951">
        <w:rPr>
          <w:rFonts w:ascii="Times New Roman" w:hAnsi="Times New Roman" w:cs="Times New Roman" w:hint="eastAsia"/>
          <w:sz w:val="24"/>
          <w:szCs w:val="24"/>
        </w:rPr>
        <w:t>The distribution of LncRNA on the chromosome.</w:t>
      </w:r>
      <w:r w:rsidR="00A91951">
        <w:rPr>
          <w:rFonts w:ascii="Times New Roman" w:hAnsi="Times New Roman" w:cs="Times New Roman" w:hint="eastAsia"/>
          <w:sz w:val="24"/>
          <w:szCs w:val="24"/>
        </w:rPr>
        <w:t xml:space="preserve"> (e) </w:t>
      </w:r>
      <w:r w:rsidR="00A91951" w:rsidRPr="00A91951">
        <w:rPr>
          <w:rFonts w:ascii="Times New Roman" w:hAnsi="Times New Roman" w:cs="Times New Roman" w:hint="eastAsia"/>
          <w:sz w:val="24"/>
          <w:szCs w:val="24"/>
        </w:rPr>
        <w:t xml:space="preserve">The distribution of </w:t>
      </w:r>
      <w:r w:rsidR="00A91951">
        <w:rPr>
          <w:rFonts w:ascii="Times New Roman" w:hAnsi="Times New Roman" w:cs="Times New Roman" w:hint="eastAsia"/>
          <w:sz w:val="24"/>
          <w:szCs w:val="24"/>
        </w:rPr>
        <w:t>m</w:t>
      </w:r>
      <w:r w:rsidR="00A91951" w:rsidRPr="00A91951">
        <w:rPr>
          <w:rFonts w:ascii="Times New Roman" w:hAnsi="Times New Roman" w:cs="Times New Roman" w:hint="eastAsia"/>
          <w:sz w:val="24"/>
          <w:szCs w:val="24"/>
        </w:rPr>
        <w:t>RNA on the chromosome.</w:t>
      </w:r>
    </w:p>
    <w:p w14:paraId="1FFE2393" w14:textId="1E714FAC" w:rsidR="00E364E2" w:rsidRPr="00A91951" w:rsidRDefault="00A91951" w:rsidP="00A919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17B942" w14:textId="77777777" w:rsidR="00E364E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253D7A0" wp14:editId="6055AA8A">
            <wp:extent cx="5039995" cy="1821815"/>
            <wp:effectExtent l="0" t="0" r="0" b="6985"/>
            <wp:docPr id="14115167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6756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22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39651" w14:textId="0E6D75ED" w:rsidR="00E364E2" w:rsidRDefault="00000000" w:rsidP="00A91951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2" w:name="OLE_LINK22"/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 w:rsidR="00A91951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2"/>
      <w:r>
        <w:rPr>
          <w:rFonts w:ascii="Times New Roman" w:hAnsi="Times New Roman" w:cs="Times New Roman" w:hint="eastAsia"/>
          <w:sz w:val="24"/>
          <w:szCs w:val="24"/>
        </w:rPr>
        <w:t xml:space="preserve"> (a)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H NMR</w:t>
      </w:r>
      <w:r w:rsidR="00A91951" w:rsidRPr="00A919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91951">
        <w:rPr>
          <w:rFonts w:ascii="Times New Roman" w:hAnsi="Times New Roman" w:cs="Times New Roman" w:hint="eastAsia"/>
          <w:sz w:val="24"/>
          <w:szCs w:val="24"/>
        </w:rPr>
        <w:t>of CS, PVA and PVA-Linker-CS</w:t>
      </w:r>
      <w:r>
        <w:rPr>
          <w:rFonts w:ascii="Times New Roman" w:hAnsi="Times New Roman" w:cs="Times New Roman" w:hint="eastAsia"/>
          <w:sz w:val="24"/>
          <w:szCs w:val="24"/>
        </w:rPr>
        <w:t>. (b) FTIR of CS, PVA and PVA-Linker-CS.</w:t>
      </w:r>
    </w:p>
    <w:p w14:paraId="11C0F579" w14:textId="3295EF03" w:rsidR="00A91951" w:rsidRDefault="00A919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C10CF7" w14:textId="44E4AB7E" w:rsidR="003F30CB" w:rsidRDefault="003F30CB" w:rsidP="003F30C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93D55F" wp14:editId="23FAD1C0">
            <wp:extent cx="3240000" cy="2876445"/>
            <wp:effectExtent l="0" t="0" r="0" b="635"/>
            <wp:docPr id="7074756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75640" name="图片 70747564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8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4B0E" w14:textId="2A23F794" w:rsidR="003F30CB" w:rsidRDefault="003F30CB" w:rsidP="003F30CB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F30CB">
        <w:rPr>
          <w:rFonts w:ascii="Times New Roman" w:hAnsi="Times New Roman" w:cs="Times New Roman" w:hint="eastAsia"/>
          <w:sz w:val="24"/>
          <w:szCs w:val="24"/>
        </w:rPr>
        <w:t>(a)</w:t>
      </w:r>
      <w:r w:rsidRPr="003F30CB">
        <w:rPr>
          <w:rFonts w:ascii="Segoe UI" w:hAnsi="Segoe UI" w:cs="Segoe UI"/>
          <w:color w:val="2A2B2E"/>
          <w:szCs w:val="21"/>
          <w:shd w:val="clear" w:color="auto" w:fill="FFFFFF"/>
        </w:rPr>
        <w:t xml:space="preserve"> </w:t>
      </w:r>
      <w:r w:rsidRPr="003F30CB">
        <w:rPr>
          <w:rFonts w:ascii="Times New Roman" w:hAnsi="Times New Roman" w:cs="Times New Roman"/>
          <w:sz w:val="24"/>
          <w:szCs w:val="24"/>
        </w:rPr>
        <w:t>Swelling diagram of the hydrogel after 36 hours.</w:t>
      </w:r>
      <w:r w:rsidRPr="003F30CB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3F30CB">
        <w:rPr>
          <w:rFonts w:ascii="Segoe UI" w:hAnsi="Segoe UI" w:cs="Segoe UI"/>
          <w:color w:val="2A2B2E"/>
          <w:szCs w:val="21"/>
          <w:shd w:val="clear" w:color="auto" w:fill="FFFFFF"/>
        </w:rPr>
        <w:t xml:space="preserve"> </w:t>
      </w:r>
      <w:r w:rsidRPr="003F30CB">
        <w:rPr>
          <w:rFonts w:ascii="Times New Roman" w:hAnsi="Times New Roman" w:cs="Times New Roman"/>
          <w:sz w:val="24"/>
          <w:szCs w:val="24"/>
        </w:rPr>
        <w:t>Electron microscope images of the degradation of hydrogel under PBS and H</w:t>
      </w:r>
      <w:r w:rsidRPr="003F30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F30CB">
        <w:rPr>
          <w:rFonts w:ascii="Times New Roman" w:hAnsi="Times New Roman" w:cs="Times New Roman"/>
          <w:sz w:val="24"/>
          <w:szCs w:val="24"/>
        </w:rPr>
        <w:t>O</w:t>
      </w:r>
      <w:r w:rsidRPr="003F30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F30CB">
        <w:rPr>
          <w:rFonts w:ascii="Times New Roman" w:hAnsi="Times New Roman" w:cs="Times New Roman"/>
          <w:sz w:val="24"/>
          <w:szCs w:val="24"/>
        </w:rPr>
        <w:t xml:space="preserve"> (500μm).</w:t>
      </w:r>
    </w:p>
    <w:p w14:paraId="3CFF0794" w14:textId="3750AC5A" w:rsidR="003F30CB" w:rsidRDefault="003F30C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F0D9A7" w14:textId="77777777" w:rsidR="00A91951" w:rsidRDefault="00A91951" w:rsidP="00A9195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7AA6624" w14:textId="77777777" w:rsidR="00E364E2" w:rsidRDefault="0000000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C34540" wp14:editId="1B9192E9">
            <wp:extent cx="2447925" cy="1872615"/>
            <wp:effectExtent l="0" t="0" r="0" b="0"/>
            <wp:docPr id="19732538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53837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872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D15D9" w14:textId="11E3CC97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 w:rsidR="00FE3B09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007BE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Wound healing in mice on day 9.</w:t>
      </w:r>
    </w:p>
    <w:p w14:paraId="09DBE41A" w14:textId="77777777" w:rsidR="00E364E2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CA6ABF" w14:textId="77777777" w:rsidR="00E364E2" w:rsidRDefault="00E364E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E0F29" w14:textId="77777777" w:rsidR="00E364E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0AFA2A1D" wp14:editId="3A2E5F18">
            <wp:extent cx="4036695" cy="1850390"/>
            <wp:effectExtent l="0" t="0" r="1905" b="0"/>
            <wp:docPr id="9126042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04294" name="图片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4002" cy="185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84F57" w14:textId="5D595738" w:rsidR="00E364E2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 w:rsidR="00FE3B09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DHI calculation method.</w:t>
      </w:r>
    </w:p>
    <w:p w14:paraId="1518A655" w14:textId="77777777" w:rsidR="00E364E2" w:rsidRDefault="00E364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B1C9BE" w14:textId="77777777" w:rsidR="00E364E2" w:rsidRDefault="000000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19B2AE" w14:textId="28EA4026" w:rsidR="000D71E3" w:rsidRDefault="000D71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606255" wp14:editId="2F539FCF">
            <wp:extent cx="5040000" cy="2714895"/>
            <wp:effectExtent l="0" t="0" r="8255" b="9525"/>
            <wp:docPr id="1334730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1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DFC21" w14:textId="6B2C77BF" w:rsidR="000D71E3" w:rsidRPr="000D71E3" w:rsidRDefault="000D71E3" w:rsidP="000D71E3">
      <w:pPr>
        <w:widowControl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71E3">
        <w:rPr>
          <w:rFonts w:ascii="Times New Roman" w:hAnsi="Times New Roman" w:cs="Times New Roman" w:hint="eastAsia"/>
          <w:sz w:val="24"/>
          <w:szCs w:val="24"/>
        </w:rPr>
        <w:t xml:space="preserve"> (a)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D71E3">
        <w:rPr>
          <w:rFonts w:ascii="Times New Roman" w:hAnsi="Times New Roman" w:cs="Times New Roman"/>
          <w:sz w:val="24"/>
          <w:szCs w:val="24"/>
        </w:rPr>
        <w:t>The mass fraction distribution map of each base position in the sequence</w:t>
      </w:r>
      <w:r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Pr="000D71E3">
        <w:rPr>
          <w:rFonts w:ascii="Times New Roman" w:hAnsi="Times New Roman" w:cs="Times New Roman"/>
          <w:sz w:val="24"/>
          <w:szCs w:val="24"/>
        </w:rPr>
        <w:t>Sequence length distribution map</w:t>
      </w:r>
      <w:r>
        <w:rPr>
          <w:rFonts w:ascii="Times New Roman" w:hAnsi="Times New Roman" w:cs="Times New Roman" w:hint="eastAsia"/>
          <w:sz w:val="24"/>
          <w:szCs w:val="24"/>
        </w:rPr>
        <w:t xml:space="preserve">. (c) </w:t>
      </w:r>
      <w:r w:rsidRPr="000D71E3">
        <w:rPr>
          <w:rFonts w:ascii="Times New Roman" w:hAnsi="Times New Roman" w:cs="Times New Roman"/>
          <w:sz w:val="24"/>
          <w:szCs w:val="24"/>
        </w:rPr>
        <w:t>Percentage sequence number density distribution map</w:t>
      </w:r>
      <w:r w:rsidR="00007BEA">
        <w:rPr>
          <w:rFonts w:ascii="Times New Roman" w:hAnsi="Times New Roman" w:cs="Times New Roman" w:hint="eastAsia"/>
          <w:sz w:val="24"/>
          <w:szCs w:val="24"/>
        </w:rPr>
        <w:t>.</w:t>
      </w:r>
    </w:p>
    <w:p w14:paraId="3529DA5F" w14:textId="683C6EA3" w:rsidR="000D71E3" w:rsidRDefault="000D71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6D3FE6" w14:textId="60E39A06" w:rsidR="000D71E3" w:rsidRDefault="000D71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928AB6" wp14:editId="3D503635">
            <wp:extent cx="5040000" cy="3452710"/>
            <wp:effectExtent l="0" t="0" r="8255" b="0"/>
            <wp:docPr id="16353228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5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CF499" w14:textId="52A0DF7E" w:rsidR="00D30B66" w:rsidRDefault="000D71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30B66" w:rsidRPr="00D30B66">
        <w:rPr>
          <w:rFonts w:hint="eastAsia"/>
        </w:rPr>
        <w:t xml:space="preserve"> </w:t>
      </w:r>
      <w:r w:rsidR="00D30B66" w:rsidRPr="00D30B66">
        <w:rPr>
          <w:rFonts w:ascii="Times New Roman" w:hAnsi="Times New Roman" w:cs="Times New Roman"/>
          <w:sz w:val="24"/>
          <w:szCs w:val="24"/>
        </w:rPr>
        <w:t xml:space="preserve">(a) Pie charts of the distribution of Reads in exons, introns, and intergenomic regions in the </w:t>
      </w:r>
      <w:r w:rsidR="00D30B66">
        <w:rPr>
          <w:rFonts w:ascii="Times New Roman" w:hAnsi="Times New Roman" w:cs="Times New Roman" w:hint="eastAsia"/>
          <w:sz w:val="24"/>
          <w:szCs w:val="24"/>
        </w:rPr>
        <w:t>control</w:t>
      </w:r>
      <w:r w:rsidR="00D30B66" w:rsidRPr="00D30B66">
        <w:rPr>
          <w:rFonts w:ascii="Times New Roman" w:hAnsi="Times New Roman" w:cs="Times New Roman"/>
          <w:sz w:val="24"/>
          <w:szCs w:val="24"/>
        </w:rPr>
        <w:t xml:space="preserve"> group, as well as the homogeneity distribution of transcript coverage.</w:t>
      </w:r>
      <w:r w:rsidR="00D30B6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0B66" w:rsidRPr="00D30B66">
        <w:rPr>
          <w:rFonts w:ascii="Times New Roman" w:hAnsi="Times New Roman" w:cs="Times New Roman"/>
          <w:sz w:val="24"/>
          <w:szCs w:val="24"/>
        </w:rPr>
        <w:t>(b) Pie charts of the distribution of Reads from PVA-CS@HKEVs-Q in exons, introns, and spacer regions, as well as the homogeneity distribution of transcript coverage</w:t>
      </w:r>
      <w:r w:rsidR="00D30B66">
        <w:rPr>
          <w:rFonts w:ascii="Times New Roman" w:hAnsi="Times New Roman" w:cs="Times New Roman" w:hint="eastAsia"/>
          <w:sz w:val="24"/>
          <w:szCs w:val="24"/>
        </w:rPr>
        <w:t>.</w:t>
      </w:r>
    </w:p>
    <w:p w14:paraId="7E05F358" w14:textId="45556FC1" w:rsidR="00D30B66" w:rsidRDefault="00D30B6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AD1175" w14:textId="77777777" w:rsidR="00D30B66" w:rsidRPr="00D30B66" w:rsidRDefault="00D30B6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FE5D034" w14:textId="75537890" w:rsidR="00A92C81" w:rsidRDefault="00A92C81" w:rsidP="00A92C8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F1A0D8" wp14:editId="14AAE6CE">
            <wp:extent cx="3960000" cy="3467259"/>
            <wp:effectExtent l="0" t="0" r="2540" b="0"/>
            <wp:docPr id="620488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467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DA6BA1" w14:textId="35225362" w:rsidR="00A92C81" w:rsidRDefault="00A92C81" w:rsidP="00A92C8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3" w:name="OLE_LINK27"/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D30B6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3"/>
      <w:r w:rsidRPr="00A92C81">
        <w:rPr>
          <w:rFonts w:ascii="微软雅黑" w:eastAsia="微软雅黑" w:hAnsi="微软雅黑" w:hint="eastAsia"/>
          <w:color w:val="262626"/>
          <w:shd w:val="clear" w:color="auto" w:fill="FEFEFE"/>
        </w:rPr>
        <w:t xml:space="preserve"> </w:t>
      </w:r>
      <w:r w:rsidRPr="00A92C81">
        <w:rPr>
          <w:rFonts w:ascii="Times New Roman" w:hAnsi="Times New Roman" w:cs="Times New Roman"/>
          <w:sz w:val="24"/>
          <w:szCs w:val="24"/>
        </w:rPr>
        <w:t>Correlation coefficient clustering graph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A97AB35" w14:textId="478FCEE5" w:rsidR="00A92C81" w:rsidRDefault="00A92C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65E6CB" w14:textId="31002A1A" w:rsidR="00C108CD" w:rsidRDefault="00C108CD" w:rsidP="00C108C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D35C61" wp14:editId="587BBDF2">
            <wp:extent cx="5040000" cy="4833470"/>
            <wp:effectExtent l="0" t="0" r="8255" b="5715"/>
            <wp:docPr id="156390279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8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48D39" w14:textId="5A81DEDD" w:rsidR="00C108CD" w:rsidRPr="00C108CD" w:rsidRDefault="00C108CD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108CD">
        <w:rPr>
          <w:rFonts w:ascii="Times New Roman" w:hAnsi="Times New Roman" w:cs="Times New Roman" w:hint="eastAsia"/>
          <w:sz w:val="24"/>
          <w:szCs w:val="24"/>
        </w:rPr>
        <w:t>(a)</w:t>
      </w:r>
      <w:r w:rsidRPr="00C108CD">
        <w:rPr>
          <w:rFonts w:ascii="Segoe UI" w:eastAsia="宋体" w:hAnsi="Segoe UI" w:cs="Segoe UI"/>
          <w:color w:val="2A2B2E"/>
          <w:kern w:val="0"/>
          <w:szCs w:val="21"/>
        </w:rPr>
        <w:t xml:space="preserve"> </w:t>
      </w:r>
      <w:r w:rsidRPr="00C108CD">
        <w:rPr>
          <w:rFonts w:ascii="Times New Roman" w:hAnsi="Times New Roman" w:cs="Times New Roman"/>
          <w:sz w:val="24"/>
          <w:szCs w:val="24"/>
        </w:rPr>
        <w:t>Volcano map of control vs PVA</w:t>
      </w:r>
      <w:r>
        <w:rPr>
          <w:rFonts w:ascii="Times New Roman" w:hAnsi="Times New Roman" w:cs="Times New Roman" w:hint="eastAsia"/>
          <w:sz w:val="24"/>
          <w:szCs w:val="24"/>
        </w:rPr>
        <w:t>-CS</w:t>
      </w:r>
      <w:r w:rsidRPr="00C108CD">
        <w:rPr>
          <w:rFonts w:ascii="Times New Roman" w:hAnsi="Times New Roman" w:cs="Times New Roman"/>
          <w:sz w:val="24"/>
          <w:szCs w:val="24"/>
        </w:rPr>
        <w:t>@HA</w:t>
      </w:r>
      <w:r>
        <w:rPr>
          <w:rFonts w:ascii="Times New Roman" w:hAnsi="Times New Roman" w:cs="Times New Roman" w:hint="eastAsia"/>
          <w:sz w:val="24"/>
          <w:szCs w:val="24"/>
        </w:rPr>
        <w:t>. (b)</w:t>
      </w:r>
      <w:r w:rsidRPr="00C108CD">
        <w:rPr>
          <w:rFonts w:ascii="Times New Roman" w:hAnsi="Times New Roman" w:cs="Times New Roman"/>
          <w:sz w:val="24"/>
          <w:szCs w:val="24"/>
        </w:rPr>
        <w:t xml:space="preserve"> Volcano map of control vs PVA</w:t>
      </w:r>
      <w:r>
        <w:rPr>
          <w:rFonts w:ascii="Times New Roman" w:hAnsi="Times New Roman" w:cs="Times New Roman" w:hint="eastAsia"/>
          <w:sz w:val="24"/>
          <w:szCs w:val="24"/>
        </w:rPr>
        <w:t>-CS</w:t>
      </w:r>
      <w:r w:rsidRPr="00C108C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 w:hint="eastAsia"/>
          <w:sz w:val="24"/>
          <w:szCs w:val="24"/>
        </w:rPr>
        <w:t>HKEVs. (c)</w:t>
      </w:r>
      <w:r w:rsidRPr="00C108CD">
        <w:rPr>
          <w:rFonts w:ascii="Times New Roman" w:hAnsi="Times New Roman" w:cs="Times New Roman"/>
          <w:sz w:val="24"/>
          <w:szCs w:val="24"/>
        </w:rPr>
        <w:t xml:space="preserve"> Volcano map of </w:t>
      </w:r>
      <w:r>
        <w:rPr>
          <w:rFonts w:ascii="Times New Roman" w:hAnsi="Times New Roman" w:cs="Times New Roman" w:hint="eastAsia"/>
          <w:sz w:val="24"/>
          <w:szCs w:val="24"/>
        </w:rPr>
        <w:t>PVA-CS@HKEVs</w:t>
      </w:r>
      <w:r w:rsidRPr="00C108CD">
        <w:rPr>
          <w:rFonts w:ascii="Times New Roman" w:hAnsi="Times New Roman" w:cs="Times New Roman"/>
          <w:sz w:val="24"/>
          <w:szCs w:val="24"/>
        </w:rPr>
        <w:t xml:space="preserve"> vs PVA</w:t>
      </w:r>
      <w:r>
        <w:rPr>
          <w:rFonts w:ascii="Times New Roman" w:hAnsi="Times New Roman" w:cs="Times New Roman" w:hint="eastAsia"/>
          <w:sz w:val="24"/>
          <w:szCs w:val="24"/>
        </w:rPr>
        <w:t>-CS</w:t>
      </w:r>
      <w:r w:rsidRPr="00C108CD">
        <w:rPr>
          <w:rFonts w:ascii="Times New Roman" w:hAnsi="Times New Roman" w:cs="Times New Roman"/>
          <w:sz w:val="24"/>
          <w:szCs w:val="24"/>
        </w:rPr>
        <w:t>@HA</w:t>
      </w:r>
      <w:r>
        <w:rPr>
          <w:rFonts w:ascii="Times New Roman" w:hAnsi="Times New Roman" w:cs="Times New Roman" w:hint="eastAsia"/>
          <w:sz w:val="24"/>
          <w:szCs w:val="24"/>
        </w:rPr>
        <w:t xml:space="preserve">. (d) </w:t>
      </w:r>
      <w:r w:rsidRPr="00C108CD">
        <w:rPr>
          <w:rFonts w:ascii="Times New Roman" w:hAnsi="Times New Roman" w:cs="Times New Roman"/>
          <w:sz w:val="24"/>
          <w:szCs w:val="24"/>
        </w:rPr>
        <w:t xml:space="preserve">Volcano map of </w:t>
      </w:r>
      <w:r>
        <w:rPr>
          <w:rFonts w:ascii="Times New Roman" w:hAnsi="Times New Roman" w:cs="Times New Roman" w:hint="eastAsia"/>
          <w:sz w:val="24"/>
          <w:szCs w:val="24"/>
        </w:rPr>
        <w:t>PVA-CS@HKEVs-Q</w:t>
      </w:r>
      <w:r w:rsidRPr="00C108CD">
        <w:rPr>
          <w:rFonts w:ascii="Times New Roman" w:hAnsi="Times New Roman" w:cs="Times New Roman"/>
          <w:sz w:val="24"/>
          <w:szCs w:val="24"/>
        </w:rPr>
        <w:t xml:space="preserve"> vs PVA</w:t>
      </w:r>
      <w:r>
        <w:rPr>
          <w:rFonts w:ascii="Times New Roman" w:hAnsi="Times New Roman" w:cs="Times New Roman" w:hint="eastAsia"/>
          <w:sz w:val="24"/>
          <w:szCs w:val="24"/>
        </w:rPr>
        <w:t>-CS</w:t>
      </w:r>
      <w:r w:rsidRPr="00C108CD">
        <w:rPr>
          <w:rFonts w:ascii="Times New Roman" w:hAnsi="Times New Roman" w:cs="Times New Roman"/>
          <w:sz w:val="24"/>
          <w:szCs w:val="24"/>
        </w:rPr>
        <w:t>@H</w:t>
      </w:r>
      <w:r>
        <w:rPr>
          <w:rFonts w:ascii="Times New Roman" w:hAnsi="Times New Roman" w:cs="Times New Roman" w:hint="eastAsia"/>
          <w:sz w:val="24"/>
          <w:szCs w:val="24"/>
        </w:rPr>
        <w:t>KEVs.</w:t>
      </w:r>
    </w:p>
    <w:p w14:paraId="46F70AC8" w14:textId="0E656D9B" w:rsidR="00D17080" w:rsidRDefault="00C108C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DA5495" w14:textId="20022B08" w:rsidR="00A92C81" w:rsidRDefault="00D17080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13C7E5" wp14:editId="471B6B43">
            <wp:extent cx="5040000" cy="3087752"/>
            <wp:effectExtent l="0" t="0" r="8255" b="0"/>
            <wp:docPr id="12023068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87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3B33F" w14:textId="11AFB42F" w:rsidR="00771281" w:rsidRDefault="00D17080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71281" w:rsidRPr="00771281">
        <w:rPr>
          <w:rFonts w:hint="eastAsia"/>
        </w:rPr>
        <w:t xml:space="preserve"> </w:t>
      </w:r>
      <w:r w:rsidR="00771281" w:rsidRPr="00771281">
        <w:rPr>
          <w:rFonts w:ascii="Times New Roman" w:hAnsi="Times New Roman" w:cs="Times New Roman" w:hint="eastAsia"/>
          <w:sz w:val="24"/>
          <w:szCs w:val="24"/>
        </w:rPr>
        <w:t>GO and KEGG enrichment expression of PVA-CS@HA</w:t>
      </w:r>
      <w:r w:rsidR="00771281">
        <w:rPr>
          <w:rFonts w:ascii="Times New Roman" w:hAnsi="Times New Roman" w:cs="Times New Roman" w:hint="eastAsia"/>
          <w:sz w:val="24"/>
          <w:szCs w:val="24"/>
        </w:rPr>
        <w:t xml:space="preserve"> vs control</w:t>
      </w:r>
      <w:r w:rsidR="00771281" w:rsidRPr="00771281">
        <w:rPr>
          <w:rFonts w:ascii="Times New Roman" w:hAnsi="Times New Roman" w:cs="Times New Roman" w:hint="eastAsia"/>
          <w:sz w:val="24"/>
          <w:szCs w:val="24"/>
        </w:rPr>
        <w:t>.</w:t>
      </w:r>
      <w:r w:rsidR="00771281"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="00771281" w:rsidRPr="00771281">
        <w:rPr>
          <w:rFonts w:ascii="Times New Roman" w:hAnsi="Times New Roman" w:cs="Times New Roman"/>
          <w:sz w:val="24"/>
          <w:szCs w:val="24"/>
        </w:rPr>
        <w:t>GO enrichment bar chart.</w:t>
      </w:r>
      <w:r w:rsidR="00771281"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="00771281" w:rsidRPr="00771281">
        <w:rPr>
          <w:rFonts w:ascii="Times New Roman" w:hAnsi="Times New Roman" w:cs="Times New Roman"/>
          <w:sz w:val="24"/>
          <w:szCs w:val="24"/>
        </w:rPr>
        <w:t xml:space="preserve">GO top20 </w:t>
      </w:r>
      <w:r w:rsidR="00771281">
        <w:rPr>
          <w:rFonts w:ascii="Times New Roman" w:hAnsi="Times New Roman" w:cs="Times New Roman" w:hint="eastAsia"/>
          <w:sz w:val="24"/>
          <w:szCs w:val="24"/>
        </w:rPr>
        <w:t>e</w:t>
      </w:r>
      <w:r w:rsidR="00771281" w:rsidRPr="00771281">
        <w:rPr>
          <w:rFonts w:ascii="Times New Roman" w:hAnsi="Times New Roman" w:cs="Times New Roman"/>
          <w:sz w:val="24"/>
          <w:szCs w:val="24"/>
        </w:rPr>
        <w:t xml:space="preserve">nriched </w:t>
      </w:r>
      <w:r w:rsidR="00771281">
        <w:rPr>
          <w:rFonts w:ascii="Times New Roman" w:hAnsi="Times New Roman" w:cs="Times New Roman" w:hint="eastAsia"/>
          <w:sz w:val="24"/>
          <w:szCs w:val="24"/>
        </w:rPr>
        <w:t>b</w:t>
      </w:r>
      <w:r w:rsidR="00771281" w:rsidRPr="00771281">
        <w:rPr>
          <w:rFonts w:ascii="Times New Roman" w:hAnsi="Times New Roman" w:cs="Times New Roman"/>
          <w:sz w:val="24"/>
          <w:szCs w:val="24"/>
        </w:rPr>
        <w:t>ubble chart</w:t>
      </w:r>
      <w:r w:rsidR="00771281">
        <w:rPr>
          <w:rFonts w:ascii="Times New Roman" w:hAnsi="Times New Roman" w:cs="Times New Roman" w:hint="eastAsia"/>
          <w:sz w:val="24"/>
          <w:szCs w:val="24"/>
        </w:rPr>
        <w:t>. (c) KEGG</w:t>
      </w:r>
      <w:r w:rsidR="00771281" w:rsidRPr="00771281">
        <w:rPr>
          <w:rFonts w:ascii="Times New Roman" w:hAnsi="Times New Roman" w:cs="Times New Roman"/>
          <w:sz w:val="24"/>
          <w:szCs w:val="24"/>
        </w:rPr>
        <w:t xml:space="preserve"> enrichment bar chart.</w:t>
      </w:r>
      <w:r w:rsidR="00771281">
        <w:rPr>
          <w:rFonts w:ascii="Times New Roman" w:hAnsi="Times New Roman" w:cs="Times New Roman" w:hint="eastAsia"/>
          <w:sz w:val="24"/>
          <w:szCs w:val="24"/>
        </w:rPr>
        <w:t xml:space="preserve"> (d)</w:t>
      </w:r>
      <w:r w:rsidR="00771281" w:rsidRPr="00771281">
        <w:rPr>
          <w:rFonts w:ascii="Times New Roman" w:hAnsi="Times New Roman" w:cs="Times New Roman"/>
          <w:sz w:val="24"/>
          <w:szCs w:val="24"/>
        </w:rPr>
        <w:t xml:space="preserve"> </w:t>
      </w:r>
      <w:r w:rsidR="00771281">
        <w:rPr>
          <w:rFonts w:ascii="Times New Roman" w:hAnsi="Times New Roman" w:cs="Times New Roman" w:hint="eastAsia"/>
          <w:sz w:val="24"/>
          <w:szCs w:val="24"/>
        </w:rPr>
        <w:t>KEGG</w:t>
      </w:r>
      <w:r w:rsidR="00771281" w:rsidRPr="00771281">
        <w:rPr>
          <w:rFonts w:ascii="Times New Roman" w:hAnsi="Times New Roman" w:cs="Times New Roman"/>
          <w:sz w:val="24"/>
          <w:szCs w:val="24"/>
        </w:rPr>
        <w:t xml:space="preserve"> top20 </w:t>
      </w:r>
      <w:r w:rsidR="00771281">
        <w:rPr>
          <w:rFonts w:ascii="Times New Roman" w:hAnsi="Times New Roman" w:cs="Times New Roman" w:hint="eastAsia"/>
          <w:sz w:val="24"/>
          <w:szCs w:val="24"/>
        </w:rPr>
        <w:t>e</w:t>
      </w:r>
      <w:r w:rsidR="00771281" w:rsidRPr="00771281">
        <w:rPr>
          <w:rFonts w:ascii="Times New Roman" w:hAnsi="Times New Roman" w:cs="Times New Roman"/>
          <w:sz w:val="24"/>
          <w:szCs w:val="24"/>
        </w:rPr>
        <w:t xml:space="preserve">nriched </w:t>
      </w:r>
      <w:r w:rsidR="00771281">
        <w:rPr>
          <w:rFonts w:ascii="Times New Roman" w:hAnsi="Times New Roman" w:cs="Times New Roman" w:hint="eastAsia"/>
          <w:sz w:val="24"/>
          <w:szCs w:val="24"/>
        </w:rPr>
        <w:t>b</w:t>
      </w:r>
      <w:r w:rsidR="00771281" w:rsidRPr="00771281">
        <w:rPr>
          <w:rFonts w:ascii="Times New Roman" w:hAnsi="Times New Roman" w:cs="Times New Roman"/>
          <w:sz w:val="24"/>
          <w:szCs w:val="24"/>
        </w:rPr>
        <w:t>ubble chart</w:t>
      </w:r>
      <w:r w:rsidR="00771281">
        <w:rPr>
          <w:rFonts w:ascii="Times New Roman" w:hAnsi="Times New Roman" w:cs="Times New Roman" w:hint="eastAsia"/>
          <w:sz w:val="24"/>
          <w:szCs w:val="24"/>
        </w:rPr>
        <w:t>.</w:t>
      </w:r>
    </w:p>
    <w:p w14:paraId="302181A8" w14:textId="1077CB26" w:rsidR="00771281" w:rsidRDefault="007712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B91E5C" w14:textId="3C7C3954" w:rsidR="00771281" w:rsidRDefault="00771281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8840B" wp14:editId="5E35E64D">
            <wp:extent cx="5040000" cy="3094773"/>
            <wp:effectExtent l="0" t="0" r="8255" b="0"/>
            <wp:docPr id="2803398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94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3C457" w14:textId="5C7F2EC9" w:rsidR="00771281" w:rsidRDefault="00771281" w:rsidP="00C108CD">
      <w:pPr>
        <w:widowControl/>
        <w:rPr>
          <w:rFonts w:ascii="Times New Roman" w:hAnsi="Times New Roman" w:cs="Times New Roman"/>
          <w:sz w:val="24"/>
          <w:szCs w:val="24"/>
        </w:rPr>
      </w:pPr>
      <w:bookmarkStart w:id="4" w:name="_Hlk208072248"/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1281">
        <w:rPr>
          <w:rFonts w:hint="eastAsia"/>
        </w:rPr>
        <w:t xml:space="preserve"> </w:t>
      </w:r>
      <w:r w:rsidRPr="00771281">
        <w:rPr>
          <w:rFonts w:ascii="Times New Roman" w:hAnsi="Times New Roman" w:cs="Times New Roman" w:hint="eastAsia"/>
          <w:sz w:val="24"/>
          <w:szCs w:val="24"/>
        </w:rPr>
        <w:t>GO and KEGG enrichment expression of PVA-CS@H</w:t>
      </w:r>
      <w:r>
        <w:rPr>
          <w:rFonts w:ascii="Times New Roman" w:hAnsi="Times New Roman" w:cs="Times New Roman" w:hint="eastAsia"/>
          <w:sz w:val="24"/>
          <w:szCs w:val="24"/>
        </w:rPr>
        <w:t>KEVs vs control</w:t>
      </w:r>
      <w:r w:rsidRPr="00771281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Pr="00771281">
        <w:rPr>
          <w:rFonts w:ascii="Times New Roman" w:hAnsi="Times New Roman" w:cs="Times New Roman"/>
          <w:sz w:val="24"/>
          <w:szCs w:val="24"/>
        </w:rPr>
        <w:t>GO enrichment bar chart.</w:t>
      </w:r>
      <w:r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Pr="00771281">
        <w:rPr>
          <w:rFonts w:ascii="Times New Roman" w:hAnsi="Times New Roman" w:cs="Times New Roman"/>
          <w:sz w:val="24"/>
          <w:szCs w:val="24"/>
        </w:rPr>
        <w:t xml:space="preserve">GO top20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71281">
        <w:rPr>
          <w:rFonts w:ascii="Times New Roman" w:hAnsi="Times New Roman" w:cs="Times New Roman"/>
          <w:sz w:val="24"/>
          <w:szCs w:val="24"/>
        </w:rPr>
        <w:t xml:space="preserve">nriched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771281">
        <w:rPr>
          <w:rFonts w:ascii="Times New Roman" w:hAnsi="Times New Roman" w:cs="Times New Roman"/>
          <w:sz w:val="24"/>
          <w:szCs w:val="24"/>
        </w:rPr>
        <w:t>ubble chart</w:t>
      </w:r>
      <w:r>
        <w:rPr>
          <w:rFonts w:ascii="Times New Roman" w:hAnsi="Times New Roman" w:cs="Times New Roman" w:hint="eastAsia"/>
          <w:sz w:val="24"/>
          <w:szCs w:val="24"/>
        </w:rPr>
        <w:t>. (c) KEGG</w:t>
      </w:r>
      <w:r w:rsidRPr="00771281">
        <w:rPr>
          <w:rFonts w:ascii="Times New Roman" w:hAnsi="Times New Roman" w:cs="Times New Roman"/>
          <w:sz w:val="24"/>
          <w:szCs w:val="24"/>
        </w:rPr>
        <w:t xml:space="preserve"> enrichment bar chart.</w:t>
      </w:r>
      <w:r>
        <w:rPr>
          <w:rFonts w:ascii="Times New Roman" w:hAnsi="Times New Roman" w:cs="Times New Roman" w:hint="eastAsia"/>
          <w:sz w:val="24"/>
          <w:szCs w:val="24"/>
        </w:rPr>
        <w:t xml:space="preserve"> (d)</w:t>
      </w:r>
      <w:r w:rsidRPr="00771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KEGG</w:t>
      </w:r>
      <w:r w:rsidRPr="00771281">
        <w:rPr>
          <w:rFonts w:ascii="Times New Roman" w:hAnsi="Times New Roman" w:cs="Times New Roman"/>
          <w:sz w:val="24"/>
          <w:szCs w:val="24"/>
        </w:rPr>
        <w:t xml:space="preserve"> top20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71281">
        <w:rPr>
          <w:rFonts w:ascii="Times New Roman" w:hAnsi="Times New Roman" w:cs="Times New Roman"/>
          <w:sz w:val="24"/>
          <w:szCs w:val="24"/>
        </w:rPr>
        <w:t xml:space="preserve">nriched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771281">
        <w:rPr>
          <w:rFonts w:ascii="Times New Roman" w:hAnsi="Times New Roman" w:cs="Times New Roman"/>
          <w:sz w:val="24"/>
          <w:szCs w:val="24"/>
        </w:rPr>
        <w:t>ubble chart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4"/>
    <w:p w14:paraId="35F72B38" w14:textId="6641C953" w:rsidR="00771281" w:rsidRDefault="007712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D56805" w14:textId="2B1BD6CD" w:rsidR="00771281" w:rsidRDefault="00771281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36252A" wp14:editId="4A86B846">
            <wp:extent cx="5040000" cy="3053763"/>
            <wp:effectExtent l="0" t="0" r="8255" b="0"/>
            <wp:docPr id="15420396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53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DC228" w14:textId="0C1F9685" w:rsidR="00771281" w:rsidRDefault="00771281" w:rsidP="00771281">
      <w:pPr>
        <w:widowControl/>
        <w:rPr>
          <w:rFonts w:ascii="Times New Roman" w:hAnsi="Times New Roman" w:cs="Times New Roman"/>
          <w:sz w:val="24"/>
          <w:szCs w:val="24"/>
        </w:rPr>
      </w:pPr>
      <w:bookmarkStart w:id="5" w:name="_Hlk208072325"/>
      <w:r>
        <w:rPr>
          <w:rFonts w:ascii="Times New Roman" w:hAnsi="Times New Roman" w:cs="Times New Roman"/>
          <w:b/>
          <w:bCs/>
          <w:sz w:val="24"/>
          <w:szCs w:val="24"/>
        </w:rPr>
        <w:t>Fig.S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71281">
        <w:rPr>
          <w:rFonts w:hint="eastAsia"/>
        </w:rPr>
        <w:t xml:space="preserve"> </w:t>
      </w:r>
      <w:r w:rsidRPr="00771281">
        <w:rPr>
          <w:rFonts w:ascii="Times New Roman" w:hAnsi="Times New Roman" w:cs="Times New Roman" w:hint="eastAsia"/>
          <w:sz w:val="24"/>
          <w:szCs w:val="24"/>
        </w:rPr>
        <w:t>GO and KEGG enrichment expression of PVA-CS@H</w:t>
      </w:r>
      <w:r>
        <w:rPr>
          <w:rFonts w:ascii="Times New Roman" w:hAnsi="Times New Roman" w:cs="Times New Roman" w:hint="eastAsia"/>
          <w:sz w:val="24"/>
          <w:szCs w:val="24"/>
        </w:rPr>
        <w:t>KEVs vs PVA-CS@HA</w:t>
      </w:r>
      <w:r w:rsidRPr="00771281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(a) </w:t>
      </w:r>
      <w:r w:rsidRPr="00771281">
        <w:rPr>
          <w:rFonts w:ascii="Times New Roman" w:hAnsi="Times New Roman" w:cs="Times New Roman"/>
          <w:sz w:val="24"/>
          <w:szCs w:val="24"/>
        </w:rPr>
        <w:t>GO enrichment bar chart.</w:t>
      </w:r>
      <w:r>
        <w:rPr>
          <w:rFonts w:ascii="Times New Roman" w:hAnsi="Times New Roman" w:cs="Times New Roman" w:hint="eastAsia"/>
          <w:sz w:val="24"/>
          <w:szCs w:val="24"/>
        </w:rPr>
        <w:t xml:space="preserve"> (b) </w:t>
      </w:r>
      <w:r w:rsidRPr="00771281">
        <w:rPr>
          <w:rFonts w:ascii="Times New Roman" w:hAnsi="Times New Roman" w:cs="Times New Roman"/>
          <w:sz w:val="24"/>
          <w:szCs w:val="24"/>
        </w:rPr>
        <w:t xml:space="preserve">GO top20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71281">
        <w:rPr>
          <w:rFonts w:ascii="Times New Roman" w:hAnsi="Times New Roman" w:cs="Times New Roman"/>
          <w:sz w:val="24"/>
          <w:szCs w:val="24"/>
        </w:rPr>
        <w:t xml:space="preserve">nriched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771281">
        <w:rPr>
          <w:rFonts w:ascii="Times New Roman" w:hAnsi="Times New Roman" w:cs="Times New Roman"/>
          <w:sz w:val="24"/>
          <w:szCs w:val="24"/>
        </w:rPr>
        <w:t>ubble chart</w:t>
      </w:r>
      <w:r>
        <w:rPr>
          <w:rFonts w:ascii="Times New Roman" w:hAnsi="Times New Roman" w:cs="Times New Roman" w:hint="eastAsia"/>
          <w:sz w:val="24"/>
          <w:szCs w:val="24"/>
        </w:rPr>
        <w:t>. (c) KEGG</w:t>
      </w:r>
      <w:r w:rsidRPr="00771281">
        <w:rPr>
          <w:rFonts w:ascii="Times New Roman" w:hAnsi="Times New Roman" w:cs="Times New Roman"/>
          <w:sz w:val="24"/>
          <w:szCs w:val="24"/>
        </w:rPr>
        <w:t xml:space="preserve"> enrichment bar chart.</w:t>
      </w:r>
      <w:r>
        <w:rPr>
          <w:rFonts w:ascii="Times New Roman" w:hAnsi="Times New Roman" w:cs="Times New Roman" w:hint="eastAsia"/>
          <w:sz w:val="24"/>
          <w:szCs w:val="24"/>
        </w:rPr>
        <w:t xml:space="preserve"> (d)</w:t>
      </w:r>
      <w:r w:rsidRPr="00771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KEGG</w:t>
      </w:r>
      <w:r w:rsidRPr="00771281">
        <w:rPr>
          <w:rFonts w:ascii="Times New Roman" w:hAnsi="Times New Roman" w:cs="Times New Roman"/>
          <w:sz w:val="24"/>
          <w:szCs w:val="24"/>
        </w:rPr>
        <w:t xml:space="preserve"> top20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771281">
        <w:rPr>
          <w:rFonts w:ascii="Times New Roman" w:hAnsi="Times New Roman" w:cs="Times New Roman"/>
          <w:sz w:val="24"/>
          <w:szCs w:val="24"/>
        </w:rPr>
        <w:t xml:space="preserve">nriched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771281">
        <w:rPr>
          <w:rFonts w:ascii="Times New Roman" w:hAnsi="Times New Roman" w:cs="Times New Roman"/>
          <w:sz w:val="24"/>
          <w:szCs w:val="24"/>
        </w:rPr>
        <w:t>ubble chart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5"/>
    <w:p w14:paraId="2A56C489" w14:textId="32DE2F61" w:rsidR="00771281" w:rsidRDefault="007712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CC6585" w14:textId="4800F782" w:rsidR="00771281" w:rsidRDefault="00771281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150DDC" wp14:editId="4A2CA7E3">
            <wp:extent cx="5040000" cy="3033455"/>
            <wp:effectExtent l="0" t="0" r="8255" b="0"/>
            <wp:docPr id="11681711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3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D61F7" w14:textId="535E3552" w:rsidR="00771281" w:rsidRDefault="00771281" w:rsidP="00C108CD">
      <w:pPr>
        <w:widowControl/>
        <w:rPr>
          <w:rFonts w:ascii="Times New Roman" w:hAnsi="Times New Roman" w:cs="Times New Roman"/>
          <w:sz w:val="24"/>
          <w:szCs w:val="24"/>
        </w:rPr>
      </w:pPr>
      <w:r w:rsidRPr="00771281">
        <w:rPr>
          <w:rFonts w:ascii="Times New Roman" w:hAnsi="Times New Roman" w:cs="Times New Roman" w:hint="eastAsia"/>
          <w:b/>
          <w:bCs/>
          <w:sz w:val="24"/>
          <w:szCs w:val="24"/>
        </w:rPr>
        <w:t>Fig.S1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77128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771281">
        <w:rPr>
          <w:rFonts w:ascii="Times New Roman" w:hAnsi="Times New Roman" w:cs="Times New Roman" w:hint="eastAsia"/>
          <w:sz w:val="24"/>
          <w:szCs w:val="24"/>
        </w:rPr>
        <w:t>GO and KEGG enrichment expression of PVA-CS@HKEVs</w:t>
      </w:r>
      <w:r>
        <w:rPr>
          <w:rFonts w:ascii="Times New Roman" w:hAnsi="Times New Roman" w:cs="Times New Roman" w:hint="eastAsia"/>
          <w:sz w:val="24"/>
          <w:szCs w:val="24"/>
        </w:rPr>
        <w:t>-Q</w:t>
      </w:r>
      <w:r w:rsidRPr="00771281">
        <w:rPr>
          <w:rFonts w:ascii="Times New Roman" w:hAnsi="Times New Roman" w:cs="Times New Roman" w:hint="eastAsia"/>
          <w:sz w:val="24"/>
          <w:szCs w:val="24"/>
        </w:rPr>
        <w:t xml:space="preserve"> vs PVA-CS@H</w:t>
      </w:r>
      <w:r>
        <w:rPr>
          <w:rFonts w:ascii="Times New Roman" w:hAnsi="Times New Roman" w:cs="Times New Roman" w:hint="eastAsia"/>
          <w:sz w:val="24"/>
          <w:szCs w:val="24"/>
        </w:rPr>
        <w:t>KEVs</w:t>
      </w:r>
      <w:r w:rsidRPr="00771281">
        <w:rPr>
          <w:rFonts w:ascii="Times New Roman" w:hAnsi="Times New Roman" w:cs="Times New Roman" w:hint="eastAsia"/>
          <w:sz w:val="24"/>
          <w:szCs w:val="24"/>
        </w:rPr>
        <w:t>. (a) GO enrichment bar chart. (b) GO top20 enriched bubble chart. (c) KEGG enrichment bar chart. (d) KEGG top20 enriched bubble chart.</w:t>
      </w:r>
    </w:p>
    <w:p w14:paraId="06C9B40D" w14:textId="030CFCF1" w:rsidR="00771281" w:rsidRDefault="0077128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504F18" w14:textId="1901005F" w:rsidR="00771281" w:rsidRDefault="002748A6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E6D567" wp14:editId="40D977AD">
            <wp:extent cx="5040000" cy="3120818"/>
            <wp:effectExtent l="0" t="0" r="8255" b="3810"/>
            <wp:docPr id="2052701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20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9E1359" w14:textId="32113865" w:rsidR="00721426" w:rsidRDefault="002748A6" w:rsidP="00C108C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Fig.S19. </w:t>
      </w:r>
      <w:r w:rsidRPr="002748A6">
        <w:rPr>
          <w:rFonts w:ascii="Times New Roman" w:hAnsi="Times New Roman" w:cs="Times New Roman" w:hint="eastAsia"/>
          <w:sz w:val="24"/>
          <w:szCs w:val="24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748A6">
        <w:rPr>
          <w:rFonts w:ascii="Times New Roman" w:hAnsi="Times New Roman" w:cs="Times New Roman"/>
          <w:sz w:val="24"/>
          <w:szCs w:val="24"/>
        </w:rPr>
        <w:t>PVA-CS@HA vs control differentially expressed gene GSEA</w:t>
      </w:r>
      <w:r>
        <w:rPr>
          <w:rFonts w:ascii="Times New Roman" w:hAnsi="Times New Roman" w:cs="Times New Roman" w:hint="eastAsia"/>
          <w:sz w:val="24"/>
          <w:szCs w:val="24"/>
        </w:rPr>
        <w:t xml:space="preserve">. (b) </w:t>
      </w:r>
      <w:r w:rsidRPr="002748A6">
        <w:rPr>
          <w:rFonts w:ascii="Times New Roman" w:hAnsi="Times New Roman" w:cs="Times New Roman"/>
          <w:sz w:val="24"/>
          <w:szCs w:val="24"/>
        </w:rPr>
        <w:t>PVA-CS@H</w:t>
      </w:r>
      <w:r>
        <w:rPr>
          <w:rFonts w:ascii="Times New Roman" w:hAnsi="Times New Roman" w:cs="Times New Roman" w:hint="eastAsia"/>
          <w:sz w:val="24"/>
          <w:szCs w:val="24"/>
        </w:rPr>
        <w:t>KEVs</w:t>
      </w:r>
      <w:r w:rsidRPr="002748A6">
        <w:rPr>
          <w:rFonts w:ascii="Times New Roman" w:hAnsi="Times New Roman" w:cs="Times New Roman"/>
          <w:sz w:val="24"/>
          <w:szCs w:val="24"/>
        </w:rPr>
        <w:t xml:space="preserve"> vs control differentially expressed gene GSEA</w:t>
      </w:r>
      <w:r>
        <w:rPr>
          <w:rFonts w:ascii="Times New Roman" w:hAnsi="Times New Roman" w:cs="Times New Roman" w:hint="eastAsia"/>
          <w:sz w:val="24"/>
          <w:szCs w:val="24"/>
        </w:rPr>
        <w:t xml:space="preserve">. (c) </w:t>
      </w:r>
      <w:r w:rsidRPr="002748A6">
        <w:rPr>
          <w:rFonts w:ascii="Times New Roman" w:hAnsi="Times New Roman" w:cs="Times New Roman"/>
          <w:sz w:val="24"/>
          <w:szCs w:val="24"/>
        </w:rPr>
        <w:t>PVA-CS@H</w:t>
      </w:r>
      <w:r>
        <w:rPr>
          <w:rFonts w:ascii="Times New Roman" w:hAnsi="Times New Roman" w:cs="Times New Roman" w:hint="eastAsia"/>
          <w:sz w:val="24"/>
          <w:szCs w:val="24"/>
        </w:rPr>
        <w:t>KEVs</w:t>
      </w:r>
      <w:r w:rsidRPr="002748A6">
        <w:rPr>
          <w:rFonts w:ascii="Times New Roman" w:hAnsi="Times New Roman" w:cs="Times New Roman"/>
          <w:sz w:val="24"/>
          <w:szCs w:val="24"/>
        </w:rPr>
        <w:t xml:space="preserve"> vs </w:t>
      </w:r>
      <w:r>
        <w:rPr>
          <w:rFonts w:ascii="Times New Roman" w:hAnsi="Times New Roman" w:cs="Times New Roman" w:hint="eastAsia"/>
          <w:sz w:val="24"/>
          <w:szCs w:val="24"/>
        </w:rPr>
        <w:t>PVA-CS@HA</w:t>
      </w:r>
      <w:r w:rsidRPr="002748A6">
        <w:rPr>
          <w:rFonts w:ascii="Times New Roman" w:hAnsi="Times New Roman" w:cs="Times New Roman"/>
          <w:sz w:val="24"/>
          <w:szCs w:val="24"/>
        </w:rPr>
        <w:t xml:space="preserve"> differentially expressed gene GSEA</w:t>
      </w:r>
      <w:r>
        <w:rPr>
          <w:rFonts w:ascii="Times New Roman" w:hAnsi="Times New Roman" w:cs="Times New Roman" w:hint="eastAsia"/>
          <w:sz w:val="24"/>
          <w:szCs w:val="24"/>
        </w:rPr>
        <w:t xml:space="preserve">. (d) </w:t>
      </w:r>
      <w:r w:rsidRPr="002748A6">
        <w:rPr>
          <w:rFonts w:ascii="Times New Roman" w:hAnsi="Times New Roman" w:cs="Times New Roman"/>
          <w:sz w:val="24"/>
          <w:szCs w:val="24"/>
        </w:rPr>
        <w:t>PVA-CS@H</w:t>
      </w:r>
      <w:r>
        <w:rPr>
          <w:rFonts w:ascii="Times New Roman" w:hAnsi="Times New Roman" w:cs="Times New Roman" w:hint="eastAsia"/>
          <w:sz w:val="24"/>
          <w:szCs w:val="24"/>
        </w:rPr>
        <w:t>KEVs-Q</w:t>
      </w:r>
      <w:r w:rsidRPr="002748A6">
        <w:rPr>
          <w:rFonts w:ascii="Times New Roman" w:hAnsi="Times New Roman" w:cs="Times New Roman"/>
          <w:sz w:val="24"/>
          <w:szCs w:val="24"/>
        </w:rPr>
        <w:t xml:space="preserve"> vs </w:t>
      </w:r>
      <w:r>
        <w:rPr>
          <w:rFonts w:ascii="Times New Roman" w:hAnsi="Times New Roman" w:cs="Times New Roman" w:hint="eastAsia"/>
          <w:sz w:val="24"/>
          <w:szCs w:val="24"/>
        </w:rPr>
        <w:t>PVA-CS@HKEVs</w:t>
      </w:r>
      <w:r w:rsidRPr="002748A6">
        <w:rPr>
          <w:rFonts w:ascii="Times New Roman" w:hAnsi="Times New Roman" w:cs="Times New Roman"/>
          <w:sz w:val="24"/>
          <w:szCs w:val="24"/>
        </w:rPr>
        <w:t xml:space="preserve"> differentially expressed gene GSEA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FF167E5" w14:textId="4B2BABE9" w:rsidR="002748A6" w:rsidRPr="002748A6" w:rsidRDefault="002748A6" w:rsidP="002748A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956712" w14:textId="77777777" w:rsidR="00E364E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002FD47" wp14:editId="2DBB534D">
            <wp:extent cx="5039995" cy="4450715"/>
            <wp:effectExtent l="0" t="0" r="0" b="0"/>
            <wp:docPr id="541749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49008" name="图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451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010DA" w14:textId="3AFB340B" w:rsidR="00E364E2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Fig.S</w:t>
      </w:r>
      <w:r w:rsidR="00D30B66"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Safety evaluation of heart, liver, spleen, lungs and kidneys after PVA-CS@HKEVs and PVA-CS@HKEVs treatment, H&amp;E staining and immunofluorescence analysis of spleen were performed. (a) H&amp;E staining of heart, liver, spleen, lungs and kidneys. (b)</w:t>
      </w:r>
      <w:r>
        <w:rPr>
          <w:rFonts w:ascii="Times New Roman" w:hAnsi="Times New Roman" w:cs="Times New Roman"/>
          <w:sz w:val="24"/>
          <w:szCs w:val="24"/>
        </w:rPr>
        <w:t xml:space="preserve"> IL-6, TNF-α, VEGF, </w:t>
      </w:r>
      <w:r>
        <w:rPr>
          <w:rFonts w:ascii="Times New Roman" w:eastAsia="等线" w:hAnsi="Times New Roman" w:cs="Times New Roman"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>-SMA and CD206 immunostaining images.</w:t>
      </w:r>
      <w:r>
        <w:rPr>
          <w:rFonts w:ascii="Times New Roman" w:hAnsi="Times New Roman" w:cs="Times New Roman" w:hint="eastAsia"/>
          <w:sz w:val="24"/>
          <w:szCs w:val="24"/>
        </w:rPr>
        <w:t xml:space="preserve"> (c) </w:t>
      </w:r>
      <w:r>
        <w:rPr>
          <w:rFonts w:ascii="Times New Roman" w:hAnsi="Times New Roman" w:cs="Times New Roman"/>
          <w:sz w:val="24"/>
          <w:szCs w:val="24"/>
        </w:rPr>
        <w:t>Qualitative analysis</w:t>
      </w:r>
      <w:r>
        <w:rPr>
          <w:rFonts w:ascii="Times New Roman" w:hAnsi="Times New Roman" w:cs="Times New Roman" w:hint="eastAsia"/>
          <w:sz w:val="24"/>
          <w:szCs w:val="24"/>
        </w:rPr>
        <w:t xml:space="preserve"> data of related </w:t>
      </w:r>
      <w:r>
        <w:rPr>
          <w:rFonts w:ascii="Times New Roman" w:hAnsi="Times New Roman" w:cs="Times New Roman"/>
          <w:sz w:val="24"/>
          <w:szCs w:val="24"/>
        </w:rPr>
        <w:t>immunostaining images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5B369F0" w14:textId="77777777" w:rsidR="00E364E2" w:rsidRDefault="00E364E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6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B5B79" w14:textId="77777777" w:rsidR="009F159D" w:rsidRDefault="009F159D" w:rsidP="00F10EFD">
      <w:pPr>
        <w:rPr>
          <w:rFonts w:hint="eastAsia"/>
        </w:rPr>
      </w:pPr>
      <w:r>
        <w:separator/>
      </w:r>
    </w:p>
  </w:endnote>
  <w:endnote w:type="continuationSeparator" w:id="0">
    <w:p w14:paraId="686727FA" w14:textId="77777777" w:rsidR="009F159D" w:rsidRDefault="009F159D" w:rsidP="00F10E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0AE6" w14:textId="77777777" w:rsidR="009F159D" w:rsidRDefault="009F159D" w:rsidP="00F10EFD">
      <w:pPr>
        <w:rPr>
          <w:rFonts w:hint="eastAsia"/>
        </w:rPr>
      </w:pPr>
      <w:r>
        <w:separator/>
      </w:r>
    </w:p>
  </w:footnote>
  <w:footnote w:type="continuationSeparator" w:id="0">
    <w:p w14:paraId="750D122F" w14:textId="77777777" w:rsidR="009F159D" w:rsidRDefault="009F159D" w:rsidP="00F10E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44"/>
    <w:rsid w:val="00007BEA"/>
    <w:rsid w:val="00017F32"/>
    <w:rsid w:val="000A4479"/>
    <w:rsid w:val="000D71E3"/>
    <w:rsid w:val="000F2C83"/>
    <w:rsid w:val="00125FC8"/>
    <w:rsid w:val="001761F7"/>
    <w:rsid w:val="001A1F72"/>
    <w:rsid w:val="001D2FA6"/>
    <w:rsid w:val="001E786C"/>
    <w:rsid w:val="00203398"/>
    <w:rsid w:val="002225D1"/>
    <w:rsid w:val="00237BE7"/>
    <w:rsid w:val="002748A6"/>
    <w:rsid w:val="00344055"/>
    <w:rsid w:val="00371108"/>
    <w:rsid w:val="003C28EA"/>
    <w:rsid w:val="003D5870"/>
    <w:rsid w:val="003D6894"/>
    <w:rsid w:val="003F156E"/>
    <w:rsid w:val="003F30CB"/>
    <w:rsid w:val="00433E64"/>
    <w:rsid w:val="005404C5"/>
    <w:rsid w:val="00540EB3"/>
    <w:rsid w:val="00552913"/>
    <w:rsid w:val="00555668"/>
    <w:rsid w:val="00560641"/>
    <w:rsid w:val="00564241"/>
    <w:rsid w:val="0056729C"/>
    <w:rsid w:val="0058419D"/>
    <w:rsid w:val="00655775"/>
    <w:rsid w:val="006B6522"/>
    <w:rsid w:val="00721426"/>
    <w:rsid w:val="00721445"/>
    <w:rsid w:val="0072515B"/>
    <w:rsid w:val="00771281"/>
    <w:rsid w:val="00781C39"/>
    <w:rsid w:val="007A0004"/>
    <w:rsid w:val="007C7DEC"/>
    <w:rsid w:val="007F3E41"/>
    <w:rsid w:val="008B5F50"/>
    <w:rsid w:val="008D3259"/>
    <w:rsid w:val="008D7EF7"/>
    <w:rsid w:val="008F06BB"/>
    <w:rsid w:val="00932154"/>
    <w:rsid w:val="00953D63"/>
    <w:rsid w:val="00973146"/>
    <w:rsid w:val="009A729E"/>
    <w:rsid w:val="009F159D"/>
    <w:rsid w:val="00A256B3"/>
    <w:rsid w:val="00A6015D"/>
    <w:rsid w:val="00A67E43"/>
    <w:rsid w:val="00A91951"/>
    <w:rsid w:val="00A92C81"/>
    <w:rsid w:val="00AB7BC1"/>
    <w:rsid w:val="00B32DE6"/>
    <w:rsid w:val="00B43E47"/>
    <w:rsid w:val="00B4461C"/>
    <w:rsid w:val="00B521BA"/>
    <w:rsid w:val="00B81389"/>
    <w:rsid w:val="00BB2E7C"/>
    <w:rsid w:val="00BD4CE4"/>
    <w:rsid w:val="00C108CD"/>
    <w:rsid w:val="00C33958"/>
    <w:rsid w:val="00C542CE"/>
    <w:rsid w:val="00C87878"/>
    <w:rsid w:val="00C9101F"/>
    <w:rsid w:val="00D03F3F"/>
    <w:rsid w:val="00D17080"/>
    <w:rsid w:val="00D30B66"/>
    <w:rsid w:val="00D57D60"/>
    <w:rsid w:val="00D640AC"/>
    <w:rsid w:val="00DA1849"/>
    <w:rsid w:val="00DB661B"/>
    <w:rsid w:val="00DE24E5"/>
    <w:rsid w:val="00DF7787"/>
    <w:rsid w:val="00E124CC"/>
    <w:rsid w:val="00E364E2"/>
    <w:rsid w:val="00E853AD"/>
    <w:rsid w:val="00EA223C"/>
    <w:rsid w:val="00EE348D"/>
    <w:rsid w:val="00F10EFD"/>
    <w:rsid w:val="00F111DC"/>
    <w:rsid w:val="00F25765"/>
    <w:rsid w:val="00F44F44"/>
    <w:rsid w:val="00F5151E"/>
    <w:rsid w:val="00F92660"/>
    <w:rsid w:val="00F94A76"/>
    <w:rsid w:val="00FE3B09"/>
    <w:rsid w:val="74DC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F213E6"/>
  <w14:defaultImageDpi w14:val="32767"/>
  <w15:docId w15:val="{D8FD6314-5FE6-4D50-A70B-F1E58399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f1">
    <w:name w:val="Hyperlink"/>
    <w:basedOn w:val="a0"/>
    <w:uiPriority w:val="99"/>
    <w:unhideWhenUsed/>
    <w:rsid w:val="00D17080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17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21</Pages>
  <Words>585</Words>
  <Characters>3657</Characters>
  <Application>Microsoft Office Word</Application>
  <DocSecurity>0</DocSecurity>
  <Lines>57</Lines>
  <Paragraphs>10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晓林 潘</dc:creator>
  <cp:lastModifiedBy>608laboratory</cp:lastModifiedBy>
  <cp:revision>21</cp:revision>
  <dcterms:created xsi:type="dcterms:W3CDTF">2025-04-26T09:09:00Z</dcterms:created>
  <dcterms:modified xsi:type="dcterms:W3CDTF">2025-09-08T09:29:00Z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eyJoZGlkIjoiZDM4NzRjOGY5YzNmNjRjYmJmMjk1YTdiYjdkODEwZTAiLCJ1c2VySWQiOiI2NzE4MTIyMDMifQ==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6E2295A75749496285B5879302ABE7BA_12</vt:lpwstr>
  </property>
</Properties>
</file>