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AB4AD">
      <w:pPr>
        <w:pStyle w:val="45"/>
        <w:spacing w:line="360" w:lineRule="auto"/>
        <w:ind w:firstLine="0" w:firstLineChars="0"/>
        <w:jc w:val="both"/>
        <w:rPr>
          <w:rFonts w:eastAsiaTheme="minorEastAsia"/>
          <w:b/>
          <w:lang w:eastAsia="zh-CN"/>
        </w:rPr>
      </w:pPr>
      <w:bookmarkStart w:id="0" w:name="_Hlk213945394"/>
      <w:bookmarkEnd w:id="0"/>
      <w:bookmarkStart w:id="1" w:name="OLE_LINK3"/>
      <w:r>
        <w:rPr>
          <w:rFonts w:eastAsiaTheme="minorEastAsia"/>
          <w:b/>
          <w:lang w:eastAsia="zh-CN"/>
        </w:rPr>
        <w:t>A DNA nanoflowers-based microneedle patch for transdermal gene and photodynamic therapy against melanoma</w:t>
      </w:r>
      <w:bookmarkStart w:id="2" w:name="OLE_LINK2"/>
    </w:p>
    <w:bookmarkEnd w:id="1"/>
    <w:bookmarkEnd w:id="2"/>
    <w:p w14:paraId="05924391">
      <w:pPr>
        <w:pStyle w:val="34"/>
        <w:spacing w:line="360" w:lineRule="auto"/>
        <w:ind w:firstLine="0" w:firstLineChars="0"/>
        <w:rPr>
          <w:rFonts w:eastAsiaTheme="minorEastAsia"/>
          <w:i w:val="0"/>
          <w:iCs/>
          <w:lang w:eastAsia="zh-CN"/>
        </w:rPr>
      </w:pPr>
    </w:p>
    <w:p w14:paraId="5736C8BF">
      <w:pPr>
        <w:pStyle w:val="34"/>
        <w:spacing w:line="360" w:lineRule="auto"/>
        <w:ind w:firstLine="0" w:firstLineChars="0"/>
        <w:rPr>
          <w:rFonts w:eastAsiaTheme="minorEastAsia"/>
          <w:i w:val="0"/>
          <w:iCs/>
          <w:lang w:eastAsia="zh-CN"/>
        </w:rPr>
      </w:pPr>
      <w:r>
        <w:rPr>
          <w:rFonts w:eastAsiaTheme="minorEastAsia"/>
          <w:i w:val="0"/>
          <w:iCs/>
          <w:lang w:eastAsia="zh-CN"/>
        </w:rPr>
        <w:t>Yuchen Qi</w:t>
      </w:r>
      <w:r>
        <w:rPr>
          <w:rFonts w:eastAsiaTheme="minorEastAsia"/>
          <w:i w:val="0"/>
          <w:iCs/>
          <w:vertAlign w:val="superscript"/>
          <w:lang w:eastAsia="zh-CN"/>
        </w:rPr>
        <w:t>1</w:t>
      </w:r>
      <w:r>
        <w:rPr>
          <w:rFonts w:eastAsiaTheme="minorEastAsia"/>
          <w:vertAlign w:val="superscript"/>
          <w:lang w:eastAsia="zh-CN"/>
        </w:rPr>
        <w:t>#</w:t>
      </w:r>
      <w:r>
        <w:rPr>
          <w:rFonts w:eastAsiaTheme="minorEastAsia"/>
          <w:i w:val="0"/>
          <w:iCs/>
          <w:lang w:eastAsia="zh-CN"/>
        </w:rPr>
        <w:t>, Zhe Wang</w:t>
      </w:r>
      <w:r>
        <w:rPr>
          <w:rFonts w:eastAsiaTheme="minorEastAsia"/>
          <w:i w:val="0"/>
          <w:iCs/>
          <w:vertAlign w:val="superscript"/>
          <w:lang w:eastAsia="zh-CN"/>
        </w:rPr>
        <w:t>1</w:t>
      </w:r>
      <w:r>
        <w:rPr>
          <w:rFonts w:eastAsiaTheme="minorEastAsia"/>
          <w:vertAlign w:val="superscript"/>
          <w:lang w:eastAsia="zh-CN"/>
        </w:rPr>
        <w:t>#</w:t>
      </w:r>
      <w:r>
        <w:rPr>
          <w:rFonts w:eastAsiaTheme="minorEastAsia"/>
          <w:i w:val="0"/>
          <w:iCs/>
          <w:lang w:eastAsia="zh-CN"/>
        </w:rPr>
        <w:t>, Yaguang Wu</w:t>
      </w:r>
      <w:r>
        <w:rPr>
          <w:rFonts w:eastAsiaTheme="minorEastAsia"/>
          <w:i w:val="0"/>
          <w:iCs/>
          <w:vertAlign w:val="superscript"/>
          <w:lang w:eastAsia="zh-CN"/>
        </w:rPr>
        <w:t>2</w:t>
      </w:r>
      <w:r>
        <w:rPr>
          <w:rFonts w:eastAsiaTheme="minorEastAsia"/>
          <w:vertAlign w:val="superscript"/>
          <w:lang w:eastAsia="zh-CN"/>
        </w:rPr>
        <w:t>#</w:t>
      </w:r>
      <w:r>
        <w:rPr>
          <w:rFonts w:eastAsiaTheme="minorEastAsia"/>
          <w:i w:val="0"/>
          <w:iCs/>
          <w:lang w:eastAsia="zh-CN"/>
        </w:rPr>
        <w:t>, Qianqian Wu</w:t>
      </w:r>
      <w:r>
        <w:rPr>
          <w:rFonts w:eastAsiaTheme="minorEastAsia"/>
          <w:i w:val="0"/>
          <w:iCs/>
          <w:vertAlign w:val="superscript"/>
          <w:lang w:eastAsia="zh-CN"/>
        </w:rPr>
        <w:t>1</w:t>
      </w:r>
      <w:r>
        <w:rPr>
          <w:rFonts w:hint="eastAsia" w:eastAsiaTheme="minorEastAsia"/>
          <w:i w:val="0"/>
          <w:iCs/>
          <w:lang w:eastAsia="zh-CN"/>
        </w:rPr>
        <w:t xml:space="preserve">, </w:t>
      </w:r>
      <w:r>
        <w:rPr>
          <w:rFonts w:eastAsiaTheme="minorEastAsia"/>
          <w:i w:val="0"/>
          <w:iCs/>
          <w:lang w:eastAsia="zh-CN"/>
        </w:rPr>
        <w:t>Chong Li</w:t>
      </w:r>
      <w:r>
        <w:rPr>
          <w:rFonts w:eastAsiaTheme="minorEastAsia"/>
          <w:i w:val="0"/>
          <w:iCs/>
          <w:vertAlign w:val="superscript"/>
          <w:lang w:eastAsia="zh-CN"/>
        </w:rPr>
        <w:t>3</w:t>
      </w:r>
      <w:r>
        <w:rPr>
          <w:rFonts w:eastAsiaTheme="minorEastAsia"/>
          <w:i w:val="0"/>
          <w:iCs/>
          <w:lang w:eastAsia="zh-CN"/>
        </w:rPr>
        <w:t>, Hua Yu</w:t>
      </w:r>
      <w:r>
        <w:rPr>
          <w:rFonts w:eastAsiaTheme="minorEastAsia"/>
          <w:i w:val="0"/>
          <w:iCs/>
          <w:vertAlign w:val="superscript"/>
          <w:lang w:eastAsia="zh-CN"/>
        </w:rPr>
        <w:t>4</w:t>
      </w:r>
      <w:r>
        <w:rPr>
          <w:rFonts w:eastAsiaTheme="minorEastAsia"/>
          <w:i w:val="0"/>
          <w:iCs/>
          <w:lang w:eastAsia="zh-CN"/>
        </w:rPr>
        <w:t>, Tian Zeng</w:t>
      </w:r>
      <w:r>
        <w:rPr>
          <w:rFonts w:eastAsiaTheme="minorEastAsia"/>
          <w:i w:val="0"/>
          <w:iCs/>
          <w:vertAlign w:val="superscript"/>
          <w:lang w:eastAsia="zh-CN"/>
        </w:rPr>
        <w:t>1</w:t>
      </w:r>
      <w:r>
        <w:rPr>
          <w:rFonts w:eastAsiaTheme="minorEastAsia"/>
          <w:i w:val="0"/>
          <w:iCs/>
          <w:lang w:eastAsia="zh-CN"/>
        </w:rPr>
        <w:t>, Yunlong Wang</w:t>
      </w:r>
      <w:r>
        <w:rPr>
          <w:rFonts w:eastAsiaTheme="minorEastAsia"/>
          <w:i w:val="0"/>
          <w:iCs/>
          <w:vertAlign w:val="superscript"/>
          <w:lang w:eastAsia="zh-CN"/>
        </w:rPr>
        <w:t>1</w:t>
      </w:r>
      <w:r>
        <w:rPr>
          <w:rFonts w:eastAsiaTheme="minorEastAsia"/>
          <w:i w:val="0"/>
          <w:iCs/>
          <w:lang w:eastAsia="zh-CN"/>
        </w:rPr>
        <w:t>, Jianjun Li</w:t>
      </w:r>
      <w:r>
        <w:rPr>
          <w:rFonts w:eastAsiaTheme="minorEastAsia"/>
          <w:i w:val="0"/>
          <w:iCs/>
          <w:vertAlign w:val="superscript"/>
          <w:lang w:eastAsia="zh-CN"/>
        </w:rPr>
        <w:t>1</w:t>
      </w:r>
      <w:r>
        <w:rPr>
          <w:i w:val="0"/>
          <w:iCs/>
        </w:rPr>
        <w:t>*</w:t>
      </w:r>
      <w:r>
        <w:rPr>
          <w:rFonts w:eastAsiaTheme="minorEastAsia"/>
          <w:i w:val="0"/>
          <w:iCs/>
          <w:lang w:eastAsia="zh-CN"/>
        </w:rPr>
        <w:t>, Hang Qian</w:t>
      </w:r>
      <w:r>
        <w:rPr>
          <w:rFonts w:eastAsiaTheme="minorEastAsia"/>
          <w:i w:val="0"/>
          <w:iCs/>
          <w:vertAlign w:val="superscript"/>
          <w:lang w:eastAsia="zh-CN"/>
        </w:rPr>
        <w:t>5</w:t>
      </w:r>
      <w:r>
        <w:rPr>
          <w:i w:val="0"/>
          <w:iCs/>
        </w:rPr>
        <w:t>*</w:t>
      </w:r>
      <w:r>
        <w:rPr>
          <w:rFonts w:eastAsiaTheme="minorEastAsia"/>
          <w:i w:val="0"/>
          <w:iCs/>
          <w:lang w:eastAsia="zh-CN"/>
        </w:rPr>
        <w:t>, Xiang Zhao</w:t>
      </w:r>
      <w:r>
        <w:rPr>
          <w:rFonts w:eastAsiaTheme="minorEastAsia"/>
          <w:i w:val="0"/>
          <w:iCs/>
          <w:vertAlign w:val="superscript"/>
          <w:lang w:eastAsia="zh-CN"/>
        </w:rPr>
        <w:t>1</w:t>
      </w:r>
      <w:r>
        <w:rPr>
          <w:i w:val="0"/>
          <w:iCs/>
        </w:rPr>
        <w:t>*</w:t>
      </w:r>
    </w:p>
    <w:p w14:paraId="6BC034A1">
      <w:pPr>
        <w:ind w:firstLine="0" w:firstLineChars="0"/>
        <w:rPr>
          <w:rFonts w:eastAsiaTheme="minorEastAsia"/>
          <w:lang w:eastAsia="zh-CN"/>
        </w:rPr>
      </w:pPr>
    </w:p>
    <w:p w14:paraId="47AFFE3F">
      <w:pPr>
        <w:spacing w:line="360" w:lineRule="auto"/>
        <w:ind w:firstLine="0" w:firstLineChars="0"/>
        <w:jc w:val="both"/>
        <w:rPr>
          <w:rFonts w:eastAsiaTheme="minorEastAsia"/>
          <w:lang w:val="en-US" w:eastAsia="zh-CN"/>
        </w:rPr>
      </w:pPr>
      <w:r>
        <w:rPr>
          <w:rFonts w:eastAsiaTheme="minorEastAsia"/>
          <w:lang w:val="en-US" w:eastAsia="zh-CN"/>
        </w:rPr>
        <w:t>1. Y. Qi, Z. Wang, Q</w:t>
      </w:r>
      <w:r>
        <w:rPr>
          <w:rFonts w:hint="eastAsia" w:eastAsiaTheme="minorEastAsia"/>
          <w:lang w:val="en-US" w:eastAsia="zh-CN"/>
        </w:rPr>
        <w:t>.</w:t>
      </w:r>
      <w:r>
        <w:rPr>
          <w:rFonts w:eastAsiaTheme="minorEastAsia"/>
          <w:lang w:val="en-US" w:eastAsia="zh-CN"/>
        </w:rPr>
        <w:t xml:space="preserve"> Wu, </w:t>
      </w:r>
      <w:r>
        <w:rPr>
          <w:rFonts w:eastAsiaTheme="minorEastAsia"/>
          <w:iCs/>
          <w:lang w:eastAsia="zh-CN"/>
        </w:rPr>
        <w:t>Y</w:t>
      </w:r>
      <w:r>
        <w:rPr>
          <w:rFonts w:hint="eastAsia" w:eastAsiaTheme="minorEastAsia"/>
          <w:iCs/>
          <w:lang w:eastAsia="zh-CN"/>
        </w:rPr>
        <w:t>.</w:t>
      </w:r>
      <w:r>
        <w:rPr>
          <w:rFonts w:eastAsiaTheme="minorEastAsia"/>
          <w:iCs/>
          <w:lang w:eastAsia="zh-CN"/>
        </w:rPr>
        <w:t xml:space="preserve"> Wang</w:t>
      </w:r>
      <w:r>
        <w:rPr>
          <w:rFonts w:eastAsiaTheme="minorEastAsia"/>
          <w:iCs/>
          <w:lang w:val="en-US" w:eastAsia="zh-CN"/>
        </w:rPr>
        <w:t xml:space="preserve">, </w:t>
      </w:r>
      <w:r>
        <w:rPr>
          <w:rFonts w:eastAsiaTheme="minorEastAsia"/>
          <w:lang w:val="en-US" w:eastAsia="zh-CN"/>
        </w:rPr>
        <w:t xml:space="preserve">T. Zeng, Prof. J. Li, Prof. X. Zhao </w:t>
      </w:r>
    </w:p>
    <w:p w14:paraId="45B9972B">
      <w:pPr>
        <w:spacing w:line="360" w:lineRule="auto"/>
        <w:ind w:firstLine="0" w:firstLineChars="0"/>
        <w:jc w:val="both"/>
        <w:rPr>
          <w:rFonts w:eastAsiaTheme="minorEastAsia"/>
          <w:lang w:val="en-US" w:eastAsia="zh-CN"/>
        </w:rPr>
      </w:pPr>
      <w:r>
        <w:rPr>
          <w:rFonts w:eastAsiaTheme="minorEastAsia"/>
          <w:lang w:val="en-US" w:eastAsia="zh-CN"/>
        </w:rPr>
        <w:t>Department of Oncology, Southwest Hospital, Third Military Medical University (Army Medical University), Chongqing 400038, China.</w:t>
      </w:r>
    </w:p>
    <w:p w14:paraId="7BE9361E">
      <w:pPr>
        <w:spacing w:line="360" w:lineRule="auto"/>
        <w:ind w:firstLine="0" w:firstLineChars="0"/>
        <w:jc w:val="both"/>
        <w:rPr>
          <w:rFonts w:eastAsiaTheme="minorEastAsia"/>
          <w:lang w:val="en-US" w:eastAsia="zh-CN"/>
        </w:rPr>
      </w:pPr>
      <w:r>
        <w:rPr>
          <w:rFonts w:eastAsiaTheme="minorEastAsia"/>
          <w:lang w:val="en-US" w:eastAsia="zh-CN"/>
        </w:rPr>
        <w:t>E-mail: zhaoxiang@tmmu.edu.cn, jianjunli@tmmu.edu.cn</w:t>
      </w:r>
    </w:p>
    <w:p w14:paraId="3CCE1383">
      <w:pPr>
        <w:spacing w:line="360" w:lineRule="auto"/>
        <w:ind w:firstLine="0" w:firstLineChars="0"/>
        <w:jc w:val="both"/>
        <w:rPr>
          <w:rFonts w:eastAsiaTheme="minorEastAsia"/>
          <w:lang w:val="en-US" w:eastAsia="zh-CN"/>
        </w:rPr>
      </w:pPr>
      <w:r>
        <w:rPr>
          <w:rFonts w:eastAsiaTheme="minorEastAsia"/>
          <w:lang w:val="en-US" w:eastAsia="zh-CN"/>
        </w:rPr>
        <w:t>2. Dr. Y. Wu</w:t>
      </w:r>
    </w:p>
    <w:p w14:paraId="48CF50BF">
      <w:pPr>
        <w:spacing w:line="360" w:lineRule="auto"/>
        <w:ind w:firstLine="0" w:firstLineChars="0"/>
        <w:jc w:val="both"/>
        <w:rPr>
          <w:rFonts w:eastAsiaTheme="minorEastAsia"/>
          <w:lang w:val="en-US" w:eastAsia="zh-CN"/>
        </w:rPr>
      </w:pPr>
      <w:r>
        <w:rPr>
          <w:rFonts w:eastAsiaTheme="minorEastAsia"/>
          <w:lang w:val="en-US" w:eastAsia="zh-CN"/>
        </w:rPr>
        <w:t>Department of Dermatology, Southwest Hospital, Third Military Medical University (Army Medical University), Chongqing 400038, China.</w:t>
      </w:r>
    </w:p>
    <w:p w14:paraId="54598627">
      <w:pPr>
        <w:numPr>
          <w:ilvl w:val="0"/>
          <w:numId w:val="1"/>
        </w:numPr>
        <w:spacing w:line="360" w:lineRule="auto"/>
        <w:ind w:firstLine="0" w:firstLineChars="0"/>
        <w:jc w:val="both"/>
        <w:rPr>
          <w:rFonts w:eastAsiaTheme="minorEastAsia"/>
          <w:lang w:val="en-US" w:eastAsia="zh-CN"/>
        </w:rPr>
      </w:pPr>
      <w:r>
        <w:rPr>
          <w:rFonts w:eastAsiaTheme="minorEastAsia"/>
          <w:lang w:val="en-US" w:eastAsia="zh-CN"/>
        </w:rPr>
        <w:t>Prof. C. Li,</w:t>
      </w:r>
    </w:p>
    <w:p w14:paraId="097C6D0C">
      <w:pPr>
        <w:spacing w:line="360" w:lineRule="auto"/>
        <w:ind w:firstLine="0" w:firstLineChars="0"/>
        <w:jc w:val="both"/>
        <w:rPr>
          <w:rFonts w:eastAsiaTheme="minorEastAsia"/>
          <w:lang w:val="en-US" w:eastAsia="zh-CN"/>
        </w:rPr>
      </w:pPr>
      <w:r>
        <w:rPr>
          <w:rFonts w:eastAsiaTheme="minorEastAsia"/>
          <w:lang w:val="en-US" w:eastAsia="zh-CN"/>
        </w:rPr>
        <w:t xml:space="preserve">Department of Oncology, </w:t>
      </w:r>
    </w:p>
    <w:p w14:paraId="057027E6">
      <w:pPr>
        <w:spacing w:line="360" w:lineRule="auto"/>
        <w:ind w:firstLine="0" w:firstLineChars="0"/>
        <w:jc w:val="both"/>
        <w:rPr>
          <w:rFonts w:eastAsiaTheme="minorEastAsia"/>
          <w:lang w:val="en-US" w:eastAsia="zh-CN"/>
        </w:rPr>
      </w:pPr>
      <w:bookmarkStart w:id="3" w:name="OLE_LINK13"/>
      <w:r>
        <w:rPr>
          <w:rFonts w:eastAsiaTheme="minorEastAsia"/>
          <w:lang w:val="en-US" w:eastAsia="zh-CN"/>
        </w:rPr>
        <w:t>Dazu Hospital of Chongqing Medical University</w:t>
      </w:r>
      <w:bookmarkEnd w:id="3"/>
      <w:r>
        <w:rPr>
          <w:rFonts w:eastAsiaTheme="minorEastAsia"/>
          <w:lang w:val="en-US" w:eastAsia="zh-CN"/>
        </w:rPr>
        <w:t>, Chongqing 402360, China.</w:t>
      </w:r>
    </w:p>
    <w:p w14:paraId="3AB7616C">
      <w:pPr>
        <w:numPr>
          <w:ilvl w:val="0"/>
          <w:numId w:val="1"/>
        </w:numPr>
        <w:spacing w:line="360" w:lineRule="auto"/>
        <w:ind w:firstLine="0" w:firstLineChars="0"/>
        <w:jc w:val="both"/>
        <w:rPr>
          <w:rFonts w:eastAsiaTheme="minorEastAsia"/>
          <w:lang w:val="en-US" w:eastAsia="zh-CN"/>
        </w:rPr>
      </w:pPr>
      <w:r>
        <w:rPr>
          <w:rFonts w:eastAsiaTheme="minorEastAsia"/>
          <w:lang w:val="en-US" w:eastAsia="zh-CN"/>
        </w:rPr>
        <w:t>Dr. H. Yu,</w:t>
      </w:r>
    </w:p>
    <w:p w14:paraId="28212EEC">
      <w:pPr>
        <w:spacing w:line="360" w:lineRule="auto"/>
        <w:ind w:firstLine="0" w:firstLineChars="0"/>
        <w:jc w:val="both"/>
        <w:rPr>
          <w:rFonts w:eastAsiaTheme="minorEastAsia"/>
          <w:lang w:val="en-US" w:eastAsia="zh-CN"/>
        </w:rPr>
      </w:pPr>
      <w:r>
        <w:rPr>
          <w:rFonts w:eastAsiaTheme="minorEastAsia"/>
          <w:lang w:val="en-US" w:eastAsia="zh-CN"/>
        </w:rPr>
        <w:t>Department of General Surgery, Hospital of Chengdu University of Traditional Chinese Medicine, Chengdu, 610072, China.</w:t>
      </w:r>
    </w:p>
    <w:p w14:paraId="1C11E08A">
      <w:pPr>
        <w:numPr>
          <w:ilvl w:val="0"/>
          <w:numId w:val="1"/>
        </w:numPr>
        <w:spacing w:line="360" w:lineRule="auto"/>
        <w:ind w:firstLine="0" w:firstLineChars="0"/>
        <w:jc w:val="both"/>
        <w:rPr>
          <w:rFonts w:eastAsiaTheme="minorEastAsia"/>
          <w:lang w:val="en-US" w:eastAsia="zh-CN"/>
        </w:rPr>
      </w:pPr>
      <w:r>
        <w:rPr>
          <w:rFonts w:eastAsiaTheme="minorEastAsia"/>
          <w:lang w:val="en-US" w:eastAsia="zh-CN"/>
        </w:rPr>
        <w:t>Prof. H. Qian</w:t>
      </w:r>
    </w:p>
    <w:p w14:paraId="74DFC893">
      <w:pPr>
        <w:spacing w:line="360" w:lineRule="auto"/>
        <w:ind w:firstLine="0" w:firstLineChars="0"/>
        <w:jc w:val="both"/>
        <w:rPr>
          <w:rFonts w:eastAsiaTheme="minorEastAsia"/>
          <w:lang w:val="en-US" w:eastAsia="zh-CN"/>
        </w:rPr>
      </w:pPr>
      <w:r>
        <w:t>Department of Pulmonary and Critical Care Medicine, Xinqiao Hospital of Third Military Medical University (Army Medical University), 183 Xinqiao Street, Chongqing 400037, China</w:t>
      </w:r>
      <w:r>
        <w:rPr>
          <w:rFonts w:eastAsia="宋体"/>
          <w:lang w:val="en-US" w:eastAsia="zh-CN"/>
        </w:rPr>
        <w:t>.</w:t>
      </w:r>
    </w:p>
    <w:p w14:paraId="481EA351">
      <w:pPr>
        <w:spacing w:line="360" w:lineRule="auto"/>
        <w:ind w:firstLine="0" w:firstLineChars="0"/>
        <w:jc w:val="both"/>
        <w:rPr>
          <w:rFonts w:eastAsiaTheme="minorEastAsia"/>
          <w:lang w:val="en-US" w:eastAsia="zh-CN"/>
        </w:rPr>
      </w:pPr>
      <w:r>
        <w:rPr>
          <w:rFonts w:eastAsiaTheme="minorEastAsia"/>
          <w:lang w:val="en-US" w:eastAsia="zh-CN"/>
        </w:rPr>
        <w:t xml:space="preserve">E-mail: hqian@tmmu.edu.cn </w:t>
      </w:r>
    </w:p>
    <w:p w14:paraId="5A6C3443">
      <w:pPr>
        <w:pStyle w:val="44"/>
        <w:spacing w:before="120" w:beforeLines="50" w:after="120" w:afterLines="50" w:line="360" w:lineRule="auto"/>
        <w:ind w:firstLine="0" w:firstLineChars="0"/>
        <w:jc w:val="both"/>
        <w:rPr>
          <w:rFonts w:eastAsiaTheme="minorEastAsia"/>
          <w:b/>
          <w:lang w:val="de-DE" w:eastAsia="zh-CN"/>
        </w:rPr>
      </w:pPr>
    </w:p>
    <w:p w14:paraId="041DE661">
      <w:pPr>
        <w:pStyle w:val="44"/>
        <w:spacing w:before="120" w:beforeLines="50" w:after="120" w:afterLines="50" w:line="360" w:lineRule="auto"/>
        <w:ind w:firstLine="0" w:firstLineChars="0"/>
        <w:jc w:val="both"/>
        <w:rPr>
          <w:rFonts w:eastAsiaTheme="minorEastAsia"/>
          <w:b/>
          <w:lang w:val="de-DE" w:eastAsia="zh-CN"/>
        </w:rPr>
      </w:pPr>
      <w:r>
        <w:rPr>
          <w:rFonts w:eastAsiaTheme="minorEastAsia"/>
          <w:b/>
          <w:lang w:val="de-DE" w:eastAsia="zh-CN"/>
        </w:rPr>
        <w:t xml:space="preserve">Materials and </w:t>
      </w:r>
      <w:r>
        <w:rPr>
          <w:rFonts w:eastAsiaTheme="minorEastAsia"/>
          <w:b/>
          <w:lang w:eastAsia="zh-CN"/>
        </w:rPr>
        <w:t>methods</w:t>
      </w:r>
    </w:p>
    <w:p w14:paraId="0A1BCA45">
      <w:pPr>
        <w:spacing w:line="360" w:lineRule="auto"/>
        <w:ind w:firstLine="240" w:firstLineChars="100"/>
        <w:jc w:val="both"/>
        <w:rPr>
          <w:rFonts w:eastAsiaTheme="minorEastAsia"/>
          <w:lang w:eastAsia="zh-CN"/>
        </w:rPr>
      </w:pPr>
      <w:r>
        <w:rPr>
          <w:lang w:eastAsia="zh-CN"/>
        </w:rPr>
        <w:t xml:space="preserve">The DNA sequences (detailed sequences </w:t>
      </w:r>
      <w:bookmarkStart w:id="17" w:name="_GoBack"/>
      <w:bookmarkEnd w:id="17"/>
      <w:r>
        <w:rPr>
          <w:lang w:eastAsia="zh-CN"/>
        </w:rPr>
        <w:t>provided below), deoxyribonucleoside triphosphates (dNTPs), Phi29 DNA polymerase, and T4 ligase were purchased from Sangon Biotech (Shanghai, China). Hemin and ZnPc were procured from Aladdin (Shanghai, China). Hyaluronic acid methacryloyl (HAMA), polyvinyl alcohol (PVA), and the microneedle mold were purchased from the EFL brand company (Jiangsu, China). Apoptosis assay kits, CCK-8 assay k</w:t>
      </w:r>
      <w:r>
        <w:t>its, and 2′,7′-Dich</w:t>
      </w:r>
      <w:r>
        <w:rPr>
          <w:lang w:eastAsia="zh-CN"/>
        </w:rPr>
        <w:t xml:space="preserve">lorofluorescin diacetate (DCFH-DA) were acquired from </w:t>
      </w:r>
      <w:bookmarkStart w:id="4" w:name="OLE_LINK4"/>
      <w:r>
        <w:rPr>
          <w:lang w:eastAsia="zh-CN"/>
        </w:rPr>
        <w:t>Beyotime Biotechnology</w:t>
      </w:r>
      <w:bookmarkEnd w:id="4"/>
      <w:r>
        <w:rPr>
          <w:lang w:eastAsia="zh-CN"/>
        </w:rPr>
        <w:t xml:space="preserve"> (China). Antibodies used for flow cytometry in this study were obtained from </w:t>
      </w:r>
      <w:bookmarkStart w:id="5" w:name="OLE_LINK8"/>
      <w:r>
        <w:rPr>
          <w:lang w:eastAsia="zh-CN"/>
        </w:rPr>
        <w:t>BD Biosciences</w:t>
      </w:r>
      <w:bookmarkEnd w:id="5"/>
      <w:r>
        <w:rPr>
          <w:rFonts w:hint="eastAsia" w:eastAsiaTheme="minorEastAsia"/>
          <w:lang w:eastAsia="zh-CN"/>
        </w:rPr>
        <w:t xml:space="preserve"> </w:t>
      </w:r>
      <w:r>
        <w:rPr>
          <w:lang w:val="en-US" w:eastAsia="zh-CN"/>
        </w:rPr>
        <w:t>(USA)</w:t>
      </w:r>
      <w:r>
        <w:rPr>
          <w:lang w:eastAsia="zh-CN"/>
        </w:rPr>
        <w:t>. Penicillin-streptomycin solution, 0.25% (w/v) trypsin solution, and 4′,6-diamidino-2-phenylindole (DAPI) were supplied by Solarbio Co., Ltd (Beijing, China). Dulbecco's modified Eagle's medium (DMEM) and fetal bovine serum (FBS) were sourced from</w:t>
      </w:r>
      <w:r>
        <w:rPr>
          <w:lang w:val="en-US" w:eastAsia="zh-CN"/>
        </w:rPr>
        <w:t xml:space="preserve"> </w:t>
      </w:r>
      <w:r>
        <w:rPr>
          <w:lang w:eastAsia="zh-CN"/>
        </w:rPr>
        <w:t>Corning</w:t>
      </w:r>
      <w:r>
        <w:rPr>
          <w:rFonts w:hint="eastAsia" w:eastAsiaTheme="minorEastAsia"/>
          <w:lang w:eastAsia="zh-CN"/>
        </w:rPr>
        <w:t xml:space="preserve"> </w:t>
      </w:r>
      <w:r>
        <w:rPr>
          <w:lang w:val="en-US" w:eastAsia="zh-CN"/>
        </w:rPr>
        <w:t>(USA)</w:t>
      </w:r>
      <w:r>
        <w:rPr>
          <w:lang w:eastAsia="zh-CN"/>
        </w:rPr>
        <w:t>.</w:t>
      </w:r>
    </w:p>
    <w:p w14:paraId="672B60ED">
      <w:pPr>
        <w:spacing w:before="120" w:beforeLines="50" w:after="120" w:afterLines="50" w:line="360" w:lineRule="auto"/>
        <w:ind w:firstLine="0" w:firstLineChars="0"/>
        <w:jc w:val="both"/>
        <w:rPr>
          <w:rFonts w:eastAsiaTheme="minorEastAsia"/>
          <w:b/>
          <w:bCs/>
          <w:lang w:val="en-US" w:eastAsia="zh-CN"/>
        </w:rPr>
      </w:pPr>
      <w:r>
        <w:rPr>
          <w:rFonts w:eastAsiaTheme="minorEastAsia"/>
          <w:b/>
          <w:bCs/>
          <w:lang w:val="en-US" w:eastAsia="zh-CN"/>
        </w:rPr>
        <w:t>Cell culture</w:t>
      </w:r>
    </w:p>
    <w:p w14:paraId="06325638">
      <w:pPr>
        <w:spacing w:line="360" w:lineRule="auto"/>
        <w:ind w:firstLine="240" w:firstLineChars="100"/>
        <w:jc w:val="both"/>
        <w:rPr>
          <w:rFonts w:eastAsiaTheme="minorEastAsia"/>
          <w:lang w:eastAsia="zh-CN"/>
        </w:rPr>
      </w:pPr>
      <w:r>
        <w:rPr>
          <w:rFonts w:eastAsiaTheme="minorEastAsia"/>
          <w:lang w:eastAsia="zh-CN"/>
        </w:rPr>
        <w:t>L929 (mouse fibroblast cell line) and B16F10 cells (mouse melanoma cell line) were selected for cell experiments.</w:t>
      </w:r>
      <w:bookmarkStart w:id="6" w:name="OLE_LINK14"/>
      <w:r>
        <w:rPr>
          <w:rFonts w:eastAsiaTheme="minorEastAsia"/>
          <w:lang w:eastAsia="zh-CN"/>
        </w:rPr>
        <w:t xml:space="preserve"> B16F10 cells were seeded in RPMI 1640 medium supplemented with 10% FBS, penicillin (100 units mL</w:t>
      </w:r>
      <w:r>
        <w:rPr>
          <w:rFonts w:eastAsiaTheme="minorEastAsia"/>
          <w:vertAlign w:val="superscript"/>
          <w:lang w:eastAsia="zh-CN"/>
        </w:rPr>
        <w:t>−1</w:t>
      </w:r>
      <w:r>
        <w:rPr>
          <w:rFonts w:eastAsiaTheme="minorEastAsia"/>
          <w:lang w:eastAsia="zh-CN"/>
        </w:rPr>
        <w:t>) and streptomycin (100 μg mL</w:t>
      </w:r>
      <w:r>
        <w:rPr>
          <w:rFonts w:eastAsiaTheme="minorEastAsia"/>
          <w:vertAlign w:val="superscript"/>
          <w:lang w:eastAsia="zh-CN"/>
        </w:rPr>
        <w:t>−1</w:t>
      </w:r>
      <w:r>
        <w:rPr>
          <w:rFonts w:eastAsiaTheme="minorEastAsia"/>
          <w:lang w:eastAsia="zh-CN"/>
        </w:rPr>
        <w:t>) in 5% CO</w:t>
      </w:r>
      <w:r>
        <w:rPr>
          <w:rFonts w:eastAsiaTheme="minorEastAsia"/>
          <w:vertAlign w:val="subscript"/>
          <w:lang w:eastAsia="zh-CN"/>
        </w:rPr>
        <w:t>2</w:t>
      </w:r>
      <w:r>
        <w:rPr>
          <w:rFonts w:eastAsiaTheme="minorEastAsia"/>
          <w:lang w:eastAsia="zh-CN"/>
        </w:rPr>
        <w:t xml:space="preserve"> at 37 ℃. </w:t>
      </w:r>
      <w:bookmarkEnd w:id="6"/>
      <w:r>
        <w:rPr>
          <w:rFonts w:eastAsiaTheme="minorEastAsia"/>
          <w:lang w:eastAsia="zh-CN"/>
        </w:rPr>
        <w:t>L929 cells were seeded in DMEM medium supplemented with 10% FBS, penicillin (100 units</w:t>
      </w:r>
      <w:r>
        <w:rPr>
          <w:rFonts w:eastAsiaTheme="minorEastAsia"/>
          <w:lang w:val="en-US" w:eastAsia="zh-CN"/>
        </w:rPr>
        <w:t xml:space="preserve"> </w:t>
      </w:r>
      <w:r>
        <w:rPr>
          <w:rFonts w:eastAsiaTheme="minorEastAsia"/>
          <w:lang w:eastAsia="zh-CN"/>
        </w:rPr>
        <w:t>mL</w:t>
      </w:r>
      <w:r>
        <w:rPr>
          <w:rFonts w:eastAsiaTheme="minorEastAsia"/>
          <w:vertAlign w:val="superscript"/>
          <w:lang w:eastAsia="zh-CN"/>
        </w:rPr>
        <w:t>−1</w:t>
      </w:r>
      <w:r>
        <w:rPr>
          <w:rFonts w:eastAsiaTheme="minorEastAsia"/>
          <w:lang w:eastAsia="zh-CN"/>
        </w:rPr>
        <w:t>) and streptomycin (100 μg mL</w:t>
      </w:r>
      <w:r>
        <w:rPr>
          <w:rFonts w:eastAsiaTheme="minorEastAsia"/>
          <w:vertAlign w:val="superscript"/>
          <w:lang w:eastAsia="zh-CN"/>
        </w:rPr>
        <w:t>−1</w:t>
      </w:r>
      <w:r>
        <w:rPr>
          <w:rFonts w:eastAsiaTheme="minorEastAsia"/>
          <w:lang w:eastAsia="zh-CN"/>
        </w:rPr>
        <w:t>) in 5% CO</w:t>
      </w:r>
      <w:r>
        <w:rPr>
          <w:rFonts w:eastAsiaTheme="minorEastAsia"/>
          <w:vertAlign w:val="subscript"/>
          <w:lang w:eastAsia="zh-CN"/>
        </w:rPr>
        <w:t>2</w:t>
      </w:r>
      <w:r>
        <w:rPr>
          <w:rFonts w:eastAsiaTheme="minorEastAsia"/>
          <w:lang w:eastAsia="zh-CN"/>
        </w:rPr>
        <w:t xml:space="preserve"> at 37 ℃.</w:t>
      </w:r>
    </w:p>
    <w:p w14:paraId="542247F5">
      <w:pPr>
        <w:spacing w:before="120" w:beforeLines="50" w:after="120" w:afterLines="50" w:line="360" w:lineRule="auto"/>
        <w:ind w:firstLine="0" w:firstLineChars="0"/>
        <w:jc w:val="both"/>
        <w:rPr>
          <w:rFonts w:eastAsiaTheme="minorEastAsia"/>
          <w:b/>
          <w:bCs/>
          <w:lang w:val="en-US" w:eastAsia="zh-CN"/>
        </w:rPr>
      </w:pPr>
      <w:r>
        <w:rPr>
          <w:rFonts w:eastAsiaTheme="minorEastAsia"/>
          <w:b/>
          <w:bCs/>
          <w:lang w:val="en-US" w:eastAsia="zh-CN"/>
        </w:rPr>
        <w:t>Preparation of DFs</w:t>
      </w:r>
    </w:p>
    <w:p w14:paraId="422F62E3">
      <w:pPr>
        <w:spacing w:line="360" w:lineRule="auto"/>
        <w:ind w:firstLine="240" w:firstLineChars="100"/>
        <w:jc w:val="both"/>
        <w:rPr>
          <w:rFonts w:eastAsiaTheme="minorEastAsia"/>
          <w:lang w:val="en-US" w:eastAsia="zh-CN"/>
        </w:rPr>
      </w:pPr>
      <w:bookmarkStart w:id="7" w:name="OLE_LINK6"/>
      <w:r>
        <w:rPr>
          <w:rFonts w:eastAsiaTheme="minorEastAsia"/>
          <w:lang w:val="en-US" w:eastAsia="zh-CN"/>
        </w:rPr>
        <w:t>The experimental protocol by Yang et al (</w:t>
      </w:r>
      <w:r>
        <w:rPr>
          <w:rFonts w:eastAsiaTheme="minorEastAsia"/>
          <w:i/>
          <w:iCs/>
          <w:lang w:val="en-US" w:eastAsia="zh-CN"/>
        </w:rPr>
        <w:t xml:space="preserve">Nat. Protoc. </w:t>
      </w:r>
      <w:r>
        <w:rPr>
          <w:rFonts w:eastAsiaTheme="minorEastAsia"/>
          <w:lang w:val="en-US" w:eastAsia="zh-CN"/>
        </w:rPr>
        <w:t xml:space="preserve">16, 5460-5483 (2021)). was consulted for the synthesis of DNA nanoflowers (DFs). In brief, the process involved mixing T4 ligase buffer, template, and primers, followed by incubation at 95 °C for 10 minutes, then cooling to room temperature. Subsequent addition of T4 ligase and incubation at 25 °C for 4 hours facilitated the formation of the circular template. The circular template (50 nM), along with dNTP </w:t>
      </w:r>
      <w:r>
        <w:rPr>
          <w:rFonts w:eastAsiaTheme="minorEastAsia"/>
          <w:lang w:eastAsia="zh-CN"/>
        </w:rPr>
        <w:t>(1</w:t>
      </w:r>
      <w:r>
        <w:rPr>
          <w:rFonts w:eastAsiaTheme="minorEastAsia"/>
          <w:lang w:val="en-US" w:eastAsia="zh-CN"/>
        </w:rPr>
        <w:t xml:space="preserve"> </w:t>
      </w:r>
      <w:r>
        <w:rPr>
          <w:rFonts w:eastAsiaTheme="minorEastAsia"/>
          <w:lang w:eastAsia="zh-CN"/>
        </w:rPr>
        <w:t>mM)</w:t>
      </w:r>
      <w:r>
        <w:rPr>
          <w:rFonts w:eastAsiaTheme="minorEastAsia"/>
          <w:lang w:val="en-US" w:eastAsia="zh-CN"/>
        </w:rPr>
        <w:t xml:space="preserve">, BSA </w:t>
      </w:r>
      <w:r>
        <w:rPr>
          <w:rFonts w:eastAsiaTheme="minorEastAsia"/>
          <w:lang w:eastAsia="zh-CN"/>
        </w:rPr>
        <w:t>(0.2</w:t>
      </w:r>
      <w:r>
        <w:rPr>
          <w:rFonts w:eastAsiaTheme="minorEastAsia"/>
          <w:lang w:val="en-US" w:eastAsia="zh-CN"/>
        </w:rPr>
        <w:t xml:space="preserve"> </w:t>
      </w:r>
      <w:r>
        <w:rPr>
          <w:rFonts w:eastAsiaTheme="minorEastAsia"/>
          <w:lang w:eastAsia="zh-CN"/>
        </w:rPr>
        <w:t>mg</w:t>
      </w:r>
      <w:r>
        <w:rPr>
          <w:rFonts w:eastAsiaTheme="minorEastAsia"/>
          <w:lang w:val="en-US" w:eastAsia="zh-CN"/>
        </w:rPr>
        <w:t xml:space="preserve"> </w:t>
      </w:r>
      <w:r>
        <w:rPr>
          <w:rFonts w:eastAsiaTheme="minorEastAsia"/>
          <w:lang w:eastAsia="zh-CN"/>
        </w:rPr>
        <w:t>mL</w:t>
      </w:r>
      <w:r>
        <w:rPr>
          <w:rFonts w:eastAsiaTheme="minorEastAsia"/>
          <w:vertAlign w:val="superscript"/>
          <w:lang w:eastAsia="zh-CN"/>
        </w:rPr>
        <w:t>−1</w:t>
      </w:r>
      <w:r>
        <w:rPr>
          <w:rFonts w:eastAsiaTheme="minorEastAsia"/>
          <w:lang w:eastAsia="zh-CN"/>
        </w:rPr>
        <w:t>)</w:t>
      </w:r>
      <w:r>
        <w:rPr>
          <w:rFonts w:eastAsiaTheme="minorEastAsia"/>
          <w:lang w:val="en-US" w:eastAsia="zh-CN"/>
        </w:rPr>
        <w:t>, phi29 polymerase (0.0015 U L</w:t>
      </w:r>
      <w:r>
        <w:rPr>
          <w:rFonts w:eastAsiaTheme="minorEastAsia"/>
          <w:vertAlign w:val="superscript"/>
          <w:lang w:val="en-US" w:eastAsia="zh-CN"/>
        </w:rPr>
        <w:t>−1</w:t>
      </w:r>
      <w:r>
        <w:rPr>
          <w:rFonts w:eastAsiaTheme="minorEastAsia"/>
          <w:lang w:val="en-US" w:eastAsia="zh-CN"/>
        </w:rPr>
        <w:t>), and phi29 polymerase buffer (50 mM Tris-HCl, 10 mM MgCl</w:t>
      </w:r>
      <w:r>
        <w:rPr>
          <w:rFonts w:eastAsiaTheme="minorEastAsia"/>
          <w:vertAlign w:val="subscript"/>
          <w:lang w:val="en-US" w:eastAsia="zh-CN"/>
        </w:rPr>
        <w:t>2</w:t>
      </w:r>
      <w:r>
        <w:rPr>
          <w:rFonts w:eastAsiaTheme="minorEastAsia"/>
          <w:lang w:val="en-US" w:eastAsia="zh-CN"/>
        </w:rPr>
        <w:t>, 10 mM (NH4)</w:t>
      </w:r>
      <w:r>
        <w:rPr>
          <w:rFonts w:eastAsiaTheme="minorEastAsia"/>
          <w:vertAlign w:val="subscript"/>
          <w:lang w:val="en-US" w:eastAsia="zh-CN"/>
        </w:rPr>
        <w:t>2</w:t>
      </w:r>
      <w:r>
        <w:rPr>
          <w:rFonts w:eastAsiaTheme="minorEastAsia"/>
          <w:lang w:val="en-US" w:eastAsia="zh-CN"/>
        </w:rPr>
        <w:t>SO</w:t>
      </w:r>
      <w:r>
        <w:rPr>
          <w:rFonts w:eastAsiaTheme="minorEastAsia"/>
          <w:vertAlign w:val="subscript"/>
          <w:lang w:val="en-US" w:eastAsia="zh-CN"/>
        </w:rPr>
        <w:t>4</w:t>
      </w:r>
      <w:r>
        <w:rPr>
          <w:rFonts w:eastAsiaTheme="minorEastAsia"/>
          <w:lang w:val="en-US" w:eastAsia="zh-CN"/>
        </w:rPr>
        <w:t xml:space="preserve">, 4 mM DTT, pH 7.5), was gently mixed in ice bath and incubated for 2 hours at 37 °C, followed by a 10-minute incubation at 65 °C. After cooling to room temperature, DFs were harvested through centrifugation at 20,000 rpm for 20 minutes, and then incubated in a buffer (20 mM Tris, 40 mM NaCl, 40 mM KCl, pH 7.6) at room temperature for 1 hour to form G4 structures. Subsequently, the DFs were incubated with ZnPc and Hemin both pre-dispersed in DMSO (ZnPc 50 </w:t>
      </w:r>
      <w:r>
        <w:rPr>
          <w:rFonts w:eastAsiaTheme="minorEastAsia"/>
          <w:lang w:eastAsia="zh-CN"/>
        </w:rPr>
        <w:t>μM/</w:t>
      </w:r>
      <w:r>
        <w:rPr>
          <w:rFonts w:eastAsiaTheme="minorEastAsia"/>
          <w:lang w:val="en-US" w:eastAsia="zh-CN"/>
        </w:rPr>
        <w:t xml:space="preserve"> Hemin 40</w:t>
      </w:r>
      <w:r>
        <w:rPr>
          <w:rFonts w:eastAsiaTheme="minorEastAsia"/>
          <w:lang w:eastAsia="zh-CN"/>
        </w:rPr>
        <w:t>μM</w:t>
      </w:r>
      <w:r>
        <w:rPr>
          <w:rFonts w:eastAsiaTheme="minorEastAsia"/>
          <w:lang w:val="en-US" w:eastAsia="zh-CN"/>
        </w:rPr>
        <w:t>) and stirred for 2 hours under light protection.</w:t>
      </w:r>
      <w:r>
        <w:rPr>
          <w:rFonts w:hint="eastAsia" w:eastAsiaTheme="minorEastAsia"/>
          <w:lang w:val="en-US" w:eastAsia="zh-CN"/>
        </w:rPr>
        <w:t xml:space="preserve"> </w:t>
      </w:r>
      <w:r>
        <w:rPr>
          <w:rFonts w:eastAsiaTheme="minorEastAsia"/>
          <w:lang w:val="en-US" w:eastAsia="zh-CN"/>
        </w:rPr>
        <w:t>Subsequently, the obtained mixture was placed in a centrifugal filtration device with a molecular weight cutoff (MWCO) of 100 kDa to remove unloaded small molecules (ZnPc and Hemin). Afterwards, it was washed twice with buffer solution to obtain purified Z/H@DFs. The nanoparticles were characterized using various techniques including dynamic light scattering (DLS), element mapping images, transmission electron microscopy (TEM), and ultraviolet spectrophotometry (UV).</w:t>
      </w:r>
    </w:p>
    <w:bookmarkEnd w:id="7"/>
    <w:p w14:paraId="2EF172FC">
      <w:pPr>
        <w:spacing w:before="120" w:beforeLines="50" w:after="120" w:afterLines="50" w:line="360" w:lineRule="auto"/>
        <w:ind w:firstLine="0" w:firstLineChars="0"/>
        <w:jc w:val="both"/>
        <w:rPr>
          <w:rFonts w:eastAsiaTheme="minorEastAsia"/>
          <w:b/>
          <w:bCs/>
          <w:lang w:val="en-US" w:eastAsia="zh-CN"/>
        </w:rPr>
      </w:pPr>
      <w:r>
        <w:rPr>
          <w:rFonts w:eastAsiaTheme="minorEastAsia"/>
          <w:b/>
          <w:bCs/>
          <w:lang w:val="en-US" w:eastAsia="zh-CN"/>
        </w:rPr>
        <w:t>Synthesis and stability of DFs analyzed by gel electrophoresis</w:t>
      </w:r>
    </w:p>
    <w:p w14:paraId="7FD50330">
      <w:pPr>
        <w:spacing w:line="360" w:lineRule="auto"/>
        <w:ind w:firstLine="240" w:firstLineChars="100"/>
        <w:jc w:val="both"/>
        <w:rPr>
          <w:rFonts w:eastAsiaTheme="minorEastAsia"/>
          <w:lang w:val="en-US" w:eastAsia="zh-CN"/>
        </w:rPr>
      </w:pPr>
      <w:r>
        <w:rPr>
          <w:rFonts w:eastAsiaTheme="minorEastAsia"/>
          <w:lang w:val="en-US" w:eastAsia="zh-CN"/>
        </w:rPr>
        <w:t>Polyacrylamide gel electrophoresis (PAGE) was used to evaluate the synthesis efficiency and stability of DFs. The DFs was introduced into DMEM supplemented with 10% FBS, followed by incubation at 37°C for 24 hours to assess its resistance to enzymatic degradation. Additionally, to further validate biological stability in a rodent-specific context, DFs were incubated in mouse serum at 37°C for 24 hours. For storage stability evaluation, the samples were maintained at room temperature in HA matrix for 72 hours. Stability validation was conducted through these standardized protocols.</w:t>
      </w:r>
    </w:p>
    <w:p w14:paraId="29E839E1">
      <w:pPr>
        <w:spacing w:before="120" w:beforeLines="50" w:after="120" w:afterLines="50" w:line="360" w:lineRule="auto"/>
        <w:ind w:firstLine="0" w:firstLineChars="0"/>
        <w:jc w:val="both"/>
        <w:rPr>
          <w:rFonts w:eastAsiaTheme="minorEastAsia"/>
          <w:b/>
          <w:bCs/>
          <w:lang w:val="en-US" w:eastAsia="zh-CN"/>
        </w:rPr>
      </w:pPr>
      <w:r>
        <w:rPr>
          <w:rFonts w:eastAsiaTheme="minorEastAsia"/>
          <w:b/>
          <w:bCs/>
          <w:lang w:val="en-US" w:eastAsia="zh-CN"/>
        </w:rPr>
        <w:t>In vitro analysis of O</w:t>
      </w:r>
      <w:r>
        <w:rPr>
          <w:rFonts w:eastAsiaTheme="minorEastAsia"/>
          <w:b/>
          <w:bCs/>
          <w:vertAlign w:val="subscript"/>
          <w:lang w:val="en-US" w:eastAsia="zh-CN"/>
        </w:rPr>
        <w:t xml:space="preserve">2 </w:t>
      </w:r>
      <w:r>
        <w:rPr>
          <w:rFonts w:eastAsiaTheme="minorEastAsia"/>
          <w:b/>
          <w:bCs/>
          <w:lang w:val="en-US" w:eastAsia="zh-CN"/>
        </w:rPr>
        <w:t>production and Singlet oxygen generation</w:t>
      </w:r>
    </w:p>
    <w:p w14:paraId="4D0146E0">
      <w:pPr>
        <w:spacing w:line="360" w:lineRule="auto"/>
        <w:ind w:firstLine="240" w:firstLineChars="100"/>
        <w:jc w:val="both"/>
        <w:rPr>
          <w:rFonts w:eastAsiaTheme="minorEastAsia"/>
          <w:lang w:val="en-US" w:eastAsia="zh-CN"/>
        </w:rPr>
      </w:pPr>
      <w:r>
        <w:rPr>
          <w:rFonts w:eastAsiaTheme="minorEastAsia"/>
          <w:lang w:val="en-US" w:eastAsia="zh-CN"/>
        </w:rPr>
        <w:t>The catalytic oxygen production capacity of DFs was assessed utilizing a portable dissolved oxygen meter. Samples from various treatment groups were introduced into a solution containing 10 mM H</w:t>
      </w:r>
      <w:r>
        <w:rPr>
          <w:rFonts w:eastAsiaTheme="minorEastAsia"/>
          <w:vertAlign w:val="subscript"/>
          <w:lang w:val="en-US" w:eastAsia="zh-CN"/>
        </w:rPr>
        <w:t>2</w:t>
      </w:r>
      <w:r>
        <w:rPr>
          <w:rFonts w:eastAsiaTheme="minorEastAsia"/>
          <w:lang w:val="en-US" w:eastAsia="zh-CN"/>
        </w:rPr>
        <w:t>O</w:t>
      </w:r>
      <w:r>
        <w:rPr>
          <w:rFonts w:eastAsiaTheme="minorEastAsia"/>
          <w:vertAlign w:val="subscript"/>
          <w:lang w:val="en-US" w:eastAsia="zh-CN"/>
        </w:rPr>
        <w:t>2</w:t>
      </w:r>
      <w:r>
        <w:rPr>
          <w:rFonts w:eastAsiaTheme="minorEastAsia"/>
          <w:lang w:val="en-US" w:eastAsia="zh-CN"/>
        </w:rPr>
        <w:t>, and alterations in the concentration of dissolved oxygen were monitored in real-time. A control group consisting of phosphate-buffered saline (PBS) with a pH of 7.4 and 10 mM H</w:t>
      </w:r>
      <w:r>
        <w:rPr>
          <w:rFonts w:eastAsiaTheme="minorEastAsia"/>
          <w:vertAlign w:val="subscript"/>
          <w:lang w:val="en-US" w:eastAsia="zh-CN"/>
        </w:rPr>
        <w:t>2</w:t>
      </w:r>
      <w:r>
        <w:rPr>
          <w:rFonts w:eastAsiaTheme="minorEastAsia"/>
          <w:lang w:val="en-US" w:eastAsia="zh-CN"/>
        </w:rPr>
        <w:t>O</w:t>
      </w:r>
      <w:r>
        <w:rPr>
          <w:rFonts w:eastAsiaTheme="minorEastAsia"/>
          <w:vertAlign w:val="subscript"/>
          <w:lang w:val="en-US" w:eastAsia="zh-CN"/>
        </w:rPr>
        <w:t>2</w:t>
      </w:r>
      <w:r>
        <w:rPr>
          <w:rFonts w:eastAsiaTheme="minorEastAsia"/>
          <w:lang w:val="en-US" w:eastAsia="zh-CN"/>
        </w:rPr>
        <w:t xml:space="preserve"> was employed for comparative purposes. The Singlet Oxygen Sensor Green</w:t>
      </w:r>
      <w:r>
        <w:rPr>
          <w:rFonts w:hint="eastAsia" w:eastAsiaTheme="minorEastAsia"/>
          <w:lang w:val="en-US" w:eastAsia="zh-CN"/>
        </w:rPr>
        <w:t xml:space="preserve"> (SOSG)</w:t>
      </w:r>
      <w:r>
        <w:rPr>
          <w:rFonts w:eastAsiaTheme="minorEastAsia"/>
          <w:lang w:val="en-US" w:eastAsia="zh-CN"/>
        </w:rPr>
        <w:t xml:space="preserve"> was utilized as a reliable indicator of singlet oxygen production in DFs following laser irradiation. DFs were incorporated into a solution containing SOSG (2.5 μM), and distinct samples were subjected to light irradiation at a wavelength of 660 nm and intensity of 0.75 W cm</w:t>
      </w:r>
      <w:r>
        <w:rPr>
          <w:rFonts w:eastAsiaTheme="minorEastAsia"/>
          <w:vertAlign w:val="superscript"/>
          <w:lang w:val="en-US" w:eastAsia="zh-CN"/>
        </w:rPr>
        <w:t>-</w:t>
      </w:r>
      <w:r>
        <w:rPr>
          <w:rFonts w:eastAsiaTheme="minorEastAsia"/>
          <w:lang w:val="en-US" w:eastAsia="zh-CN"/>
        </w:rPr>
        <w:t>². The fluorescence intensity of SOSG was quantified using a fluorescence spectrophotometer</w:t>
      </w:r>
      <w:r>
        <w:rPr>
          <w:rStyle w:val="18"/>
          <w:rFonts w:eastAsiaTheme="minorEastAsia"/>
          <w:sz w:val="24"/>
          <w:szCs w:val="24"/>
          <w:lang w:val="en-US" w:eastAsia="zh-CN"/>
        </w:rPr>
        <w:t xml:space="preserve"> (Molecular Devices, USA)</w:t>
      </w:r>
      <w:r>
        <w:rPr>
          <w:rFonts w:eastAsiaTheme="minorEastAsia"/>
          <w:lang w:val="en-US" w:eastAsia="zh-CN"/>
        </w:rPr>
        <w:t xml:space="preserve"> (Ex = 490 nm, Em = 525 nm). To explore the impact of external variables on ROS production by DFs, the samples were pre-exposed to 10% FBS for a duration of 12 hours. </w:t>
      </w:r>
    </w:p>
    <w:p w14:paraId="4508ECEC">
      <w:pPr>
        <w:spacing w:before="120" w:beforeLines="50" w:after="120" w:afterLines="50" w:line="360" w:lineRule="auto"/>
        <w:ind w:firstLine="0" w:firstLineChars="0"/>
        <w:jc w:val="both"/>
        <w:rPr>
          <w:rFonts w:eastAsiaTheme="minorEastAsia"/>
          <w:b/>
          <w:bCs/>
          <w:lang w:val="en-US" w:eastAsia="zh-CN"/>
        </w:rPr>
      </w:pPr>
      <w:r>
        <w:rPr>
          <w:rFonts w:eastAsiaTheme="minorEastAsia"/>
          <w:b/>
          <w:bCs/>
          <w:lang w:val="en-US" w:eastAsia="zh-CN"/>
        </w:rPr>
        <w:t>Cellular uptake study</w:t>
      </w:r>
    </w:p>
    <w:p w14:paraId="0275E2A5">
      <w:pPr>
        <w:spacing w:line="360" w:lineRule="auto"/>
        <w:ind w:firstLine="240" w:firstLineChars="100"/>
        <w:jc w:val="both"/>
        <w:rPr>
          <w:rFonts w:eastAsiaTheme="minorEastAsia"/>
          <w:lang w:val="en-US" w:eastAsia="zh-CN"/>
        </w:rPr>
      </w:pPr>
      <w:r>
        <w:rPr>
          <w:rFonts w:eastAsiaTheme="minorEastAsia"/>
          <w:lang w:val="en-US" w:eastAsia="zh-CN"/>
        </w:rPr>
        <w:t>To prepare Cy5-labeled DFs for cellular uptake study, Cy5-dCTP was incorporated into the RCA reaction mixture. B16F10 cells were cultured overnight in wells with a concentration of 3×10</w:t>
      </w:r>
      <w:r>
        <w:rPr>
          <w:rFonts w:eastAsiaTheme="minorEastAsia"/>
          <w:vertAlign w:val="superscript"/>
          <w:lang w:val="en-US" w:eastAsia="zh-CN"/>
        </w:rPr>
        <w:t>5</w:t>
      </w:r>
      <w:r>
        <w:rPr>
          <w:rFonts w:eastAsiaTheme="minorEastAsia"/>
          <w:lang w:val="en-US" w:eastAsia="zh-CN"/>
        </w:rPr>
        <w:t xml:space="preserve"> cells per well. DFs, DFs-scAS1411, Z/H@DFs, ZnPc@DFs, and ZnPc were treated at the same concentrations of DFs and/or ZnPc. After removing the supernatant, the cells were fixed with paraformaldehyde, stained with DAPI for nuclear visualization, and sealed with glycerol. The cellular uptake efficiency was then qualitatively assessed under </w:t>
      </w:r>
      <w:bookmarkStart w:id="8" w:name="_Hlk171278797"/>
      <w:r>
        <w:rPr>
          <w:rFonts w:eastAsiaTheme="minorEastAsia"/>
          <w:lang w:val="en-US" w:eastAsia="zh-CN"/>
        </w:rPr>
        <w:t>fluorescence microscope</w:t>
      </w:r>
      <w:bookmarkEnd w:id="8"/>
      <w:r>
        <w:rPr>
          <w:rFonts w:eastAsiaTheme="minorEastAsia"/>
          <w:lang w:val="en-US" w:eastAsia="zh-CN"/>
        </w:rPr>
        <w:t xml:space="preserve"> (Olympus, Germany). Furthermore, the fluorescence intensity within the cells was quantitatively measured by harvesting and analyzing the cells using flow cytometry (FACSVerse, BD, USA).</w:t>
      </w:r>
    </w:p>
    <w:p w14:paraId="7F847D4C">
      <w:pPr>
        <w:spacing w:before="120" w:beforeLines="50" w:after="120" w:afterLines="50" w:line="360" w:lineRule="auto"/>
        <w:ind w:firstLine="0" w:firstLineChars="0"/>
        <w:jc w:val="both"/>
        <w:rPr>
          <w:rFonts w:eastAsiaTheme="minorEastAsia"/>
          <w:b/>
          <w:bCs/>
          <w:lang w:val="en-US" w:eastAsia="zh-CN"/>
        </w:rPr>
      </w:pPr>
      <w:r>
        <w:rPr>
          <w:rFonts w:eastAsiaTheme="minorEastAsia"/>
          <w:b/>
          <w:bCs/>
          <w:lang w:val="en-US" w:eastAsia="zh-CN"/>
        </w:rPr>
        <w:t>In vitro cytotoxicity study</w:t>
      </w:r>
    </w:p>
    <w:p w14:paraId="18C7D702">
      <w:pPr>
        <w:spacing w:line="360" w:lineRule="auto"/>
        <w:ind w:firstLine="240" w:firstLineChars="100"/>
        <w:jc w:val="both"/>
        <w:rPr>
          <w:rFonts w:eastAsiaTheme="minorEastAsia"/>
          <w:lang w:val="en-US" w:eastAsia="zh-CN"/>
        </w:rPr>
      </w:pPr>
      <w:r>
        <w:rPr>
          <w:rFonts w:eastAsiaTheme="minorEastAsia"/>
          <w:lang w:val="en-US" w:eastAsia="zh-CN"/>
        </w:rPr>
        <w:t>The cytotoxic effects of DFs on B16F10 cells were evaluated through in vitro experiments utilizing the CCK-8 assay. B16F10 cells were seeded in 96-well plates and subsequently exposed to various treatments in fresh medium: G1. Blank, G2. ZnPc/Hemin+Laser (Z/H+L) (</w:t>
      </w:r>
      <w:r>
        <w:rPr>
          <w:rFonts w:eastAsiaTheme="minorEastAsia"/>
          <w:lang w:eastAsia="zh-CN"/>
        </w:rPr>
        <w:t xml:space="preserve">Z/H was prepared by </w:t>
      </w:r>
      <w:r>
        <w:rPr>
          <w:rFonts w:eastAsiaTheme="minorEastAsia"/>
          <w:lang w:val="en-US" w:eastAsia="zh-CN"/>
        </w:rPr>
        <w:t>free ZnPc with Hemin mixture</w:t>
      </w:r>
      <w:r>
        <w:rPr>
          <w:rFonts w:hint="eastAsia" w:eastAsiaTheme="minorEastAsia"/>
          <w:lang w:val="en-US" w:eastAsia="zh-CN"/>
        </w:rPr>
        <w:t>)</w:t>
      </w:r>
      <w:r>
        <w:rPr>
          <w:rFonts w:eastAsiaTheme="minorEastAsia"/>
          <w:lang w:val="en-US" w:eastAsia="zh-CN"/>
        </w:rPr>
        <w:t>, G3. DFs+Laser (DFs+L), G4. ZnPc/Hemin@DFs (Z/H@DFs), G5. ZnPc/Hemin@DFs+Laser (Z/H@DFs+L). Following a 12-hour incubation period, the cells were exposed to a 660 nm laser at 0.75 W cm</w:t>
      </w:r>
      <w:r>
        <w:rPr>
          <w:rFonts w:eastAsiaTheme="minorEastAsia"/>
          <w:vertAlign w:val="superscript"/>
          <w:lang w:val="en-US" w:eastAsia="zh-CN"/>
        </w:rPr>
        <w:t>-2</w:t>
      </w:r>
      <w:r>
        <w:rPr>
          <w:rFonts w:eastAsiaTheme="minorEastAsia"/>
          <w:lang w:val="en-US" w:eastAsia="zh-CN"/>
        </w:rPr>
        <w:t xml:space="preserve"> for 1 minute. After 24 hours, 10 μL of CCK-8 reagent was added to each well and incubated for 1 hour. The absorbance at 450 nm was measured. Additionally, cytotoxicity assessments were conducted through flow cytometry analysis using the Annexin V-FITC Apoptosis Detection Kit (Beyotime, China).</w:t>
      </w:r>
    </w:p>
    <w:p w14:paraId="45901EA6">
      <w:pPr>
        <w:spacing w:before="120" w:beforeLines="50" w:after="120" w:afterLines="50" w:line="360" w:lineRule="auto"/>
        <w:ind w:firstLine="0" w:firstLineChars="0"/>
        <w:jc w:val="both"/>
        <w:rPr>
          <w:rFonts w:eastAsiaTheme="minorEastAsia"/>
          <w:b/>
          <w:bCs/>
          <w:lang w:val="en-US" w:eastAsia="zh-CN"/>
        </w:rPr>
      </w:pPr>
      <w:r>
        <w:rPr>
          <w:rFonts w:eastAsiaTheme="minorEastAsia"/>
          <w:b/>
          <w:bCs/>
          <w:lang w:val="en-US" w:eastAsia="zh-CN"/>
        </w:rPr>
        <w:t>Intracellular ROS generation</w:t>
      </w:r>
    </w:p>
    <w:p w14:paraId="44F4A59D">
      <w:pPr>
        <w:spacing w:line="360" w:lineRule="auto"/>
        <w:ind w:firstLine="240" w:firstLineChars="100"/>
        <w:jc w:val="both"/>
        <w:rPr>
          <w:rFonts w:eastAsiaTheme="minorEastAsia"/>
          <w:lang w:val="en-US" w:eastAsia="zh-CN"/>
        </w:rPr>
      </w:pPr>
      <w:r>
        <w:rPr>
          <w:rFonts w:eastAsiaTheme="minorEastAsia"/>
          <w:lang w:val="en-US" w:eastAsia="zh-CN"/>
        </w:rPr>
        <w:t>Intracellular levels of reactive oxygen species (ROS) in B16F10 cells following various treatments were assessed utilizing the DCFH-DA fluorescent probe. Initially, B16F10 cells were seeded in 12-well plates. Subsequently, the ROS inhibitor NaN</w:t>
      </w:r>
      <w:r>
        <w:rPr>
          <w:rFonts w:eastAsiaTheme="minorEastAsia"/>
          <w:vertAlign w:val="subscript"/>
          <w:lang w:val="en-US" w:eastAsia="zh-CN"/>
        </w:rPr>
        <w:t>3</w:t>
      </w:r>
      <w:r>
        <w:rPr>
          <w:rFonts w:hint="eastAsia" w:eastAsiaTheme="minorEastAsia"/>
          <w:vertAlign w:val="subscript"/>
          <w:lang w:val="en-US" w:eastAsia="zh-CN"/>
        </w:rPr>
        <w:t xml:space="preserve"> </w:t>
      </w:r>
      <w:r>
        <w:rPr>
          <w:rFonts w:eastAsiaTheme="minorEastAsia"/>
          <w:lang w:val="en-US" w:eastAsia="zh-CN"/>
        </w:rPr>
        <w:t xml:space="preserve">was introduced to the cell suspension and incubated for 1 hours to scavenge </w:t>
      </w:r>
      <w:r>
        <w:rPr>
          <w:rFonts w:eastAsiaTheme="minorEastAsia"/>
          <w:vertAlign w:val="superscript"/>
          <w:lang w:val="en-US" w:eastAsia="zh-CN"/>
        </w:rPr>
        <w:t>1</w:t>
      </w:r>
      <w:r>
        <w:rPr>
          <w:rFonts w:eastAsiaTheme="minorEastAsia"/>
          <w:lang w:val="en-US" w:eastAsia="zh-CN"/>
        </w:rPr>
        <w:t>O</w:t>
      </w:r>
      <w:r>
        <w:rPr>
          <w:rFonts w:eastAsiaTheme="minorEastAsia"/>
          <w:vertAlign w:val="subscript"/>
          <w:lang w:val="en-US" w:eastAsia="zh-CN"/>
        </w:rPr>
        <w:t>2</w:t>
      </w:r>
      <w:r>
        <w:rPr>
          <w:rFonts w:eastAsiaTheme="minorEastAsia"/>
          <w:lang w:val="en-US" w:eastAsia="zh-CN"/>
        </w:rPr>
        <w:t xml:space="preserve"> within the B16F10 cells. Next,</w:t>
      </w:r>
      <w:r>
        <w:t xml:space="preserve"> </w:t>
      </w:r>
      <w:r>
        <w:rPr>
          <w:rFonts w:eastAsiaTheme="minorEastAsia"/>
          <w:lang w:val="en-US" w:eastAsia="zh-CN"/>
        </w:rPr>
        <w:t>PBS, DFs, ZnPc@DFs, Z/H, and Z/H@DFs (ZnPc 7.5 μM) were added to 1mL</w:t>
      </w:r>
      <w:r>
        <w:rPr>
          <w:rFonts w:hint="eastAsia" w:eastAsiaTheme="minorEastAsia"/>
          <w:lang w:val="en-US" w:eastAsia="zh-CN"/>
        </w:rPr>
        <w:t xml:space="preserve"> </w:t>
      </w:r>
      <w:r>
        <w:rPr>
          <w:rFonts w:eastAsiaTheme="minorEastAsia"/>
          <w:lang w:val="en-US" w:eastAsia="zh-CN"/>
        </w:rPr>
        <w:t xml:space="preserve">of the culture medium. Following a 12-hour incubation period, the cells were rinsed with PBS and treated with </w:t>
      </w:r>
      <w:bookmarkStart w:id="9" w:name="OLE_LINK9"/>
      <w:r>
        <w:rPr>
          <w:rFonts w:eastAsiaTheme="minorEastAsia"/>
          <w:lang w:val="en-US" w:eastAsia="zh-CN"/>
        </w:rPr>
        <w:t xml:space="preserve">DCFH-DA </w:t>
      </w:r>
      <w:bookmarkEnd w:id="9"/>
      <w:r>
        <w:rPr>
          <w:rFonts w:eastAsiaTheme="minorEastAsia"/>
          <w:lang w:val="en-US" w:eastAsia="zh-CN"/>
        </w:rPr>
        <w:t xml:space="preserve">(25 μM) for 20 minutes. Subsequent to this, cells were exposed to irradiation at 660 nm (0.75 W cm⁻²) for 1 minute as per experimental group requirements. Fluorescence </w:t>
      </w:r>
      <w:r>
        <w:rPr>
          <w:rFonts w:hint="eastAsia" w:eastAsiaTheme="minorEastAsia"/>
          <w:lang w:val="en-US" w:eastAsia="zh-CN"/>
        </w:rPr>
        <w:t xml:space="preserve">images </w:t>
      </w:r>
      <w:r>
        <w:rPr>
          <w:rFonts w:eastAsiaTheme="minorEastAsia"/>
          <w:lang w:val="en-US" w:eastAsia="zh-CN"/>
        </w:rPr>
        <w:t>w</w:t>
      </w:r>
      <w:r>
        <w:rPr>
          <w:rFonts w:hint="eastAsia" w:eastAsiaTheme="minorEastAsia"/>
          <w:lang w:val="en-US" w:eastAsia="zh-CN"/>
        </w:rPr>
        <w:t>ere</w:t>
      </w:r>
      <w:r>
        <w:rPr>
          <w:rFonts w:eastAsiaTheme="minorEastAsia"/>
          <w:lang w:val="en-US" w:eastAsia="zh-CN"/>
        </w:rPr>
        <w:t xml:space="preserve"> then observed using an inverted fluorescence microscope, followed by quantitative analysis of fluorescence intensity via flow cytometry.</w:t>
      </w:r>
    </w:p>
    <w:p w14:paraId="788253AB">
      <w:pPr>
        <w:spacing w:before="120" w:beforeLines="50" w:after="120" w:afterLines="50" w:line="360" w:lineRule="auto"/>
        <w:ind w:firstLine="0" w:firstLineChars="0"/>
        <w:jc w:val="both"/>
        <w:rPr>
          <w:rFonts w:eastAsiaTheme="minorEastAsia"/>
          <w:b/>
          <w:bCs/>
          <w:lang w:val="en-US" w:eastAsia="zh-CN"/>
        </w:rPr>
      </w:pPr>
      <w:r>
        <w:rPr>
          <w:rFonts w:eastAsiaTheme="minorEastAsia"/>
          <w:b/>
          <w:bCs/>
          <w:lang w:val="en-US" w:eastAsia="zh-CN"/>
        </w:rPr>
        <w:t xml:space="preserve">Western blot analysis of PD-L1 protein </w:t>
      </w:r>
    </w:p>
    <w:p w14:paraId="3AD0CCF2">
      <w:pPr>
        <w:spacing w:line="360" w:lineRule="auto"/>
        <w:ind w:firstLine="240" w:firstLineChars="100"/>
        <w:jc w:val="both"/>
        <w:rPr>
          <w:rFonts w:eastAsiaTheme="minorEastAsia"/>
          <w:lang w:val="en-US" w:eastAsia="zh-CN"/>
        </w:rPr>
      </w:pPr>
      <w:bookmarkStart w:id="10" w:name="OLE_LINK7"/>
      <w:r>
        <w:rPr>
          <w:rFonts w:eastAsiaTheme="minorEastAsia"/>
          <w:lang w:val="en-US" w:eastAsia="zh-CN"/>
        </w:rPr>
        <w:t>B16F10 cells were seeded at a density of 4×10</w:t>
      </w:r>
      <w:r>
        <w:rPr>
          <w:rFonts w:hint="eastAsia" w:eastAsiaTheme="minorEastAsia"/>
          <w:vertAlign w:val="superscript"/>
          <w:lang w:val="en-US" w:eastAsia="zh-CN"/>
        </w:rPr>
        <w:t>5</w:t>
      </w:r>
      <w:r>
        <w:rPr>
          <w:rFonts w:eastAsiaTheme="minorEastAsia"/>
          <w:lang w:val="en-US" w:eastAsia="zh-CN"/>
        </w:rPr>
        <w:t xml:space="preserve"> cells in a 6-well plate and subjected to various treatments for a duration of 48 hours. Subsequently, the cells were lysed using RIPA buffer to extract total cellular proteins. The concentration of proteins was quantified using a BCA protein detection kit (Beyotime, China). Western blot analysis was conducted following standard procedures. Briefly, the proteins were separated by SDS polyacrylamide gel electrophoresis (SDS-PAGE), transferred onto PVDF membranes (Bio-Rad, USA), and then incubated overnight at 4 °C with specific primary antibodies. Detection of target proteins was achieved using HRP-conjugated secondary antibodies. Visualization of protein bands was accomplished by exposing the membranes to an ECL chemiluminescent substrate and imaging with the ChemiDoc MP system (Bio-Rad, USA).</w:t>
      </w:r>
      <w:r>
        <w:t xml:space="preserve"> </w:t>
      </w:r>
    </w:p>
    <w:bookmarkEnd w:id="10"/>
    <w:p w14:paraId="77532346">
      <w:pPr>
        <w:spacing w:before="120" w:beforeLines="50" w:after="120" w:afterLines="50" w:line="360" w:lineRule="auto"/>
        <w:ind w:firstLine="0" w:firstLineChars="0"/>
        <w:jc w:val="both"/>
        <w:rPr>
          <w:rFonts w:eastAsiaTheme="minorEastAsia"/>
          <w:b/>
          <w:bCs/>
          <w:lang w:val="en-US" w:eastAsia="zh-CN"/>
        </w:rPr>
      </w:pPr>
      <w:r>
        <w:rPr>
          <w:rFonts w:eastAsiaTheme="minorEastAsia"/>
          <w:b/>
          <w:bCs/>
          <w:lang w:val="en-US" w:eastAsia="zh-CN"/>
        </w:rPr>
        <w:t>Preparation and characterization of microneedle</w:t>
      </w:r>
    </w:p>
    <w:p w14:paraId="4B7D1995">
      <w:pPr>
        <w:spacing w:line="360" w:lineRule="auto"/>
        <w:ind w:firstLine="240" w:firstLineChars="100"/>
        <w:jc w:val="both"/>
        <w:rPr>
          <w:rFonts w:eastAsiaTheme="minorEastAsia"/>
          <w:lang w:val="en-US" w:eastAsia="zh-CN"/>
        </w:rPr>
      </w:pPr>
      <w:r>
        <w:rPr>
          <w:rFonts w:eastAsiaTheme="minorEastAsia"/>
          <w:lang w:val="en-US" w:eastAsia="zh-CN"/>
        </w:rPr>
        <w:t>In this study, drug-loaded microneedles (DFMNs) were prepared according to a specific protocol. Initially, drug formulations (DFs) were combined with 5% (w/v) hyaluronic acid methylcellulose (HAMA) and introduced into polydimethylsiloxane (PDMS) microneedle master structures. Centrifugation was then used to eliminate any air bubbles. The filled molds underwent a drying process at 45 °C, followed by an additional drying step involving the incorporation of a 20% (w/v) polyvinyl alcohol (PVA) solution to create the microneedle substrate. Subsequently, the DFMNs were extracted from the PDMS molds to yield the final product. The morphological characteristics of the DFMNs were analyzed using scanning electron microscopy (SEM) and fluorescence microscope (Olympus, Germany). Furthermore, Cy5-labeled DFs were loaded into the microneedles and allowed to incubate for 12 hours post-treatment. Histological sections of mouse skin were then examined using fluorescence imaging and</w:t>
      </w:r>
      <w:r>
        <w:rPr>
          <w:rFonts w:hint="eastAsia" w:eastAsiaTheme="minorEastAsia"/>
          <w:lang w:val="en-US" w:eastAsia="zh-CN"/>
        </w:rPr>
        <w:t xml:space="preserve"> </w:t>
      </w:r>
      <w:r>
        <w:rPr>
          <w:rFonts w:eastAsiaTheme="minorEastAsia"/>
          <w:lang w:val="en-US" w:eastAsia="zh-CN"/>
        </w:rPr>
        <w:t>H</w:t>
      </w:r>
      <w:r>
        <w:rPr>
          <w:rFonts w:hint="eastAsia" w:eastAsiaTheme="minorEastAsia"/>
          <w:lang w:val="en-US" w:eastAsia="zh-CN"/>
        </w:rPr>
        <w:t>.</w:t>
      </w:r>
      <w:r>
        <w:rPr>
          <w:rFonts w:eastAsiaTheme="minorEastAsia"/>
          <w:lang w:val="en-US" w:eastAsia="zh-CN"/>
        </w:rPr>
        <w:t>E</w:t>
      </w:r>
      <w:r>
        <w:rPr>
          <w:rFonts w:hint="eastAsia" w:eastAsiaTheme="minorEastAsia"/>
          <w:lang w:val="en-US" w:eastAsia="zh-CN"/>
        </w:rPr>
        <w:t>.</w:t>
      </w:r>
      <w:r>
        <w:rPr>
          <w:rFonts w:eastAsiaTheme="minorEastAsia"/>
          <w:lang w:val="en-US" w:eastAsia="zh-CN"/>
        </w:rPr>
        <w:t xml:space="preserve"> staining techniques.</w:t>
      </w:r>
    </w:p>
    <w:p w14:paraId="194B4B5D">
      <w:pPr>
        <w:spacing w:before="120" w:beforeLines="50" w:after="120" w:afterLines="50" w:line="360" w:lineRule="auto"/>
        <w:ind w:firstLine="0" w:firstLineChars="0"/>
        <w:jc w:val="both"/>
        <w:rPr>
          <w:rFonts w:eastAsiaTheme="minorEastAsia"/>
          <w:b/>
          <w:bCs/>
          <w:lang w:val="en-US" w:eastAsia="zh-CN"/>
        </w:rPr>
      </w:pPr>
      <w:r>
        <w:rPr>
          <w:rFonts w:eastAsiaTheme="minorEastAsia"/>
          <w:b/>
          <w:bCs/>
          <w:lang w:val="en-US" w:eastAsia="zh-CN"/>
        </w:rPr>
        <w:t>In vivo imaging</w:t>
      </w:r>
    </w:p>
    <w:p w14:paraId="7896E747">
      <w:pPr>
        <w:spacing w:line="360" w:lineRule="auto"/>
        <w:ind w:firstLine="240" w:firstLineChars="100"/>
        <w:jc w:val="both"/>
        <w:rPr>
          <w:rFonts w:eastAsiaTheme="minorEastAsia"/>
          <w:lang w:val="en-US" w:eastAsia="zh-CN"/>
        </w:rPr>
      </w:pPr>
      <w:r>
        <w:rPr>
          <w:rFonts w:eastAsiaTheme="minorEastAsia"/>
          <w:lang w:val="en-US" w:eastAsia="zh-CN"/>
        </w:rPr>
        <w:t xml:space="preserve">To explore the impacts of diverse delivery modalities, B16F10 </w:t>
      </w:r>
      <w:bookmarkStart w:id="11" w:name="OLE_LINK10"/>
      <w:r>
        <w:rPr>
          <w:rFonts w:eastAsiaTheme="minorEastAsia"/>
          <w:lang w:val="en-US" w:eastAsia="zh-CN"/>
        </w:rPr>
        <w:t>tumor-bearing</w:t>
      </w:r>
      <w:bookmarkEnd w:id="11"/>
      <w:r>
        <w:rPr>
          <w:rFonts w:eastAsiaTheme="minorEastAsia"/>
          <w:lang w:val="en-US" w:eastAsia="zh-CN"/>
        </w:rPr>
        <w:t xml:space="preserve"> mice were exposed to intratumoral injection, microneedle puncture, and surface coating (</w:t>
      </w:r>
      <w:r>
        <w:t>All</w:t>
      </w:r>
      <w:r>
        <w:rPr>
          <w:rFonts w:eastAsiaTheme="minorEastAsia"/>
          <w:lang w:val="en-US" w:eastAsia="zh-CN"/>
        </w:rPr>
        <w:t xml:space="preserve"> treatments utilized an equal amount of ZnPc. For surface coating, hyaluronic acid was combined with ZnPc@DFs and smeared uniformly across the skin surface, covering the same area as that in the microneedle group for durations of 3, 6, and 12 hours. Following treatment, the mice were subjected to the IVIS Lumina XRMS Series III system.</w:t>
      </w:r>
    </w:p>
    <w:p w14:paraId="50338D59">
      <w:pPr>
        <w:spacing w:before="120" w:beforeLines="50" w:after="120" w:afterLines="50" w:line="360" w:lineRule="auto"/>
        <w:ind w:firstLine="0" w:firstLineChars="0"/>
        <w:jc w:val="both"/>
        <w:rPr>
          <w:rFonts w:eastAsiaTheme="minorEastAsia"/>
          <w:b/>
          <w:bCs/>
          <w:lang w:val="en-US" w:eastAsia="zh-CN"/>
        </w:rPr>
      </w:pPr>
      <w:r>
        <w:rPr>
          <w:rFonts w:eastAsiaTheme="minorEastAsia"/>
          <w:b/>
          <w:bCs/>
          <w:lang w:val="en-US" w:eastAsia="zh-CN"/>
        </w:rPr>
        <w:t>In vivo antitumor efficacy</w:t>
      </w:r>
    </w:p>
    <w:p w14:paraId="64C2613A">
      <w:pPr>
        <w:spacing w:line="360" w:lineRule="auto"/>
        <w:ind w:firstLine="240" w:firstLineChars="100"/>
        <w:jc w:val="both"/>
        <w:rPr>
          <w:rFonts w:eastAsiaTheme="minorEastAsia"/>
          <w:lang w:val="en-US" w:eastAsia="zh-CN"/>
        </w:rPr>
      </w:pPr>
      <w:r>
        <w:rPr>
          <w:rFonts w:eastAsiaTheme="minorEastAsia"/>
          <w:lang w:val="en-US" w:eastAsia="zh-CN"/>
        </w:rPr>
        <w:t>The antitumor efficacy of DFMNs was investigated in vivo using</w:t>
      </w:r>
      <w:bookmarkStart w:id="12" w:name="OLE_LINK1"/>
      <w:r>
        <w:rPr>
          <w:rFonts w:eastAsiaTheme="minorEastAsia"/>
          <w:lang w:val="en-US" w:eastAsia="zh-CN"/>
        </w:rPr>
        <w:t xml:space="preserve"> B16F10 tumor-bearing mice</w:t>
      </w:r>
      <w:bookmarkEnd w:id="12"/>
      <w:r>
        <w:rPr>
          <w:rFonts w:eastAsiaTheme="minorEastAsia"/>
          <w:lang w:val="en-US" w:eastAsia="zh-CN"/>
        </w:rPr>
        <w:t>. The mice were randomly assigned to five groups, each consisting of five mice: MNs; Z/H@DFMNs-scASO with laser treatment; DFMNs; Z/H@DFMNs; and Z/H@DFMNs with laser treatment. MNs was percutaneously inserted into the tumor site at a dosage of 5 mg kg</w:t>
      </w:r>
      <w:r>
        <w:rPr>
          <w:rFonts w:eastAsiaTheme="minorEastAsia"/>
          <w:vertAlign w:val="superscript"/>
          <w:lang w:val="en-US" w:eastAsia="zh-CN"/>
        </w:rPr>
        <w:t>-1</w:t>
      </w:r>
      <w:r>
        <w:rPr>
          <w:rFonts w:eastAsiaTheme="minorEastAsia"/>
          <w:lang w:val="en-US" w:eastAsia="zh-CN"/>
        </w:rPr>
        <w:t>, calculated based on ZnPc. Laser treatment with a 660 nm wavelength at 0.75 W cm</w:t>
      </w:r>
      <w:r>
        <w:rPr>
          <w:rFonts w:eastAsiaTheme="minorEastAsia"/>
          <w:vertAlign w:val="superscript"/>
          <w:lang w:val="en-US" w:eastAsia="zh-CN"/>
        </w:rPr>
        <w:t>-2</w:t>
      </w:r>
      <w:r>
        <w:rPr>
          <w:rFonts w:eastAsiaTheme="minorEastAsia"/>
          <w:lang w:val="en-US" w:eastAsia="zh-CN"/>
        </w:rPr>
        <w:t xml:space="preserve"> for 5 minutes was administered to the laser groups. The specified treatments were applied on days 1, 4, 7, and 10. On day 14, mice were euthanized to collect serum for biochemical analysis (ALT, AST, BUN, CRE) and major organs for </w:t>
      </w:r>
      <w:r>
        <w:rPr>
          <w:rFonts w:hint="eastAsia" w:eastAsiaTheme="minorEastAsia"/>
          <w:lang w:val="en-US" w:eastAsia="zh-CN"/>
        </w:rPr>
        <w:t>H.E.</w:t>
      </w:r>
      <w:r>
        <w:rPr>
          <w:rFonts w:eastAsiaTheme="minorEastAsia"/>
          <w:lang w:val="en-US" w:eastAsia="zh-CN"/>
        </w:rPr>
        <w:t xml:space="preserve"> staining. To further evaluate long-term systemic biosafety, organ coefficients were calculated on day 14 and in a separate cohort on day 28, respectively.</w:t>
      </w:r>
    </w:p>
    <w:p w14:paraId="1018DC5E">
      <w:pPr>
        <w:spacing w:before="120" w:beforeLines="50" w:after="120" w:afterLines="50" w:line="360" w:lineRule="auto"/>
        <w:ind w:firstLine="0" w:firstLineChars="0"/>
        <w:jc w:val="both"/>
        <w:rPr>
          <w:rFonts w:eastAsiaTheme="minorEastAsia"/>
          <w:b/>
          <w:bCs/>
          <w:lang w:val="en-US" w:eastAsia="zh-CN"/>
        </w:rPr>
      </w:pPr>
      <w:r>
        <w:rPr>
          <w:rFonts w:eastAsiaTheme="minorEastAsia"/>
          <w:b/>
          <w:bCs/>
          <w:lang w:val="en-US" w:eastAsia="zh-CN"/>
        </w:rPr>
        <w:t>Cytokine detection</w:t>
      </w:r>
    </w:p>
    <w:p w14:paraId="24CAC403">
      <w:pPr>
        <w:spacing w:line="360" w:lineRule="auto"/>
        <w:ind w:firstLine="240" w:firstLineChars="100"/>
        <w:jc w:val="both"/>
        <w:rPr>
          <w:rFonts w:eastAsiaTheme="minorEastAsia"/>
          <w:lang w:val="en-US" w:eastAsia="zh-CN"/>
        </w:rPr>
      </w:pPr>
      <w:r>
        <w:rPr>
          <w:rFonts w:eastAsiaTheme="minorEastAsia"/>
          <w:lang w:val="en-US" w:eastAsia="zh-CN"/>
        </w:rPr>
        <w:t>Serum samples were collected from mice on the fourteenth day following different treatments and were subsequently diluted for analysis. The concentrations of TNF-α and IFN-γ were determined using enzyme-linked immunosorbent assay (ELISA) kits in accordance with the manufacturer's protocols (Elabscience, China).</w:t>
      </w:r>
    </w:p>
    <w:p w14:paraId="11CE73F8">
      <w:pPr>
        <w:spacing w:before="120" w:beforeLines="50" w:after="120" w:afterLines="50" w:line="360" w:lineRule="auto"/>
        <w:ind w:firstLine="0" w:firstLineChars="0"/>
        <w:jc w:val="both"/>
        <w:rPr>
          <w:rFonts w:eastAsiaTheme="minorEastAsia"/>
          <w:b/>
          <w:bCs/>
          <w:lang w:val="en-US" w:eastAsia="zh-CN"/>
        </w:rPr>
      </w:pPr>
      <w:r>
        <w:rPr>
          <w:rFonts w:eastAsiaTheme="minorEastAsia"/>
          <w:b/>
          <w:bCs/>
          <w:lang w:val="en-US" w:eastAsia="zh-CN"/>
        </w:rPr>
        <w:t>Immune cell analysis</w:t>
      </w:r>
    </w:p>
    <w:p w14:paraId="3843B282">
      <w:pPr>
        <w:shd w:val="clear" w:color="auto" w:fill="FFFFFF"/>
        <w:spacing w:line="360" w:lineRule="auto"/>
        <w:ind w:firstLine="0" w:firstLineChars="0"/>
        <w:rPr>
          <w:rFonts w:eastAsiaTheme="minorEastAsia"/>
          <w:lang w:val="en-US" w:eastAsia="zh-CN"/>
        </w:rPr>
      </w:pPr>
      <w:r>
        <w:rPr>
          <w:rFonts w:eastAsiaTheme="minorEastAsia"/>
          <w:shd w:val="clear" w:color="auto" w:fill="FFFFFF"/>
          <w:lang w:val="en-US" w:eastAsia="zh-CN"/>
        </w:rPr>
        <w:t xml:space="preserve">To evaluate the systemic and local immune responses, single-cell suspensions were isolated from excised primary tumors, </w:t>
      </w:r>
      <w:r>
        <w:rPr>
          <w:rFonts w:hint="eastAsia" w:eastAsiaTheme="minorEastAsia"/>
          <w:shd w:val="clear" w:color="auto" w:fill="FFFFFF"/>
          <w:lang w:val="en-US" w:eastAsia="zh-CN"/>
        </w:rPr>
        <w:t xml:space="preserve">and </w:t>
      </w:r>
      <w:r>
        <w:rPr>
          <w:rFonts w:eastAsiaTheme="minorEastAsia"/>
          <w:shd w:val="clear" w:color="auto" w:fill="FFFFFF"/>
          <w:lang w:val="en-US" w:eastAsia="zh-CN"/>
        </w:rPr>
        <w:t>tumor-draining lymph nodes. For phenotypic analysis of immune infiltrates, cells w</w:t>
      </w:r>
      <w:r>
        <w:rPr>
          <w:rFonts w:hint="eastAsia" w:eastAsiaTheme="minorEastAsia"/>
          <w:shd w:val="clear" w:color="auto" w:fill="FFFFFF"/>
          <w:lang w:val="en-US" w:eastAsia="zh-CN"/>
        </w:rPr>
        <w:t>e</w:t>
      </w:r>
      <w:r>
        <w:rPr>
          <w:rFonts w:eastAsiaTheme="minorEastAsia"/>
          <w:shd w:val="clear" w:color="auto" w:fill="FFFFFF"/>
          <w:lang w:val="en-US" w:eastAsia="zh-CN"/>
        </w:rPr>
        <w:t>re stained with fluorochrome-conjugated antibodies according to standard protocols.</w:t>
      </w:r>
    </w:p>
    <w:p w14:paraId="1823EEA9">
      <w:pPr>
        <w:shd w:val="clear" w:color="auto" w:fill="FFFFFF"/>
        <w:spacing w:line="360" w:lineRule="auto"/>
        <w:ind w:firstLine="240" w:firstLineChars="100"/>
        <w:rPr>
          <w:rFonts w:eastAsiaTheme="minorEastAsia"/>
          <w:lang w:val="en-US" w:eastAsia="zh-CN"/>
        </w:rPr>
      </w:pPr>
      <w:r>
        <w:rPr>
          <w:rFonts w:eastAsiaTheme="minorEastAsia"/>
          <w:shd w:val="clear" w:color="auto" w:fill="FFFFFF"/>
          <w:lang w:val="en-US" w:eastAsia="zh-CN"/>
        </w:rPr>
        <w:t>Specifically, T cell populations were characterized using anti-CD45-PE-Cy7, anti-CD3-FITC, anti-CD4-BV421, and anti-CD8-PerCP-Cy5.5.</w:t>
      </w:r>
      <w:r>
        <w:rPr>
          <w:rFonts w:eastAsiaTheme="minorEastAsia"/>
          <w:lang w:val="en-US" w:eastAsia="zh-CN"/>
        </w:rPr>
        <w:t xml:space="preserve"> Conventional d</w:t>
      </w:r>
      <w:r>
        <w:rPr>
          <w:rFonts w:eastAsiaTheme="minorEastAsia"/>
          <w:shd w:val="clear" w:color="auto" w:fill="FFFFFF"/>
          <w:lang w:val="en-US" w:eastAsia="zh-CN"/>
        </w:rPr>
        <w:t>endritic cell maturation was assessed by staining with anti-CD45-PE-Cy7, anti-CD11c-BV510, anti-CD80-APC, and anti-CD86-PE. </w:t>
      </w:r>
      <w:r>
        <w:rPr>
          <w:rFonts w:eastAsiaTheme="minorEastAsia"/>
          <w:lang w:val="en-US" w:eastAsia="zh-CN"/>
        </w:rPr>
        <w:t>Granulocytic</w:t>
      </w:r>
      <w:r>
        <w:rPr>
          <w:rFonts w:hint="eastAsia" w:eastAsiaTheme="minorEastAsia"/>
          <w:lang w:val="en-US" w:eastAsia="zh-CN"/>
        </w:rPr>
        <w:t xml:space="preserve"> </w:t>
      </w:r>
      <w:r>
        <w:rPr>
          <w:rFonts w:eastAsiaTheme="minorEastAsia"/>
          <w:lang w:val="en-US" w:eastAsia="zh-CN"/>
        </w:rPr>
        <w:t>m</w:t>
      </w:r>
      <w:r>
        <w:rPr>
          <w:rFonts w:eastAsiaTheme="minorEastAsia"/>
          <w:shd w:val="clear" w:color="auto" w:fill="FFFFFF"/>
          <w:lang w:val="en-US" w:eastAsia="zh-CN"/>
        </w:rPr>
        <w:t>yeloid</w:t>
      </w:r>
      <w:r>
        <w:rPr>
          <w:rFonts w:hint="eastAsia" w:eastAsiaTheme="minorEastAsia"/>
          <w:shd w:val="clear" w:color="auto" w:fill="FFFFFF"/>
          <w:lang w:val="en-US" w:eastAsia="zh-CN"/>
        </w:rPr>
        <w:t xml:space="preserve"> </w:t>
      </w:r>
      <w:r>
        <w:rPr>
          <w:rFonts w:eastAsiaTheme="minorEastAsia"/>
          <w:shd w:val="clear" w:color="auto" w:fill="FFFFFF"/>
          <w:lang w:val="en-US" w:eastAsia="zh-CN"/>
        </w:rPr>
        <w:t>derived suppressor cells were identified using anti-CD11b-APC and anti-LY-6G-PE.</w:t>
      </w:r>
    </w:p>
    <w:p w14:paraId="35877D2C">
      <w:pPr>
        <w:spacing w:line="360" w:lineRule="auto"/>
        <w:ind w:firstLine="240" w:firstLineChars="100"/>
        <w:rPr>
          <w:rFonts w:eastAsiaTheme="minorEastAsia"/>
          <w:lang w:val="en-US" w:eastAsia="zh-CN"/>
        </w:rPr>
      </w:pPr>
      <w:r>
        <w:rPr>
          <w:rFonts w:eastAsiaTheme="minorEastAsia"/>
          <w:shd w:val="clear" w:color="auto" w:fill="FFFFFF"/>
          <w:lang w:val="en-US" w:eastAsia="zh-CN"/>
        </w:rPr>
        <w:t>For regulatory T cell analysis, cells were first surface-stained for CD3, CD4, and CD45, followed by fixation and permeabilization to facilitate intracellular staining of Foxp3 using an anti-Foxp3-PE antibody. All flow cytometry data were acquired and analyzed to quantify the proportions of respective immune cell subsets. All antibodies were purchased from BD Biosciences</w:t>
      </w:r>
      <w:r>
        <w:rPr>
          <w:rFonts w:eastAsiaTheme="minorEastAsia"/>
          <w:lang w:val="en-US" w:eastAsia="zh-CN"/>
        </w:rPr>
        <w:t xml:space="preserve"> (USA)</w:t>
      </w:r>
      <w:r>
        <w:rPr>
          <w:rFonts w:eastAsiaTheme="minorEastAsia"/>
          <w:shd w:val="clear" w:color="auto" w:fill="FFFFFF"/>
          <w:lang w:val="en-US" w:eastAsia="zh-CN"/>
        </w:rPr>
        <w:t>.</w:t>
      </w:r>
    </w:p>
    <w:p w14:paraId="29D9C82B">
      <w:pPr>
        <w:spacing w:before="120" w:beforeLines="50" w:after="120" w:afterLines="50" w:line="360" w:lineRule="auto"/>
        <w:ind w:firstLine="0" w:firstLineChars="0"/>
        <w:jc w:val="both"/>
        <w:rPr>
          <w:rFonts w:eastAsiaTheme="minorEastAsia"/>
          <w:b/>
          <w:bCs/>
          <w:lang w:val="en-US" w:eastAsia="zh-CN"/>
        </w:rPr>
      </w:pPr>
      <w:r>
        <w:rPr>
          <w:rFonts w:eastAsiaTheme="minorEastAsia"/>
          <w:b/>
          <w:bCs/>
          <w:lang w:val="en-US" w:eastAsia="zh-CN"/>
        </w:rPr>
        <w:t>Histological analysis</w:t>
      </w:r>
    </w:p>
    <w:p w14:paraId="22E0E287">
      <w:pPr>
        <w:spacing w:line="360" w:lineRule="auto"/>
        <w:ind w:firstLine="240" w:firstLineChars="100"/>
        <w:jc w:val="both"/>
        <w:rPr>
          <w:rFonts w:eastAsiaTheme="minorEastAsia"/>
          <w:lang w:val="en-US" w:eastAsia="zh-CN"/>
        </w:rPr>
      </w:pPr>
      <w:r>
        <w:rPr>
          <w:rFonts w:eastAsiaTheme="minorEastAsia"/>
          <w:lang w:val="en-US" w:eastAsia="zh-CN"/>
        </w:rPr>
        <w:t>On the 14</w:t>
      </w:r>
      <w:r>
        <w:rPr>
          <w:rFonts w:eastAsiaTheme="minorEastAsia"/>
          <w:vertAlign w:val="superscript"/>
          <w:lang w:val="en-US" w:eastAsia="zh-CN"/>
        </w:rPr>
        <w:t>th</w:t>
      </w:r>
      <w:r>
        <w:rPr>
          <w:rFonts w:eastAsiaTheme="minorEastAsia"/>
          <w:lang w:val="en-US" w:eastAsia="zh-CN"/>
        </w:rPr>
        <w:t xml:space="preserve"> day of the experiment, all mice were euthanized, and tumors were harvested for histopathological and immunohistochemical analysis. The tumor sections were investigated by </w:t>
      </w:r>
      <w:r>
        <w:rPr>
          <w:rFonts w:hint="eastAsia" w:eastAsiaTheme="minorEastAsia"/>
          <w:lang w:val="en-US" w:eastAsia="zh-CN"/>
        </w:rPr>
        <w:t>H.E.</w:t>
      </w:r>
      <w:r>
        <w:rPr>
          <w:rFonts w:eastAsiaTheme="minorEastAsia"/>
          <w:lang w:val="en-US" w:eastAsia="zh-CN"/>
        </w:rPr>
        <w:t xml:space="preserve"> staining, TUNEL staining, Ki-67 and immunohistochemical staining for PD-L1, CRT, and CD8 markers. Additionally, major organs were collected for </w:t>
      </w:r>
      <w:r>
        <w:rPr>
          <w:rFonts w:hint="eastAsia" w:eastAsiaTheme="minorEastAsia"/>
          <w:lang w:val="en-US" w:eastAsia="zh-CN"/>
        </w:rPr>
        <w:t>H.E.</w:t>
      </w:r>
      <w:r>
        <w:rPr>
          <w:rFonts w:eastAsiaTheme="minorEastAsia"/>
          <w:lang w:val="en-US" w:eastAsia="zh-CN"/>
        </w:rPr>
        <w:t xml:space="preserve"> staining to assess the safety profile of the proposed strategy used in the study.</w:t>
      </w:r>
    </w:p>
    <w:p w14:paraId="285F24C5">
      <w:pPr>
        <w:spacing w:before="120" w:beforeLines="50" w:after="120" w:afterLines="50" w:line="360" w:lineRule="auto"/>
        <w:ind w:firstLine="0" w:firstLineChars="0"/>
        <w:jc w:val="both"/>
        <w:rPr>
          <w:rFonts w:eastAsiaTheme="minorEastAsia"/>
          <w:b/>
          <w:bCs/>
          <w:lang w:val="en-US" w:eastAsia="zh-CN"/>
        </w:rPr>
      </w:pPr>
      <w:r>
        <w:rPr>
          <w:rFonts w:eastAsiaTheme="minorEastAsia"/>
          <w:b/>
          <w:bCs/>
          <w:lang w:val="en-US" w:eastAsia="zh-CN"/>
        </w:rPr>
        <w:t xml:space="preserve">Statistical analysis </w:t>
      </w:r>
    </w:p>
    <w:p w14:paraId="6512573B">
      <w:pPr>
        <w:pStyle w:val="44"/>
        <w:spacing w:line="360" w:lineRule="auto"/>
        <w:ind w:firstLine="0" w:firstLineChars="0"/>
        <w:jc w:val="both"/>
        <w:rPr>
          <w:rFonts w:eastAsiaTheme="minorEastAsia"/>
          <w:lang w:eastAsia="zh-CN"/>
        </w:rPr>
      </w:pPr>
      <w:r>
        <w:rPr>
          <w:rFonts w:eastAsiaTheme="minorEastAsia"/>
          <w:lang w:eastAsia="zh-CN"/>
        </w:rPr>
        <w:t xml:space="preserve">Experiments were conducted a minimum of three times, and the results are presented as means ± standard deviation (SD). </w:t>
      </w:r>
      <w:bookmarkStart w:id="13" w:name="OLE_LINK12"/>
      <w:r>
        <w:rPr>
          <w:rFonts w:eastAsiaTheme="minorEastAsia"/>
          <w:lang w:eastAsia="zh-CN"/>
        </w:rPr>
        <w:t xml:space="preserve">Statistical comparisons were performed using two-tailed unpaired Student’s t-tests for two-group analyses or one-way analysis of variance (ANOVA) followed by Tukey's post hoc test for multiple-group comparisons in GraphPad Prism 10.0. </w:t>
      </w:r>
      <w:bookmarkEnd w:id="13"/>
      <w:r>
        <w:rPr>
          <w:rFonts w:eastAsiaTheme="minorEastAsia"/>
          <w:lang w:eastAsia="zh-CN"/>
        </w:rPr>
        <w:t xml:space="preserve"> </w:t>
      </w:r>
      <w:r>
        <w:rPr>
          <w:rFonts w:hint="eastAsia" w:eastAsiaTheme="minorEastAsia"/>
          <w:lang w:eastAsia="zh-CN"/>
        </w:rPr>
        <w:t xml:space="preserve">A </w:t>
      </w:r>
      <w:r>
        <w:rPr>
          <w:rFonts w:eastAsiaTheme="minorEastAsia"/>
          <w:i/>
          <w:iCs/>
          <w:lang w:eastAsia="zh-CN"/>
        </w:rPr>
        <w:t>p</w:t>
      </w:r>
      <w:r>
        <w:rPr>
          <w:rFonts w:eastAsiaTheme="minorEastAsia"/>
          <w:lang w:eastAsia="zh-CN"/>
        </w:rPr>
        <w:t>-value of &lt; 0.05 was considered statistically significant. Significance levels are indicated as *</w:t>
      </w:r>
      <w:r>
        <w:rPr>
          <w:rFonts w:eastAsiaTheme="minorEastAsia"/>
          <w:i/>
          <w:iCs/>
          <w:lang w:eastAsia="zh-CN"/>
        </w:rPr>
        <w:t>p</w:t>
      </w:r>
      <w:r>
        <w:rPr>
          <w:rFonts w:eastAsiaTheme="minorEastAsia"/>
          <w:lang w:eastAsia="zh-CN"/>
        </w:rPr>
        <w:t xml:space="preserve"> &lt; 0.05, **</w:t>
      </w:r>
      <w:r>
        <w:rPr>
          <w:rFonts w:eastAsiaTheme="minorEastAsia"/>
          <w:i/>
          <w:iCs/>
          <w:lang w:eastAsia="zh-CN"/>
        </w:rPr>
        <w:t xml:space="preserve">p </w:t>
      </w:r>
      <w:r>
        <w:rPr>
          <w:rFonts w:eastAsiaTheme="minorEastAsia"/>
          <w:lang w:eastAsia="zh-CN"/>
        </w:rPr>
        <w:t>&lt; 0.01, and ***</w:t>
      </w:r>
      <w:r>
        <w:rPr>
          <w:rFonts w:eastAsiaTheme="minorEastAsia"/>
          <w:i/>
          <w:iCs/>
          <w:lang w:eastAsia="zh-CN"/>
        </w:rPr>
        <w:t xml:space="preserve">p </w:t>
      </w:r>
      <w:r>
        <w:rPr>
          <w:rFonts w:eastAsiaTheme="minorEastAsia"/>
          <w:lang w:eastAsia="zh-CN"/>
        </w:rPr>
        <w:t>&lt; 0.001, while non-significant differences are marked as “n.s.”.</w:t>
      </w:r>
    </w:p>
    <w:p w14:paraId="0BA95F15">
      <w:pPr>
        <w:pStyle w:val="44"/>
        <w:spacing w:line="360" w:lineRule="auto"/>
        <w:ind w:firstLine="0" w:firstLineChars="0"/>
        <w:jc w:val="both"/>
        <w:rPr>
          <w:rFonts w:eastAsiaTheme="minorEastAsia"/>
          <w:sz w:val="32"/>
          <w:szCs w:val="32"/>
          <w:lang w:eastAsia="zh-CN"/>
        </w:rPr>
      </w:pPr>
    </w:p>
    <w:p w14:paraId="7BB16AA3">
      <w:pPr>
        <w:pStyle w:val="44"/>
        <w:spacing w:line="360" w:lineRule="auto"/>
        <w:ind w:firstLine="0" w:firstLineChars="0"/>
        <w:jc w:val="both"/>
        <w:rPr>
          <w:rFonts w:eastAsiaTheme="minorEastAsia"/>
          <w:b/>
          <w:bCs/>
          <w:sz w:val="32"/>
          <w:szCs w:val="32"/>
          <w:lang w:eastAsia="zh-CN"/>
        </w:rPr>
      </w:pPr>
      <w:r>
        <w:rPr>
          <w:b/>
          <w:bCs/>
          <w:sz w:val="32"/>
          <w:szCs w:val="32"/>
        </w:rPr>
        <w:t xml:space="preserve">Supplementary </w:t>
      </w:r>
      <w:r>
        <w:rPr>
          <w:rFonts w:eastAsia="宋体"/>
          <w:b/>
          <w:bCs/>
          <w:sz w:val="32"/>
          <w:szCs w:val="32"/>
          <w:lang w:eastAsia="zh-CN"/>
        </w:rPr>
        <w:t>F</w:t>
      </w:r>
      <w:r>
        <w:rPr>
          <w:b/>
          <w:bCs/>
          <w:sz w:val="32"/>
          <w:szCs w:val="32"/>
        </w:rPr>
        <w:t>igure</w:t>
      </w:r>
      <w:r>
        <w:rPr>
          <w:rFonts w:eastAsiaTheme="minorEastAsia"/>
          <w:b/>
          <w:bCs/>
          <w:sz w:val="32"/>
          <w:szCs w:val="32"/>
          <w:lang w:eastAsia="zh-CN"/>
        </w:rPr>
        <w:t>s</w:t>
      </w:r>
    </w:p>
    <w:p w14:paraId="6054F064">
      <w:pPr>
        <w:pStyle w:val="44"/>
        <w:spacing w:line="360" w:lineRule="auto"/>
        <w:ind w:firstLine="0" w:firstLineChars="0"/>
        <w:jc w:val="center"/>
        <w:rPr>
          <w:rFonts w:eastAsiaTheme="minorEastAsia"/>
          <w:b/>
          <w:bCs/>
          <w:sz w:val="32"/>
          <w:szCs w:val="32"/>
          <w:lang w:eastAsia="zh-CN"/>
        </w:rPr>
      </w:pPr>
      <w:bookmarkStart w:id="14" w:name="_Hlk188734168"/>
      <w:r>
        <w:rPr>
          <w:rFonts w:eastAsiaTheme="minorEastAsia"/>
          <w:b/>
          <w:bCs/>
          <w:sz w:val="32"/>
          <w:szCs w:val="32"/>
          <w:lang w:eastAsia="zh-CN"/>
        </w:rPr>
        <w:drawing>
          <wp:inline distT="0" distB="0" distL="0" distR="0">
            <wp:extent cx="1418590" cy="3047365"/>
            <wp:effectExtent l="0" t="0" r="0" b="635"/>
            <wp:docPr id="8283256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25620" name="图片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419048" cy="3047619"/>
                    </a:xfrm>
                    <a:prstGeom prst="rect">
                      <a:avLst/>
                    </a:prstGeom>
                  </pic:spPr>
                </pic:pic>
              </a:graphicData>
            </a:graphic>
          </wp:inline>
        </w:drawing>
      </w:r>
    </w:p>
    <w:p w14:paraId="35970BDD">
      <w:pPr>
        <w:spacing w:line="360" w:lineRule="auto"/>
        <w:ind w:firstLine="0" w:firstLineChars="0"/>
        <w:jc w:val="both"/>
        <w:rPr>
          <w:rFonts w:eastAsiaTheme="minorEastAsia"/>
          <w:lang w:eastAsia="zh-CN"/>
        </w:rPr>
      </w:pPr>
      <w:r>
        <w:rPr>
          <w:rFonts w:eastAsiaTheme="minorEastAsia"/>
          <w:b/>
          <w:bCs/>
          <w:lang w:eastAsia="zh-CN"/>
        </w:rPr>
        <w:t>Fig.S1</w:t>
      </w:r>
      <w:r>
        <w:rPr>
          <w:rFonts w:eastAsiaTheme="minorEastAsia"/>
          <w:lang w:eastAsia="zh-CN"/>
        </w:rPr>
        <w:t>: PAGE analysis of DFs in HA</w:t>
      </w:r>
      <w:r>
        <w:rPr>
          <w:rFonts w:eastAsiaTheme="minorEastAsia"/>
          <w:lang w:val="en-US" w:eastAsia="zh-CN"/>
        </w:rPr>
        <w:t xml:space="preserve"> for 72 hours</w:t>
      </w:r>
      <w:r>
        <w:rPr>
          <w:rFonts w:eastAsiaTheme="minorEastAsia"/>
          <w:lang w:eastAsia="zh-CN"/>
        </w:rPr>
        <w:t xml:space="preserve"> (A) and in mouse serum for 24 hours(B).</w:t>
      </w:r>
    </w:p>
    <w:p w14:paraId="7EAEE776">
      <w:pPr>
        <w:pStyle w:val="44"/>
        <w:spacing w:line="360" w:lineRule="auto"/>
        <w:ind w:firstLine="0" w:firstLineChars="0"/>
        <w:jc w:val="center"/>
        <w:rPr>
          <w:rFonts w:eastAsiaTheme="minorEastAsia"/>
          <w:lang w:eastAsia="zh-CN"/>
        </w:rPr>
      </w:pPr>
      <w:r>
        <w:rPr>
          <w:rFonts w:eastAsiaTheme="minorEastAsia"/>
          <w:lang w:eastAsia="zh-CN"/>
        </w:rPr>
        <w:drawing>
          <wp:inline distT="0" distB="0" distL="0" distR="0">
            <wp:extent cx="3525520" cy="1583690"/>
            <wp:effectExtent l="0" t="0" r="5080" b="3810"/>
            <wp:docPr id="3364590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459034" name="图片 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25520" cy="1583690"/>
                    </a:xfrm>
                    <a:prstGeom prst="rect">
                      <a:avLst/>
                    </a:prstGeom>
                  </pic:spPr>
                </pic:pic>
              </a:graphicData>
            </a:graphic>
          </wp:inline>
        </w:drawing>
      </w:r>
    </w:p>
    <w:p w14:paraId="16F29354">
      <w:pPr>
        <w:spacing w:line="360" w:lineRule="auto"/>
        <w:ind w:firstLine="0" w:firstLineChars="0"/>
        <w:jc w:val="both"/>
        <w:rPr>
          <w:rFonts w:eastAsiaTheme="minorEastAsia"/>
          <w:lang w:eastAsia="zh-CN"/>
        </w:rPr>
      </w:pPr>
      <w:r>
        <w:rPr>
          <w:rFonts w:eastAsiaTheme="minorEastAsia"/>
          <w:b/>
          <w:bCs/>
          <w:lang w:eastAsia="zh-CN"/>
        </w:rPr>
        <w:t>Fig</w:t>
      </w:r>
      <w:r>
        <w:rPr>
          <w:rFonts w:eastAsiaTheme="minorEastAsia"/>
          <w:b/>
          <w:bCs/>
          <w:lang w:val="en-US" w:eastAsia="zh-CN"/>
        </w:rPr>
        <w:t>.</w:t>
      </w:r>
      <w:r>
        <w:rPr>
          <w:rFonts w:eastAsiaTheme="minorEastAsia"/>
          <w:b/>
          <w:bCs/>
          <w:lang w:eastAsia="zh-CN"/>
        </w:rPr>
        <w:t>S2 A</w:t>
      </w:r>
      <w:r>
        <w:rPr>
          <w:rFonts w:eastAsiaTheme="minorEastAsia"/>
          <w:lang w:eastAsia="zh-CN"/>
        </w:rPr>
        <w:t>. Flow cytometric analysis of cellular uptake efficiency (12 h)</w:t>
      </w:r>
      <w:r>
        <w:rPr>
          <w:lang w:eastAsia="zh-CN"/>
        </w:rPr>
        <w:t xml:space="preserve"> </w:t>
      </w:r>
      <w:r>
        <w:rPr>
          <w:rFonts w:eastAsiaTheme="minorEastAsia"/>
          <w:lang w:eastAsia="zh-CN"/>
        </w:rPr>
        <w:t xml:space="preserve">of different DFs. </w:t>
      </w:r>
      <w:r>
        <w:rPr>
          <w:rFonts w:eastAsiaTheme="minorEastAsia"/>
          <w:b/>
          <w:bCs/>
          <w:lang w:eastAsia="zh-CN"/>
        </w:rPr>
        <w:t>B</w:t>
      </w:r>
      <w:r>
        <w:rPr>
          <w:rFonts w:eastAsiaTheme="minorEastAsia"/>
          <w:lang w:eastAsia="zh-CN"/>
        </w:rPr>
        <w:t>. Flow cytometric</w:t>
      </w:r>
      <w:r>
        <w:rPr>
          <w:lang w:eastAsia="zh-CN"/>
        </w:rPr>
        <w:t xml:space="preserve"> analysis of cellular uptake efficiency</w:t>
      </w:r>
      <w:r>
        <w:rPr>
          <w:rFonts w:eastAsiaTheme="minorEastAsia"/>
          <w:lang w:eastAsia="zh-CN"/>
        </w:rPr>
        <w:t xml:space="preserve"> (12 h)</w:t>
      </w:r>
      <w:r>
        <w:rPr>
          <w:lang w:eastAsia="zh-CN"/>
        </w:rPr>
        <w:t xml:space="preserve"> of ZnPc under different strategies</w:t>
      </w:r>
      <w:r>
        <w:rPr>
          <w:rFonts w:eastAsiaTheme="minorEastAsia"/>
          <w:lang w:eastAsia="zh-CN"/>
        </w:rPr>
        <w:t>.</w:t>
      </w:r>
    </w:p>
    <w:p w14:paraId="6B908597">
      <w:pPr>
        <w:pStyle w:val="44"/>
        <w:spacing w:line="360" w:lineRule="auto"/>
        <w:ind w:firstLine="0" w:firstLineChars="0"/>
        <w:jc w:val="both"/>
        <w:rPr>
          <w:rFonts w:eastAsiaTheme="minorEastAsia"/>
          <w:b/>
          <w:bCs/>
          <w:sz w:val="32"/>
          <w:szCs w:val="32"/>
          <w:lang w:eastAsia="zh-CN"/>
        </w:rPr>
      </w:pPr>
    </w:p>
    <w:p w14:paraId="2261EE77">
      <w:pPr>
        <w:pStyle w:val="44"/>
        <w:spacing w:line="360" w:lineRule="auto"/>
        <w:ind w:firstLine="0" w:firstLineChars="0"/>
        <w:jc w:val="both"/>
        <w:rPr>
          <w:rFonts w:eastAsiaTheme="minorEastAsia"/>
          <w:b/>
          <w:bCs/>
          <w:sz w:val="32"/>
          <w:szCs w:val="32"/>
          <w:lang w:eastAsia="zh-CN"/>
        </w:rPr>
      </w:pPr>
      <w:r>
        <w:rPr>
          <w:b/>
          <w:bCs/>
          <w:sz w:val="32"/>
          <w:szCs w:val="32"/>
        </w:rPr>
        <w:drawing>
          <wp:inline distT="0" distB="0" distL="114300" distR="114300">
            <wp:extent cx="5755005" cy="1592580"/>
            <wp:effectExtent l="0" t="0" r="17145" b="7620"/>
            <wp:docPr id="3" name="图片 3" descr="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5"/>
                    <pic:cNvPicPr>
                      <a:picLocks noChangeAspect="1"/>
                    </pic:cNvPicPr>
                  </pic:nvPicPr>
                  <pic:blipFill>
                    <a:blip r:embed="rId14"/>
                    <a:stretch>
                      <a:fillRect/>
                    </a:stretch>
                  </pic:blipFill>
                  <pic:spPr>
                    <a:xfrm>
                      <a:off x="0" y="0"/>
                      <a:ext cx="5755005" cy="1592580"/>
                    </a:xfrm>
                    <a:prstGeom prst="rect">
                      <a:avLst/>
                    </a:prstGeom>
                  </pic:spPr>
                </pic:pic>
              </a:graphicData>
            </a:graphic>
          </wp:inline>
        </w:drawing>
      </w:r>
    </w:p>
    <w:p w14:paraId="22060168">
      <w:pPr>
        <w:spacing w:line="360" w:lineRule="auto"/>
        <w:ind w:firstLine="0" w:firstLineChars="0"/>
        <w:jc w:val="both"/>
        <w:rPr>
          <w:rFonts w:eastAsiaTheme="minorEastAsia"/>
          <w:lang w:eastAsia="zh-CN"/>
        </w:rPr>
      </w:pPr>
      <w:r>
        <w:rPr>
          <w:rFonts w:eastAsiaTheme="minorEastAsia"/>
          <w:b/>
          <w:bCs/>
          <w:lang w:eastAsia="zh-CN"/>
        </w:rPr>
        <w:t>Fig</w:t>
      </w:r>
      <w:r>
        <w:rPr>
          <w:rFonts w:eastAsiaTheme="minorEastAsia"/>
          <w:b/>
          <w:bCs/>
          <w:lang w:val="en-US" w:eastAsia="zh-CN"/>
        </w:rPr>
        <w:t>.</w:t>
      </w:r>
      <w:r>
        <w:rPr>
          <w:rFonts w:eastAsiaTheme="minorEastAsia"/>
          <w:b/>
          <w:bCs/>
          <w:lang w:eastAsia="zh-CN"/>
        </w:rPr>
        <w:t>S3 A</w:t>
      </w:r>
      <w:r>
        <w:rPr>
          <w:rFonts w:eastAsiaTheme="minorEastAsia"/>
          <w:lang w:eastAsia="zh-CN"/>
        </w:rPr>
        <w:t xml:space="preserve">. The cytotoxic effects of different concentrations of DF (with ZnPc concentrations of 0.25-12.5 </w:t>
      </w:r>
      <w:r>
        <w:rPr>
          <w:lang w:eastAsia="zh-CN"/>
        </w:rPr>
        <w:t>μ</w:t>
      </w:r>
      <w:r>
        <w:rPr>
          <w:rFonts w:eastAsiaTheme="minorEastAsia"/>
          <w:lang w:eastAsia="zh-CN"/>
        </w:rPr>
        <w:t xml:space="preserve">M) under conditions of </w:t>
      </w:r>
      <w:r>
        <w:rPr>
          <w:rFonts w:eastAsiaTheme="minorEastAsia"/>
          <w:lang w:val="en-US" w:eastAsia="zh-CN"/>
        </w:rPr>
        <w:t>laser at 0.75 W cm</w:t>
      </w:r>
      <w:r>
        <w:rPr>
          <w:rFonts w:eastAsiaTheme="minorEastAsia"/>
          <w:vertAlign w:val="superscript"/>
          <w:lang w:val="en-US" w:eastAsia="zh-CN"/>
        </w:rPr>
        <w:t>-2</w:t>
      </w:r>
      <w:r>
        <w:rPr>
          <w:rFonts w:eastAsiaTheme="minorEastAsia"/>
          <w:lang w:val="en-US" w:eastAsia="zh-CN"/>
        </w:rPr>
        <w:t xml:space="preserve"> for 1 minute.</w:t>
      </w:r>
      <w:bookmarkEnd w:id="14"/>
      <w:r>
        <w:rPr>
          <w:rFonts w:eastAsiaTheme="minorEastAsia"/>
          <w:lang w:val="en-US" w:eastAsia="zh-CN"/>
        </w:rPr>
        <w:t xml:space="preserve"> </w:t>
      </w:r>
      <w:r>
        <w:rPr>
          <w:rFonts w:eastAsiaTheme="minorEastAsia"/>
          <w:b/>
          <w:bCs/>
          <w:lang w:eastAsia="zh-CN"/>
        </w:rPr>
        <w:t>B</w:t>
      </w:r>
      <w:r>
        <w:rPr>
          <w:rFonts w:eastAsiaTheme="minorEastAsia"/>
          <w:lang w:eastAsia="zh-CN"/>
        </w:rPr>
        <w:t>. Relative SOSG fluorescence intensity (indicating singlet oxygen generation) in B16F10 cells treated with ZnPc</w:t>
      </w:r>
      <w:r>
        <w:rPr>
          <w:rFonts w:eastAsiaTheme="minorEastAsia"/>
          <w:lang w:val="en-US" w:eastAsia="zh-CN"/>
        </w:rPr>
        <w:t>@</w:t>
      </w:r>
      <w:r>
        <w:rPr>
          <w:rFonts w:eastAsiaTheme="minorEastAsia"/>
          <w:lang w:eastAsia="zh-CN"/>
        </w:rPr>
        <w:t xml:space="preserve">DFs (0.75 μM ZnPc) under 660 nm laser irradiation at different power levels (0.1–0.75 W cm⁻²). </w:t>
      </w:r>
      <w:r>
        <w:rPr>
          <w:rFonts w:eastAsiaTheme="minorEastAsia"/>
          <w:b/>
          <w:bCs/>
          <w:lang w:eastAsia="zh-CN"/>
        </w:rPr>
        <w:t>C</w:t>
      </w:r>
      <w:r>
        <w:rPr>
          <w:rFonts w:eastAsiaTheme="minorEastAsia"/>
          <w:lang w:eastAsia="zh-CN"/>
        </w:rPr>
        <w:t>. Relative SOSG fluorescence intensity in B16F10 cells treated with ZnPc</w:t>
      </w:r>
      <w:r>
        <w:rPr>
          <w:rFonts w:eastAsiaTheme="minorEastAsia"/>
          <w:lang w:val="en-US" w:eastAsia="zh-CN"/>
        </w:rPr>
        <w:t>@</w:t>
      </w:r>
      <w:r>
        <w:rPr>
          <w:rFonts w:eastAsiaTheme="minorEastAsia"/>
          <w:lang w:eastAsia="zh-CN"/>
        </w:rPr>
        <w:t>DFs under 660 nm laser irradiation (0.75 W cm⁻²) for varying durations (0–180 s). Data are presented as mean ± standard deviation (n = 3 independent experiments).</w:t>
      </w:r>
    </w:p>
    <w:p w14:paraId="5B70B2C5">
      <w:pPr>
        <w:spacing w:line="360" w:lineRule="auto"/>
        <w:ind w:firstLine="0" w:firstLineChars="0"/>
        <w:jc w:val="both"/>
        <w:rPr>
          <w:rFonts w:eastAsiaTheme="minorEastAsia"/>
          <w:lang w:eastAsia="zh-CN"/>
        </w:rPr>
      </w:pPr>
    </w:p>
    <w:p w14:paraId="0D870E0E">
      <w:pPr>
        <w:pStyle w:val="44"/>
        <w:spacing w:line="360" w:lineRule="auto"/>
        <w:ind w:firstLine="0" w:firstLineChars="0"/>
        <w:jc w:val="both"/>
        <w:rPr>
          <w:rFonts w:eastAsiaTheme="minorEastAsia"/>
          <w:b/>
          <w:bCs/>
          <w:sz w:val="32"/>
          <w:szCs w:val="32"/>
          <w:lang w:val="de-DE" w:eastAsia="zh-CN"/>
        </w:rPr>
      </w:pPr>
      <w:r>
        <w:rPr>
          <w:rFonts w:eastAsiaTheme="minorEastAsia"/>
          <w:lang w:eastAsia="zh-CN"/>
        </w:rPr>
        <w:drawing>
          <wp:inline distT="0" distB="0" distL="0" distR="0">
            <wp:extent cx="5760720" cy="3351530"/>
            <wp:effectExtent l="0" t="0" r="0" b="1270"/>
            <wp:docPr id="19543974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397423" name="图片 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760720" cy="3351530"/>
                    </a:xfrm>
                    <a:prstGeom prst="rect">
                      <a:avLst/>
                    </a:prstGeom>
                  </pic:spPr>
                </pic:pic>
              </a:graphicData>
            </a:graphic>
          </wp:inline>
        </w:drawing>
      </w:r>
      <w:bookmarkStart w:id="15" w:name="_Hlk188734121"/>
    </w:p>
    <w:p w14:paraId="1132E470">
      <w:pPr>
        <w:spacing w:after="240"/>
        <w:ind w:firstLine="0" w:firstLineChars="0"/>
        <w:jc w:val="both"/>
        <w:rPr>
          <w:rFonts w:eastAsia="宋体"/>
          <w:spacing w:val="2"/>
          <w:lang w:eastAsia="zh-CN"/>
        </w:rPr>
      </w:pPr>
      <w:r>
        <w:rPr>
          <w:rFonts w:eastAsiaTheme="minorEastAsia"/>
          <w:b/>
          <w:bCs/>
          <w:lang w:eastAsia="zh-CN"/>
        </w:rPr>
        <w:t>Fig</w:t>
      </w:r>
      <w:r>
        <w:rPr>
          <w:rFonts w:eastAsiaTheme="minorEastAsia"/>
          <w:b/>
          <w:bCs/>
          <w:lang w:val="en-US" w:eastAsia="zh-CN"/>
        </w:rPr>
        <w:t>.</w:t>
      </w:r>
      <w:r>
        <w:rPr>
          <w:rFonts w:eastAsiaTheme="minorEastAsia"/>
          <w:b/>
          <w:bCs/>
          <w:lang w:eastAsia="zh-CN"/>
        </w:rPr>
        <w:t xml:space="preserve">S4: </w:t>
      </w:r>
      <w:r>
        <w:rPr>
          <w:rFonts w:eastAsiaTheme="minorEastAsia"/>
          <w:lang w:eastAsia="zh-CN"/>
        </w:rPr>
        <w:t>Under conditions of constant total energy from laser irradiation, thermal imaging was utilized to record the effects of varying exposure durations on the epidermal temperature of mice.</w:t>
      </w:r>
      <w:bookmarkEnd w:id="15"/>
      <w:r>
        <w:rPr>
          <w:rFonts w:eastAsia="宋体"/>
          <w:spacing w:val="2"/>
          <w:lang w:eastAsia="zh-CN"/>
        </w:rPr>
        <w:t xml:space="preserve"> </w:t>
      </w:r>
    </w:p>
    <w:p w14:paraId="68725CC0">
      <w:pPr>
        <w:spacing w:line="360" w:lineRule="auto"/>
        <w:ind w:firstLine="0" w:firstLineChars="0"/>
        <w:jc w:val="both"/>
        <w:rPr>
          <w:rFonts w:eastAsiaTheme="minorEastAsia"/>
          <w:lang w:eastAsia="zh-CN"/>
        </w:rPr>
      </w:pPr>
    </w:p>
    <w:p w14:paraId="065D1735">
      <w:pPr>
        <w:spacing w:line="360" w:lineRule="auto"/>
        <w:ind w:firstLine="0" w:firstLineChars="0"/>
        <w:jc w:val="both"/>
        <w:rPr>
          <w:rFonts w:eastAsiaTheme="minorEastAsia"/>
          <w:lang w:eastAsia="zh-CN"/>
        </w:rPr>
      </w:pPr>
      <w:r>
        <w:rPr>
          <w:rFonts w:eastAsiaTheme="minorEastAsia"/>
          <w:lang w:eastAsia="zh-CN"/>
        </w:rPr>
        <w:drawing>
          <wp:inline distT="0" distB="0" distL="114300" distR="114300">
            <wp:extent cx="3966845" cy="3994150"/>
            <wp:effectExtent l="0" t="0" r="14605" b="6350"/>
            <wp:docPr id="4" name="图片 4"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2"/>
                    <pic:cNvPicPr>
                      <a:picLocks noChangeAspect="1"/>
                    </pic:cNvPicPr>
                  </pic:nvPicPr>
                  <pic:blipFill>
                    <a:blip r:embed="rId16"/>
                    <a:stretch>
                      <a:fillRect/>
                    </a:stretch>
                  </pic:blipFill>
                  <pic:spPr>
                    <a:xfrm>
                      <a:off x="0" y="0"/>
                      <a:ext cx="3966845" cy="3994150"/>
                    </a:xfrm>
                    <a:prstGeom prst="rect">
                      <a:avLst/>
                    </a:prstGeom>
                  </pic:spPr>
                </pic:pic>
              </a:graphicData>
            </a:graphic>
          </wp:inline>
        </w:drawing>
      </w:r>
    </w:p>
    <w:p w14:paraId="3C4FFD7B">
      <w:pPr>
        <w:spacing w:line="360" w:lineRule="auto"/>
        <w:ind w:firstLine="0" w:firstLineChars="0"/>
        <w:jc w:val="both"/>
        <w:rPr>
          <w:rFonts w:eastAsiaTheme="minorEastAsia"/>
          <w:lang w:eastAsia="zh-CN"/>
        </w:rPr>
      </w:pPr>
      <w:r>
        <w:rPr>
          <w:rFonts w:eastAsiaTheme="minorEastAsia"/>
          <w:b/>
          <w:bCs/>
          <w:lang w:eastAsia="zh-CN"/>
        </w:rPr>
        <w:t>Fig</w:t>
      </w:r>
      <w:r>
        <w:rPr>
          <w:rFonts w:eastAsiaTheme="minorEastAsia"/>
          <w:b/>
          <w:bCs/>
          <w:lang w:val="en-US" w:eastAsia="zh-CN"/>
        </w:rPr>
        <w:t>.</w:t>
      </w:r>
      <w:r>
        <w:rPr>
          <w:rFonts w:eastAsiaTheme="minorEastAsia"/>
          <w:b/>
          <w:bCs/>
          <w:lang w:eastAsia="zh-CN"/>
        </w:rPr>
        <w:t>S</w:t>
      </w:r>
      <w:r>
        <w:rPr>
          <w:rFonts w:eastAsiaTheme="minorEastAsia"/>
          <w:b/>
          <w:bCs/>
          <w:lang w:val="en-US" w:eastAsia="zh-CN"/>
        </w:rPr>
        <w:t>5</w:t>
      </w:r>
      <w:r>
        <w:rPr>
          <w:rFonts w:eastAsiaTheme="minorEastAsia"/>
          <w:b/>
          <w:bCs/>
          <w:lang w:eastAsia="zh-CN"/>
        </w:rPr>
        <w:t xml:space="preserve"> </w:t>
      </w:r>
      <w:r>
        <w:rPr>
          <w:lang w:eastAsia="zh-CN"/>
        </w:rPr>
        <w:t xml:space="preserve">The representative </w:t>
      </w:r>
      <w:r>
        <w:rPr>
          <w:rFonts w:hint="eastAsia"/>
          <w:lang w:eastAsia="zh-CN"/>
        </w:rPr>
        <w:t>H.E.</w:t>
      </w:r>
      <w:r>
        <w:rPr>
          <w:lang w:eastAsia="zh-CN"/>
        </w:rPr>
        <w:t xml:space="preserve"> staining assay of excised major organs after different treatments at day 14. Scale bar is 100 μm.</w:t>
      </w:r>
    </w:p>
    <w:p w14:paraId="63BC3E7C">
      <w:pPr>
        <w:spacing w:line="360" w:lineRule="auto"/>
        <w:ind w:firstLine="0" w:firstLineChars="0"/>
        <w:jc w:val="both"/>
        <w:rPr>
          <w:rFonts w:eastAsiaTheme="minorEastAsia"/>
          <w:lang w:eastAsia="zh-CN"/>
        </w:rPr>
      </w:pPr>
    </w:p>
    <w:p w14:paraId="47B5FCFA">
      <w:pPr>
        <w:spacing w:line="360" w:lineRule="auto"/>
        <w:ind w:firstLine="0" w:firstLineChars="0"/>
        <w:jc w:val="both"/>
        <w:rPr>
          <w:rFonts w:eastAsiaTheme="minorEastAsia"/>
          <w:lang w:eastAsia="zh-CN"/>
        </w:rPr>
      </w:pPr>
    </w:p>
    <w:p w14:paraId="2BB6EC2C">
      <w:pPr>
        <w:pStyle w:val="10"/>
        <w:widowControl/>
        <w:spacing w:after="240"/>
        <w:ind w:firstLine="320"/>
        <w:rPr>
          <w:rFonts w:ascii="Times New Roman" w:hAnsi="Times New Roman"/>
          <w:spacing w:val="2"/>
        </w:rPr>
      </w:pPr>
      <w:r>
        <w:rPr>
          <w:rStyle w:val="18"/>
          <w:rFonts w:ascii="Times New Roman" w:hAnsi="Times New Roman" w:eastAsia="MS Mincho"/>
          <w:kern w:val="0"/>
          <w:lang w:val="zh-CN" w:eastAsia="ja-JP"/>
        </w:rPr>
        <w:drawing>
          <wp:inline distT="0" distB="0" distL="114300" distR="114300">
            <wp:extent cx="5755640" cy="3796030"/>
            <wp:effectExtent l="0" t="0" r="16510" b="13970"/>
            <wp:docPr id="5" name="图片 5" descr="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7"/>
                    <pic:cNvPicPr>
                      <a:picLocks noChangeAspect="1"/>
                    </pic:cNvPicPr>
                  </pic:nvPicPr>
                  <pic:blipFill>
                    <a:blip r:embed="rId17"/>
                    <a:stretch>
                      <a:fillRect/>
                    </a:stretch>
                  </pic:blipFill>
                  <pic:spPr>
                    <a:xfrm>
                      <a:off x="0" y="0"/>
                      <a:ext cx="5755640" cy="3796030"/>
                    </a:xfrm>
                    <a:prstGeom prst="rect">
                      <a:avLst/>
                    </a:prstGeom>
                  </pic:spPr>
                </pic:pic>
              </a:graphicData>
            </a:graphic>
          </wp:inline>
        </w:drawing>
      </w:r>
    </w:p>
    <w:p w14:paraId="238F164C">
      <w:pPr>
        <w:spacing w:line="360" w:lineRule="auto"/>
        <w:ind w:firstLine="0" w:firstLineChars="0"/>
        <w:jc w:val="both"/>
        <w:rPr>
          <w:rFonts w:eastAsiaTheme="minorEastAsia"/>
          <w:b/>
          <w:bCs/>
          <w:lang w:eastAsia="zh-CN"/>
        </w:rPr>
      </w:pPr>
      <w:r>
        <w:rPr>
          <w:rFonts w:eastAsiaTheme="minorEastAsia"/>
          <w:b/>
          <w:bCs/>
          <w:lang w:eastAsia="zh-CN"/>
        </w:rPr>
        <w:t>Fig.S</w:t>
      </w:r>
      <w:r>
        <w:rPr>
          <w:rFonts w:eastAsiaTheme="minorEastAsia"/>
          <w:b/>
          <w:bCs/>
          <w:lang w:val="en-US" w:eastAsia="zh-CN"/>
        </w:rPr>
        <w:t>6</w:t>
      </w:r>
      <w:r>
        <w:rPr>
          <w:rFonts w:eastAsiaTheme="minorEastAsia"/>
          <w:b/>
          <w:bCs/>
          <w:lang w:eastAsia="zh-CN"/>
        </w:rPr>
        <w:t>：</w:t>
      </w:r>
      <w:r>
        <w:rPr>
          <w:rFonts w:eastAsiaTheme="minorEastAsia"/>
          <w:lang w:eastAsia="zh-CN"/>
        </w:rPr>
        <w:t>Serum levels of ALT, AST, BUN, and CRE in mice on day 14 after treatment (n = 5 biologically independent samples)</w:t>
      </w:r>
    </w:p>
    <w:p w14:paraId="435731EF">
      <w:pPr>
        <w:spacing w:line="360" w:lineRule="auto"/>
        <w:ind w:firstLine="0" w:firstLineChars="0"/>
        <w:jc w:val="both"/>
        <w:rPr>
          <w:rFonts w:eastAsiaTheme="minorEastAsia"/>
          <w:lang w:val="en-US" w:eastAsia="zh-CN"/>
        </w:rPr>
      </w:pPr>
    </w:p>
    <w:p w14:paraId="03236CE1">
      <w:pPr>
        <w:spacing w:line="360" w:lineRule="auto"/>
        <w:ind w:firstLine="0" w:firstLineChars="0"/>
        <w:jc w:val="both"/>
        <w:rPr>
          <w:rFonts w:eastAsiaTheme="minorEastAsia"/>
          <w:lang w:val="en-US" w:eastAsia="zh-CN"/>
        </w:rPr>
      </w:pPr>
    </w:p>
    <w:p w14:paraId="0114990F">
      <w:pPr>
        <w:spacing w:line="360" w:lineRule="auto"/>
        <w:ind w:firstLine="0" w:firstLineChars="0"/>
        <w:jc w:val="both"/>
        <w:rPr>
          <w:rFonts w:eastAsiaTheme="minorEastAsia"/>
          <w:lang w:eastAsia="zh-CN"/>
        </w:rPr>
      </w:pPr>
    </w:p>
    <w:p w14:paraId="0E40731A">
      <w:pPr>
        <w:spacing w:line="360" w:lineRule="auto"/>
        <w:ind w:firstLine="0" w:firstLineChars="0"/>
        <w:jc w:val="both"/>
        <w:rPr>
          <w:rFonts w:eastAsiaTheme="minorEastAsia"/>
          <w:lang w:eastAsia="zh-CN"/>
        </w:rPr>
      </w:pPr>
    </w:p>
    <w:p w14:paraId="598C5BB8">
      <w:pPr>
        <w:spacing w:line="360" w:lineRule="auto"/>
        <w:ind w:firstLine="0" w:firstLineChars="0"/>
        <w:jc w:val="both"/>
        <w:rPr>
          <w:rFonts w:eastAsiaTheme="minorEastAsia"/>
          <w:lang w:eastAsia="zh-CN"/>
        </w:rPr>
      </w:pPr>
    </w:p>
    <w:p w14:paraId="78A78028">
      <w:pPr>
        <w:spacing w:line="360" w:lineRule="auto"/>
        <w:ind w:firstLine="0" w:firstLineChars="0"/>
        <w:jc w:val="both"/>
        <w:rPr>
          <w:rFonts w:eastAsiaTheme="minorEastAsia"/>
          <w:lang w:eastAsia="zh-CN"/>
        </w:rPr>
      </w:pPr>
    </w:p>
    <w:p w14:paraId="4CEC7A8A">
      <w:pPr>
        <w:spacing w:line="360" w:lineRule="auto"/>
        <w:ind w:firstLine="0" w:firstLineChars="0"/>
        <w:jc w:val="both"/>
        <w:rPr>
          <w:rFonts w:eastAsiaTheme="minorEastAsia"/>
          <w:lang w:eastAsia="zh-CN"/>
        </w:rPr>
      </w:pPr>
    </w:p>
    <w:p w14:paraId="2725CB4A">
      <w:pPr>
        <w:spacing w:line="360" w:lineRule="auto"/>
        <w:ind w:firstLine="0" w:firstLineChars="0"/>
        <w:jc w:val="both"/>
        <w:rPr>
          <w:rFonts w:eastAsiaTheme="minorEastAsia"/>
          <w:lang w:eastAsia="zh-CN"/>
        </w:rPr>
      </w:pPr>
    </w:p>
    <w:p w14:paraId="6FF49079">
      <w:pPr>
        <w:spacing w:line="360" w:lineRule="auto"/>
        <w:ind w:firstLine="0" w:firstLineChars="0"/>
        <w:jc w:val="both"/>
        <w:rPr>
          <w:rFonts w:eastAsiaTheme="minorEastAsia"/>
          <w:lang w:eastAsia="zh-CN"/>
        </w:rPr>
      </w:pPr>
    </w:p>
    <w:p w14:paraId="145773D0">
      <w:pPr>
        <w:spacing w:line="360" w:lineRule="auto"/>
        <w:ind w:firstLine="0" w:firstLineChars="0"/>
        <w:jc w:val="both"/>
        <w:rPr>
          <w:rFonts w:eastAsiaTheme="minorEastAsia"/>
          <w:lang w:eastAsia="zh-CN"/>
        </w:rPr>
      </w:pPr>
    </w:p>
    <w:p w14:paraId="7A029DCB">
      <w:pPr>
        <w:spacing w:line="360" w:lineRule="auto"/>
        <w:ind w:firstLine="0" w:firstLineChars="0"/>
        <w:jc w:val="both"/>
        <w:rPr>
          <w:rFonts w:eastAsiaTheme="minorEastAsia"/>
          <w:lang w:eastAsia="zh-CN"/>
        </w:rPr>
      </w:pPr>
    </w:p>
    <w:p w14:paraId="516C6D88">
      <w:pPr>
        <w:spacing w:line="360" w:lineRule="auto"/>
        <w:ind w:firstLine="0" w:firstLineChars="0"/>
        <w:jc w:val="both"/>
        <w:rPr>
          <w:rFonts w:eastAsiaTheme="minorEastAsia"/>
          <w:lang w:eastAsia="zh-CN"/>
        </w:rPr>
      </w:pPr>
    </w:p>
    <w:p w14:paraId="47B2CCC1">
      <w:pPr>
        <w:spacing w:line="360" w:lineRule="auto"/>
        <w:ind w:firstLine="0" w:firstLineChars="0"/>
        <w:jc w:val="both"/>
        <w:rPr>
          <w:rFonts w:eastAsiaTheme="minorEastAsia"/>
          <w:lang w:eastAsia="zh-CN"/>
        </w:rPr>
      </w:pPr>
    </w:p>
    <w:p w14:paraId="3165D37E">
      <w:pPr>
        <w:spacing w:line="360" w:lineRule="auto"/>
        <w:ind w:firstLine="0" w:firstLineChars="0"/>
        <w:jc w:val="both"/>
        <w:rPr>
          <w:rFonts w:eastAsiaTheme="minorEastAsia"/>
          <w:lang w:eastAsia="zh-CN"/>
        </w:rPr>
      </w:pPr>
    </w:p>
    <w:p w14:paraId="2A6F5846">
      <w:pPr>
        <w:spacing w:line="360" w:lineRule="auto"/>
        <w:ind w:firstLine="0" w:firstLineChars="0"/>
        <w:jc w:val="both"/>
        <w:rPr>
          <w:rFonts w:eastAsiaTheme="minorEastAsia"/>
          <w:lang w:eastAsia="zh-CN"/>
        </w:rPr>
      </w:pPr>
    </w:p>
    <w:p w14:paraId="0C9A448F">
      <w:pPr>
        <w:spacing w:line="360" w:lineRule="auto"/>
        <w:ind w:firstLine="0" w:firstLineChars="0"/>
        <w:jc w:val="both"/>
        <w:rPr>
          <w:rFonts w:eastAsiaTheme="minorEastAsia"/>
          <w:lang w:eastAsia="zh-CN"/>
        </w:rPr>
      </w:pPr>
    </w:p>
    <w:p w14:paraId="1544CE3C">
      <w:pPr>
        <w:spacing w:line="360" w:lineRule="auto"/>
        <w:ind w:firstLine="0" w:firstLineChars="0"/>
        <w:jc w:val="both"/>
        <w:rPr>
          <w:rFonts w:eastAsiaTheme="minorEastAsia"/>
          <w:lang w:eastAsia="zh-CN"/>
        </w:rPr>
      </w:pPr>
    </w:p>
    <w:p w14:paraId="0BA894B0">
      <w:pPr>
        <w:spacing w:line="360" w:lineRule="auto"/>
        <w:ind w:firstLine="0" w:firstLineChars="0"/>
        <w:jc w:val="both"/>
        <w:rPr>
          <w:rFonts w:eastAsiaTheme="minorEastAsia"/>
          <w:lang w:eastAsia="zh-CN"/>
        </w:rPr>
      </w:pPr>
    </w:p>
    <w:p w14:paraId="5D5CE2F3">
      <w:pPr>
        <w:spacing w:line="360" w:lineRule="auto"/>
        <w:ind w:firstLine="0" w:firstLineChars="0"/>
        <w:jc w:val="both"/>
        <w:rPr>
          <w:rFonts w:eastAsiaTheme="minorEastAsia"/>
          <w:lang w:eastAsia="zh-CN"/>
        </w:rPr>
      </w:pPr>
    </w:p>
    <w:p w14:paraId="1B57BA83">
      <w:pPr>
        <w:spacing w:line="360" w:lineRule="auto"/>
        <w:ind w:firstLine="480"/>
        <w:jc w:val="both"/>
        <w:rPr>
          <w:rFonts w:eastAsiaTheme="minorEastAsia"/>
          <w:b/>
          <w:lang w:val="en-US" w:eastAsia="zh-CN"/>
        </w:rPr>
      </w:pPr>
      <w:r>
        <w:rPr>
          <w:rFonts w:eastAsiaTheme="minorEastAsia"/>
          <w:b/>
          <w:lang w:val="en-US" w:eastAsia="zh-CN"/>
        </w:rPr>
        <w:t>Supplementary table</w:t>
      </w:r>
    </w:p>
    <w:p w14:paraId="2D5372A9">
      <w:pPr>
        <w:spacing w:line="360" w:lineRule="auto"/>
        <w:ind w:firstLine="480"/>
        <w:jc w:val="both"/>
        <w:rPr>
          <w:rFonts w:eastAsiaTheme="minorEastAsia"/>
          <w:b/>
          <w:lang w:val="en-US" w:eastAsia="zh-CN"/>
        </w:rPr>
      </w:pPr>
    </w:p>
    <w:tbl>
      <w:tblPr>
        <w:tblStyle w:val="1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0" w:type="dxa"/>
          <w:left w:w="128" w:type="dxa"/>
          <w:bottom w:w="80" w:type="dxa"/>
          <w:right w:w="128" w:type="dxa"/>
        </w:tblCellMar>
      </w:tblPr>
      <w:tblGrid>
        <w:gridCol w:w="2046"/>
        <w:gridCol w:w="2049"/>
        <w:gridCol w:w="2372"/>
        <w:gridCol w:w="2605"/>
      </w:tblGrid>
      <w:tr w14:paraId="06C6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8" w:type="dxa"/>
            <w:bottom w:w="80" w:type="dxa"/>
            <w:right w:w="128" w:type="dxa"/>
          </w:tblCellMar>
        </w:tblPrEx>
        <w:trPr>
          <w:tblHeader/>
          <w:jc w:val="center"/>
        </w:trPr>
        <w:tc>
          <w:tcPr>
            <w:tcW w:w="2046" w:type="dxa"/>
            <w:vAlign w:val="center"/>
          </w:tcPr>
          <w:p w14:paraId="7117E257">
            <w:pPr>
              <w:snapToGrid w:val="0"/>
              <w:ind w:firstLine="0" w:firstLineChars="0"/>
              <w:rPr>
                <w:b/>
                <w:sz w:val="21"/>
                <w:lang w:eastAsia="zh-CN"/>
              </w:rPr>
            </w:pPr>
            <w:r>
              <w:rPr>
                <w:b/>
                <w:sz w:val="21"/>
                <w:lang w:eastAsia="zh-CN"/>
              </w:rPr>
              <w:t>Group</w:t>
            </w:r>
          </w:p>
        </w:tc>
        <w:tc>
          <w:tcPr>
            <w:tcW w:w="2049" w:type="dxa"/>
            <w:vAlign w:val="center"/>
          </w:tcPr>
          <w:p w14:paraId="5AF05FD1">
            <w:pPr>
              <w:snapToGrid w:val="0"/>
              <w:ind w:firstLine="0" w:firstLineChars="0"/>
              <w:rPr>
                <w:b/>
                <w:sz w:val="21"/>
                <w:lang w:eastAsia="zh-CN"/>
              </w:rPr>
            </w:pPr>
            <w:r>
              <w:rPr>
                <w:b/>
                <w:sz w:val="21"/>
                <w:lang w:eastAsia="zh-CN"/>
              </w:rPr>
              <w:t>Liver(%)</w:t>
            </w:r>
          </w:p>
        </w:tc>
        <w:tc>
          <w:tcPr>
            <w:tcW w:w="2372" w:type="dxa"/>
            <w:vAlign w:val="center"/>
          </w:tcPr>
          <w:p w14:paraId="14ED1FE7">
            <w:pPr>
              <w:snapToGrid w:val="0"/>
              <w:ind w:firstLine="0" w:firstLineChars="0"/>
              <w:rPr>
                <w:b/>
                <w:sz w:val="21"/>
                <w:lang w:eastAsia="zh-CN"/>
              </w:rPr>
            </w:pPr>
            <w:r>
              <w:rPr>
                <w:b/>
                <w:sz w:val="21"/>
                <w:lang w:eastAsia="zh-CN"/>
              </w:rPr>
              <w:t>spleen(%)</w:t>
            </w:r>
          </w:p>
        </w:tc>
        <w:tc>
          <w:tcPr>
            <w:tcW w:w="2605" w:type="dxa"/>
            <w:vAlign w:val="center"/>
          </w:tcPr>
          <w:p w14:paraId="2681B4AB">
            <w:pPr>
              <w:snapToGrid w:val="0"/>
              <w:ind w:firstLine="0" w:firstLineChars="0"/>
              <w:rPr>
                <w:b/>
                <w:sz w:val="21"/>
                <w:lang w:eastAsia="zh-CN"/>
              </w:rPr>
            </w:pPr>
            <w:r>
              <w:rPr>
                <w:b/>
                <w:sz w:val="21"/>
                <w:lang w:eastAsia="zh-CN"/>
              </w:rPr>
              <w:t>kidney(%)</w:t>
            </w:r>
          </w:p>
        </w:tc>
      </w:tr>
      <w:tr w14:paraId="166AE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8" w:type="dxa"/>
            <w:bottom w:w="80" w:type="dxa"/>
            <w:right w:w="128" w:type="dxa"/>
          </w:tblCellMar>
        </w:tblPrEx>
        <w:trPr>
          <w:jc w:val="center"/>
        </w:trPr>
        <w:tc>
          <w:tcPr>
            <w:tcW w:w="2046" w:type="dxa"/>
            <w:vAlign w:val="center"/>
          </w:tcPr>
          <w:p w14:paraId="772F1AB6">
            <w:pPr>
              <w:snapToGrid w:val="0"/>
              <w:ind w:firstLine="0" w:firstLineChars="0"/>
              <w:rPr>
                <w:b/>
                <w:sz w:val="21"/>
                <w:lang w:eastAsia="zh-CN"/>
              </w:rPr>
            </w:pPr>
            <w:r>
              <w:rPr>
                <w:b/>
                <w:sz w:val="21"/>
                <w:lang w:eastAsia="zh-CN"/>
              </w:rPr>
              <w:t>control</w:t>
            </w:r>
          </w:p>
        </w:tc>
        <w:tc>
          <w:tcPr>
            <w:tcW w:w="2049" w:type="dxa"/>
            <w:vAlign w:val="center"/>
          </w:tcPr>
          <w:p w14:paraId="4F9C62F6">
            <w:pPr>
              <w:snapToGrid w:val="0"/>
              <w:ind w:firstLine="0" w:firstLineChars="0"/>
              <w:rPr>
                <w:bCs/>
                <w:sz w:val="21"/>
                <w:lang w:eastAsia="zh-CN"/>
              </w:rPr>
            </w:pPr>
            <w:r>
              <w:rPr>
                <w:bCs/>
                <w:sz w:val="21"/>
                <w:lang w:eastAsia="zh-CN"/>
              </w:rPr>
              <w:t>3.9±0.3</w:t>
            </w:r>
          </w:p>
        </w:tc>
        <w:tc>
          <w:tcPr>
            <w:tcW w:w="2372" w:type="dxa"/>
            <w:vAlign w:val="center"/>
          </w:tcPr>
          <w:p w14:paraId="52FFAF98">
            <w:pPr>
              <w:snapToGrid w:val="0"/>
              <w:ind w:firstLine="0" w:firstLineChars="0"/>
              <w:rPr>
                <w:bCs/>
                <w:sz w:val="21"/>
                <w:lang w:eastAsia="zh-CN"/>
              </w:rPr>
            </w:pPr>
            <w:r>
              <w:rPr>
                <w:bCs/>
                <w:sz w:val="21"/>
                <w:lang w:eastAsia="zh-CN"/>
              </w:rPr>
              <w:t>0.31±0.1</w:t>
            </w:r>
          </w:p>
        </w:tc>
        <w:tc>
          <w:tcPr>
            <w:tcW w:w="2605" w:type="dxa"/>
            <w:vAlign w:val="center"/>
          </w:tcPr>
          <w:p w14:paraId="6238652B">
            <w:pPr>
              <w:snapToGrid w:val="0"/>
              <w:ind w:firstLine="0" w:firstLineChars="0"/>
              <w:rPr>
                <w:bCs/>
                <w:sz w:val="21"/>
                <w:lang w:eastAsia="zh-CN"/>
              </w:rPr>
            </w:pPr>
            <w:r>
              <w:rPr>
                <w:bCs/>
                <w:sz w:val="21"/>
                <w:lang w:eastAsia="zh-CN"/>
              </w:rPr>
              <w:t>0.77±0.2</w:t>
            </w:r>
          </w:p>
        </w:tc>
      </w:tr>
      <w:tr w14:paraId="3C08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8" w:type="dxa"/>
            <w:bottom w:w="80" w:type="dxa"/>
            <w:right w:w="128" w:type="dxa"/>
          </w:tblCellMar>
        </w:tblPrEx>
        <w:trPr>
          <w:jc w:val="center"/>
        </w:trPr>
        <w:tc>
          <w:tcPr>
            <w:tcW w:w="2046" w:type="dxa"/>
            <w:vAlign w:val="center"/>
          </w:tcPr>
          <w:p w14:paraId="79E911E0">
            <w:pPr>
              <w:snapToGrid w:val="0"/>
              <w:ind w:firstLine="0" w:firstLineChars="0"/>
              <w:rPr>
                <w:b/>
                <w:sz w:val="21"/>
                <w:lang w:eastAsia="zh-CN"/>
              </w:rPr>
            </w:pPr>
            <w:r>
              <w:rPr>
                <w:b/>
                <w:sz w:val="21"/>
                <w:lang w:eastAsia="zh-CN"/>
              </w:rPr>
              <w:t>14d</w:t>
            </w:r>
          </w:p>
        </w:tc>
        <w:tc>
          <w:tcPr>
            <w:tcW w:w="2049" w:type="dxa"/>
            <w:vAlign w:val="center"/>
          </w:tcPr>
          <w:p w14:paraId="7C633B03">
            <w:pPr>
              <w:snapToGrid w:val="0"/>
              <w:ind w:firstLine="0" w:firstLineChars="0"/>
              <w:rPr>
                <w:bCs/>
                <w:sz w:val="21"/>
                <w:lang w:eastAsia="zh-CN"/>
              </w:rPr>
            </w:pPr>
            <w:r>
              <w:rPr>
                <w:bCs/>
                <w:sz w:val="21"/>
                <w:lang w:eastAsia="zh-CN"/>
              </w:rPr>
              <w:t>3.7±0.6</w:t>
            </w:r>
          </w:p>
        </w:tc>
        <w:tc>
          <w:tcPr>
            <w:tcW w:w="2372" w:type="dxa"/>
            <w:vAlign w:val="center"/>
          </w:tcPr>
          <w:p w14:paraId="2A100880">
            <w:pPr>
              <w:snapToGrid w:val="0"/>
              <w:ind w:firstLine="0" w:firstLineChars="0"/>
              <w:rPr>
                <w:bCs/>
                <w:sz w:val="21"/>
                <w:lang w:eastAsia="zh-CN"/>
              </w:rPr>
            </w:pPr>
            <w:r>
              <w:rPr>
                <w:bCs/>
                <w:sz w:val="21"/>
                <w:lang w:eastAsia="zh-CN"/>
              </w:rPr>
              <w:t>0.29±0.08</w:t>
            </w:r>
          </w:p>
        </w:tc>
        <w:tc>
          <w:tcPr>
            <w:tcW w:w="2605" w:type="dxa"/>
            <w:vAlign w:val="center"/>
          </w:tcPr>
          <w:p w14:paraId="0DFE3D09">
            <w:pPr>
              <w:snapToGrid w:val="0"/>
              <w:ind w:firstLine="0" w:firstLineChars="0"/>
              <w:rPr>
                <w:bCs/>
                <w:sz w:val="21"/>
                <w:lang w:eastAsia="zh-CN"/>
              </w:rPr>
            </w:pPr>
            <w:r>
              <w:rPr>
                <w:bCs/>
                <w:sz w:val="21"/>
                <w:lang w:eastAsia="zh-CN"/>
              </w:rPr>
              <w:t>0.83±0.1</w:t>
            </w:r>
          </w:p>
        </w:tc>
      </w:tr>
      <w:tr w14:paraId="21F4A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8" w:type="dxa"/>
            <w:bottom w:w="80" w:type="dxa"/>
            <w:right w:w="128" w:type="dxa"/>
          </w:tblCellMar>
        </w:tblPrEx>
        <w:trPr>
          <w:jc w:val="center"/>
        </w:trPr>
        <w:tc>
          <w:tcPr>
            <w:tcW w:w="2046" w:type="dxa"/>
            <w:vAlign w:val="center"/>
          </w:tcPr>
          <w:p w14:paraId="3303A899">
            <w:pPr>
              <w:snapToGrid w:val="0"/>
              <w:ind w:firstLine="0" w:firstLineChars="0"/>
              <w:rPr>
                <w:b/>
                <w:sz w:val="21"/>
                <w:lang w:eastAsia="zh-CN"/>
              </w:rPr>
            </w:pPr>
            <w:r>
              <w:rPr>
                <w:b/>
                <w:sz w:val="21"/>
                <w:lang w:eastAsia="zh-CN"/>
              </w:rPr>
              <w:t>28d</w:t>
            </w:r>
          </w:p>
        </w:tc>
        <w:tc>
          <w:tcPr>
            <w:tcW w:w="2049" w:type="dxa"/>
            <w:vAlign w:val="center"/>
          </w:tcPr>
          <w:p w14:paraId="114102B6">
            <w:pPr>
              <w:snapToGrid w:val="0"/>
              <w:ind w:firstLine="0" w:firstLineChars="0"/>
              <w:rPr>
                <w:bCs/>
                <w:sz w:val="21"/>
                <w:lang w:eastAsia="zh-CN"/>
              </w:rPr>
            </w:pPr>
            <w:r>
              <w:rPr>
                <w:bCs/>
                <w:sz w:val="21"/>
                <w:lang w:eastAsia="zh-CN"/>
              </w:rPr>
              <w:t>4.3±0.4</w:t>
            </w:r>
          </w:p>
        </w:tc>
        <w:tc>
          <w:tcPr>
            <w:tcW w:w="2372" w:type="dxa"/>
            <w:vAlign w:val="center"/>
          </w:tcPr>
          <w:p w14:paraId="29E05A42">
            <w:pPr>
              <w:snapToGrid w:val="0"/>
              <w:ind w:firstLine="0" w:firstLineChars="0"/>
              <w:rPr>
                <w:bCs/>
                <w:sz w:val="21"/>
                <w:lang w:eastAsia="zh-CN"/>
              </w:rPr>
            </w:pPr>
            <w:r>
              <w:rPr>
                <w:bCs/>
                <w:sz w:val="21"/>
                <w:lang w:eastAsia="zh-CN"/>
              </w:rPr>
              <w:t>0.32±0.07</w:t>
            </w:r>
          </w:p>
        </w:tc>
        <w:tc>
          <w:tcPr>
            <w:tcW w:w="2605" w:type="dxa"/>
            <w:vAlign w:val="center"/>
          </w:tcPr>
          <w:p w14:paraId="69D819E3">
            <w:pPr>
              <w:snapToGrid w:val="0"/>
              <w:ind w:firstLine="0" w:firstLineChars="0"/>
              <w:rPr>
                <w:bCs/>
                <w:sz w:val="21"/>
                <w:lang w:eastAsia="zh-CN"/>
              </w:rPr>
            </w:pPr>
            <w:r>
              <w:rPr>
                <w:bCs/>
                <w:sz w:val="21"/>
                <w:lang w:eastAsia="zh-CN"/>
              </w:rPr>
              <w:t>0.88±0.13</w:t>
            </w:r>
          </w:p>
        </w:tc>
      </w:tr>
    </w:tbl>
    <w:p w14:paraId="238119B5">
      <w:pPr>
        <w:spacing w:line="360" w:lineRule="auto"/>
        <w:ind w:firstLine="0" w:firstLineChars="0"/>
        <w:jc w:val="both"/>
        <w:rPr>
          <w:rFonts w:eastAsiaTheme="minorEastAsia"/>
          <w:lang w:eastAsia="zh-CN"/>
        </w:rPr>
      </w:pPr>
      <w:r>
        <w:rPr>
          <w:lang w:eastAsia="zh-CN"/>
        </w:rPr>
        <w:t>Table S</w:t>
      </w:r>
      <w:r>
        <w:rPr>
          <w:rFonts w:hint="eastAsia"/>
          <w:lang w:val="en-US" w:eastAsia="zh-CN"/>
        </w:rPr>
        <w:t>1</w:t>
      </w:r>
      <w:r>
        <w:rPr>
          <w:lang w:eastAsia="zh-CN"/>
        </w:rPr>
        <w:t>:</w:t>
      </w:r>
      <w:r>
        <w:rPr>
          <w:rFonts w:eastAsiaTheme="minorEastAsia"/>
          <w:lang w:eastAsia="zh-CN"/>
        </w:rPr>
        <w:t xml:space="preserve"> </w:t>
      </w:r>
      <w:r>
        <w:rPr>
          <w:lang w:eastAsia="zh-CN"/>
        </w:rPr>
        <w:t>Organ coefficient statistics of mice on the 14th and 28th days after treatment (n = 5 biologically independent samples)</w:t>
      </w:r>
    </w:p>
    <w:p w14:paraId="4F9D7534">
      <w:pPr>
        <w:spacing w:line="360" w:lineRule="auto"/>
        <w:ind w:firstLine="480"/>
        <w:jc w:val="both"/>
        <w:rPr>
          <w:rFonts w:eastAsiaTheme="minorEastAsia"/>
          <w:b/>
          <w:lang w:val="en-US" w:eastAsia="zh-CN"/>
        </w:rPr>
      </w:pPr>
    </w:p>
    <w:p w14:paraId="76AF539D">
      <w:pPr>
        <w:spacing w:line="360" w:lineRule="auto"/>
        <w:ind w:firstLine="480"/>
        <w:jc w:val="both"/>
        <w:rPr>
          <w:rFonts w:eastAsiaTheme="minorEastAsia"/>
          <w:b/>
          <w:lang w:val="en-US" w:eastAsia="zh-CN"/>
        </w:rPr>
      </w:pPr>
    </w:p>
    <w:p w14:paraId="0D571B58">
      <w:pPr>
        <w:spacing w:line="360" w:lineRule="auto"/>
        <w:ind w:firstLine="480"/>
        <w:jc w:val="both"/>
        <w:rPr>
          <w:rFonts w:eastAsiaTheme="minorEastAsia"/>
          <w:b/>
          <w:lang w:val="en-US" w:eastAsia="zh-CN"/>
        </w:rPr>
      </w:pPr>
    </w:p>
    <w:p w14:paraId="3C1FA9E8">
      <w:pPr>
        <w:spacing w:line="360" w:lineRule="auto"/>
        <w:ind w:firstLine="480"/>
        <w:jc w:val="both"/>
        <w:rPr>
          <w:rFonts w:eastAsiaTheme="minorEastAsia"/>
          <w:b/>
          <w:lang w:val="en-US" w:eastAsia="zh-CN"/>
        </w:rPr>
      </w:pPr>
    </w:p>
    <w:tbl>
      <w:tblPr>
        <w:tblStyle w:val="13"/>
        <w:tblpPr w:leftFromText="180" w:rightFromText="180" w:vertAnchor="text" w:horzAnchor="page" w:tblpX="1433" w:tblpY="412"/>
        <w:tblOverlap w:val="never"/>
        <w:tblW w:w="92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9"/>
        <w:gridCol w:w="7885"/>
      </w:tblGrid>
      <w:tr w14:paraId="03D85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9214" w:type="dxa"/>
            <w:gridSpan w:val="2"/>
          </w:tcPr>
          <w:p w14:paraId="34D33421">
            <w:pPr>
              <w:spacing w:line="360" w:lineRule="auto"/>
              <w:ind w:firstLine="0" w:firstLineChars="0"/>
              <w:jc w:val="both"/>
              <w:rPr>
                <w:rFonts w:eastAsiaTheme="minorEastAsia"/>
                <w:color w:val="auto"/>
                <w:lang w:eastAsia="zh-CN"/>
              </w:rPr>
            </w:pPr>
            <w:r>
              <w:rPr>
                <w:rFonts w:eastAsiaTheme="minorEastAsia"/>
                <w:color w:val="auto"/>
                <w:lang w:eastAsia="zh-CN"/>
              </w:rPr>
              <w:t>Name                                                               Sequences (5'-3')</w:t>
            </w:r>
          </w:p>
        </w:tc>
      </w:tr>
      <w:tr w14:paraId="327FF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1329" w:type="dxa"/>
          </w:tcPr>
          <w:p w14:paraId="39C019B1">
            <w:pPr>
              <w:spacing w:line="360" w:lineRule="auto"/>
              <w:ind w:firstLine="0" w:firstLineChars="0"/>
              <w:jc w:val="both"/>
              <w:rPr>
                <w:rFonts w:eastAsiaTheme="minorEastAsia"/>
                <w:color w:val="auto"/>
                <w:lang w:eastAsia="zh-CN"/>
              </w:rPr>
            </w:pPr>
            <w:r>
              <w:rPr>
                <w:rFonts w:eastAsiaTheme="minorEastAsia"/>
                <w:color w:val="auto"/>
                <w:lang w:eastAsia="zh-CN"/>
              </w:rPr>
              <w:t xml:space="preserve">Primer        </w:t>
            </w:r>
          </w:p>
        </w:tc>
        <w:tc>
          <w:tcPr>
            <w:tcW w:w="7885" w:type="dxa"/>
          </w:tcPr>
          <w:p w14:paraId="53E8E692">
            <w:pPr>
              <w:spacing w:line="360" w:lineRule="auto"/>
              <w:ind w:firstLine="0" w:firstLineChars="0"/>
              <w:jc w:val="both"/>
              <w:rPr>
                <w:rFonts w:eastAsiaTheme="minorEastAsia"/>
                <w:color w:val="auto"/>
                <w:lang w:eastAsia="zh-CN"/>
              </w:rPr>
            </w:pPr>
            <w:r>
              <w:rPr>
                <w:rFonts w:hint="eastAsia" w:eastAsiaTheme="minorEastAsia"/>
                <w:color w:val="auto"/>
                <w:lang w:eastAsia="zh-CN"/>
              </w:rPr>
              <w:t>T</w:t>
            </w:r>
            <w:r>
              <w:rPr>
                <w:rFonts w:eastAsiaTheme="minorEastAsia"/>
                <w:color w:val="auto"/>
                <w:lang w:eastAsia="zh-CN"/>
              </w:rPr>
              <w:t>GGTGGTGGT</w:t>
            </w:r>
            <w:r>
              <w:rPr>
                <w:rFonts w:hint="eastAsia" w:eastAsiaTheme="minorEastAsia"/>
                <w:color w:val="auto"/>
                <w:lang w:eastAsia="zh-CN"/>
              </w:rPr>
              <w:t>T</w:t>
            </w:r>
            <w:r>
              <w:rPr>
                <w:rFonts w:eastAsiaTheme="minorEastAsia"/>
                <w:color w:val="auto"/>
                <w:lang w:eastAsia="zh-CN"/>
              </w:rPr>
              <w:t>GTGGTGGTGGT</w:t>
            </w:r>
          </w:p>
        </w:tc>
      </w:tr>
      <w:tr w14:paraId="6938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1329" w:type="dxa"/>
          </w:tcPr>
          <w:p w14:paraId="2522613D">
            <w:pPr>
              <w:spacing w:line="360" w:lineRule="auto"/>
              <w:ind w:firstLine="0" w:firstLineChars="0"/>
              <w:jc w:val="both"/>
              <w:rPr>
                <w:rFonts w:eastAsiaTheme="minorEastAsia"/>
                <w:color w:val="auto"/>
                <w:lang w:eastAsia="zh-CN"/>
              </w:rPr>
            </w:pPr>
            <w:r>
              <w:rPr>
                <w:rFonts w:eastAsiaTheme="minorEastAsia"/>
                <w:color w:val="auto"/>
                <w:lang w:eastAsia="zh-CN"/>
              </w:rPr>
              <w:t xml:space="preserve">Template                    </w:t>
            </w:r>
          </w:p>
        </w:tc>
        <w:tc>
          <w:tcPr>
            <w:tcW w:w="7885" w:type="dxa"/>
          </w:tcPr>
          <w:p w14:paraId="75F88BAD">
            <w:pPr>
              <w:spacing w:line="360" w:lineRule="auto"/>
              <w:ind w:firstLine="0" w:firstLineChars="0"/>
              <w:rPr>
                <w:rFonts w:eastAsiaTheme="minorEastAsia"/>
                <w:color w:val="auto"/>
                <w:lang w:eastAsia="zh-CN"/>
              </w:rPr>
            </w:pPr>
            <w:r>
              <w:rPr>
                <w:color w:val="auto"/>
              </w:rPr>
              <w:t>Pho-</w:t>
            </w:r>
            <w:r>
              <w:rPr>
                <w:rFonts w:hint="eastAsia" w:eastAsiaTheme="minorEastAsia"/>
                <w:color w:val="auto"/>
                <w:lang w:eastAsia="zh-CN"/>
              </w:rPr>
              <w:t>A</w:t>
            </w:r>
            <w:r>
              <w:rPr>
                <w:rFonts w:eastAsiaTheme="minorEastAsia"/>
                <w:color w:val="auto"/>
                <w:lang w:eastAsia="zh-CN"/>
              </w:rPr>
              <w:t>ACCACCACC</w:t>
            </w:r>
            <w:r>
              <w:rPr>
                <w:rFonts w:hint="eastAsia" w:eastAsiaTheme="minorEastAsia"/>
                <w:color w:val="auto"/>
                <w:lang w:eastAsia="zh-CN"/>
              </w:rPr>
              <w:t>ACC</w:t>
            </w:r>
            <w:r>
              <w:rPr>
                <w:rFonts w:eastAsiaTheme="minorEastAsia"/>
                <w:color w:val="auto"/>
                <w:lang w:eastAsia="zh-CN"/>
              </w:rPr>
              <w:t>AAGACGAGAATGCAGAGGAGCTAAGACGA</w:t>
            </w:r>
            <w:bookmarkStart w:id="16" w:name="OLE_LINK11"/>
            <w:r>
              <w:rPr>
                <w:rFonts w:eastAsiaTheme="minorEastAsia"/>
                <w:color w:val="auto"/>
                <w:lang w:eastAsia="zh-CN"/>
              </w:rPr>
              <w:t>CAGCACAGCAACTTCAGGG</w:t>
            </w:r>
            <w:bookmarkEnd w:id="16"/>
            <w:r>
              <w:rPr>
                <w:rFonts w:eastAsiaTheme="minorEastAsia"/>
                <w:color w:val="auto"/>
                <w:lang w:eastAsia="zh-CN"/>
              </w:rPr>
              <w:t>AAGACGAGAATGCAGAGGAGCTAAGACGACCACCACCACCA</w:t>
            </w:r>
            <w:r>
              <w:rPr>
                <w:rFonts w:hint="eastAsia" w:eastAsiaTheme="minorEastAsia"/>
                <w:color w:val="auto"/>
                <w:lang w:eastAsia="zh-CN"/>
              </w:rPr>
              <w:t>C</w:t>
            </w:r>
          </w:p>
        </w:tc>
      </w:tr>
      <w:tr w14:paraId="7BCAB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329" w:type="dxa"/>
          </w:tcPr>
          <w:p w14:paraId="639F2269">
            <w:pPr>
              <w:spacing w:line="360" w:lineRule="auto"/>
              <w:ind w:firstLine="0" w:firstLineChars="0"/>
              <w:jc w:val="both"/>
              <w:rPr>
                <w:rFonts w:eastAsiaTheme="minorEastAsia"/>
                <w:color w:val="auto"/>
                <w:lang w:eastAsia="zh-CN"/>
              </w:rPr>
            </w:pPr>
            <w:r>
              <w:rPr>
                <w:rFonts w:eastAsiaTheme="minorEastAsia"/>
                <w:color w:val="auto"/>
                <w:lang w:eastAsia="zh-CN"/>
              </w:rPr>
              <w:t>scASO-Template</w:t>
            </w:r>
          </w:p>
        </w:tc>
        <w:tc>
          <w:tcPr>
            <w:tcW w:w="7885" w:type="dxa"/>
          </w:tcPr>
          <w:p w14:paraId="4A25523A">
            <w:pPr>
              <w:spacing w:line="360" w:lineRule="auto"/>
              <w:ind w:firstLine="0" w:firstLineChars="0"/>
              <w:jc w:val="both"/>
              <w:rPr>
                <w:rFonts w:eastAsiaTheme="minorEastAsia"/>
                <w:color w:val="auto"/>
                <w:lang w:eastAsia="zh-CN"/>
              </w:rPr>
            </w:pPr>
            <w:r>
              <w:rPr>
                <w:color w:val="auto"/>
              </w:rPr>
              <w:t>Pho-</w:t>
            </w:r>
            <w:r>
              <w:rPr>
                <w:rFonts w:hint="eastAsia" w:eastAsiaTheme="minorEastAsia"/>
                <w:color w:val="auto"/>
                <w:lang w:eastAsia="zh-CN"/>
              </w:rPr>
              <w:t>A</w:t>
            </w:r>
            <w:r>
              <w:rPr>
                <w:rFonts w:eastAsiaTheme="minorEastAsia"/>
                <w:color w:val="auto"/>
                <w:lang w:eastAsia="zh-CN"/>
              </w:rPr>
              <w:t>ACCACCACC</w:t>
            </w:r>
            <w:r>
              <w:rPr>
                <w:rFonts w:hint="eastAsia" w:eastAsiaTheme="minorEastAsia"/>
                <w:color w:val="auto"/>
                <w:lang w:eastAsia="zh-CN"/>
              </w:rPr>
              <w:t>ACC</w:t>
            </w:r>
            <w:r>
              <w:rPr>
                <w:color w:val="auto"/>
              </w:rPr>
              <w:t>AAGACGAGAATGCAGAGGAGCTAAGACGAAGTCGCCCTCTAAGGTTACAAGACGAGAATGCAGAGGAGCTAAGACGACCACCACCACCA</w:t>
            </w:r>
            <w:r>
              <w:rPr>
                <w:rFonts w:hint="eastAsia" w:eastAsiaTheme="minorEastAsia"/>
                <w:color w:val="auto"/>
                <w:lang w:eastAsia="zh-CN"/>
              </w:rPr>
              <w:t>C</w:t>
            </w:r>
          </w:p>
        </w:tc>
      </w:tr>
      <w:tr w14:paraId="5620D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329" w:type="dxa"/>
          </w:tcPr>
          <w:p w14:paraId="6F208934">
            <w:pPr>
              <w:spacing w:line="360" w:lineRule="auto"/>
              <w:ind w:firstLine="0" w:firstLineChars="0"/>
              <w:jc w:val="both"/>
              <w:rPr>
                <w:rFonts w:eastAsiaTheme="minorEastAsia"/>
                <w:color w:val="auto"/>
                <w:lang w:eastAsia="zh-CN"/>
              </w:rPr>
            </w:pPr>
            <w:r>
              <w:rPr>
                <w:rFonts w:eastAsiaTheme="minorEastAsia"/>
                <w:color w:val="auto"/>
                <w:lang w:eastAsia="zh-CN"/>
              </w:rPr>
              <w:t xml:space="preserve">Primer -2       </w:t>
            </w:r>
          </w:p>
        </w:tc>
        <w:tc>
          <w:tcPr>
            <w:tcW w:w="7885" w:type="dxa"/>
          </w:tcPr>
          <w:p w14:paraId="14B44C14">
            <w:pPr>
              <w:spacing w:line="360" w:lineRule="auto"/>
              <w:ind w:firstLine="0" w:firstLineChars="0"/>
              <w:jc w:val="both"/>
              <w:rPr>
                <w:rFonts w:eastAsiaTheme="minorEastAsia"/>
                <w:color w:val="auto"/>
                <w:lang w:eastAsia="zh-CN"/>
              </w:rPr>
            </w:pPr>
            <w:r>
              <w:rPr>
                <w:rFonts w:hint="eastAsia" w:eastAsiaTheme="minorEastAsia"/>
                <w:color w:val="auto"/>
                <w:lang w:eastAsia="zh-CN"/>
              </w:rPr>
              <w:t>T</w:t>
            </w:r>
            <w:r>
              <w:rPr>
                <w:rFonts w:eastAsiaTheme="minorEastAsia"/>
                <w:color w:val="auto"/>
                <w:lang w:eastAsia="zh-CN"/>
              </w:rPr>
              <w:t>AATAATAAT</w:t>
            </w:r>
            <w:r>
              <w:rPr>
                <w:rFonts w:hint="eastAsia" w:eastAsiaTheme="minorEastAsia"/>
                <w:color w:val="auto"/>
                <w:lang w:eastAsia="zh-CN"/>
              </w:rPr>
              <w:t>T</w:t>
            </w:r>
            <w:r>
              <w:rPr>
                <w:rFonts w:eastAsiaTheme="minorEastAsia"/>
                <w:color w:val="auto"/>
                <w:lang w:eastAsia="zh-CN"/>
              </w:rPr>
              <w:t>GT</w:t>
            </w:r>
            <w:r>
              <w:rPr>
                <w:rFonts w:hint="eastAsia" w:eastAsiaTheme="minorEastAsia"/>
                <w:color w:val="auto"/>
                <w:lang w:eastAsia="zh-CN"/>
              </w:rPr>
              <w:t>AA</w:t>
            </w:r>
            <w:r>
              <w:rPr>
                <w:rFonts w:eastAsiaTheme="minorEastAsia"/>
                <w:color w:val="auto"/>
                <w:lang w:eastAsia="zh-CN"/>
              </w:rPr>
              <w:t>TAATAAT</w:t>
            </w:r>
          </w:p>
        </w:tc>
      </w:tr>
      <w:tr w14:paraId="504F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329" w:type="dxa"/>
          </w:tcPr>
          <w:p w14:paraId="63F7D89C">
            <w:pPr>
              <w:spacing w:line="360" w:lineRule="auto"/>
              <w:ind w:firstLine="0" w:firstLineChars="0"/>
              <w:jc w:val="both"/>
              <w:rPr>
                <w:rFonts w:eastAsiaTheme="minorEastAsia"/>
                <w:color w:val="auto"/>
                <w:lang w:eastAsia="zh-CN"/>
              </w:rPr>
            </w:pPr>
            <w:r>
              <w:rPr>
                <w:rFonts w:eastAsiaTheme="minorEastAsia"/>
                <w:color w:val="auto"/>
                <w:lang w:eastAsia="zh-CN"/>
              </w:rPr>
              <w:t>scAS1411- Template</w:t>
            </w:r>
          </w:p>
        </w:tc>
        <w:tc>
          <w:tcPr>
            <w:tcW w:w="7885" w:type="dxa"/>
          </w:tcPr>
          <w:p w14:paraId="5CB42B81">
            <w:pPr>
              <w:spacing w:line="360" w:lineRule="auto"/>
              <w:ind w:firstLine="0" w:firstLineChars="0"/>
              <w:jc w:val="both"/>
              <w:rPr>
                <w:rFonts w:eastAsiaTheme="minorEastAsia"/>
                <w:color w:val="auto"/>
                <w:lang w:eastAsia="zh-CN"/>
              </w:rPr>
            </w:pPr>
            <w:r>
              <w:rPr>
                <w:color w:val="auto"/>
              </w:rPr>
              <w:t>Pho-</w:t>
            </w:r>
            <w:r>
              <w:rPr>
                <w:rFonts w:hint="eastAsia" w:eastAsiaTheme="minorEastAsia"/>
                <w:color w:val="auto"/>
                <w:lang w:eastAsia="zh-CN"/>
              </w:rPr>
              <w:t>AATT</w:t>
            </w:r>
            <w:r>
              <w:rPr>
                <w:rFonts w:eastAsiaTheme="minorEastAsia"/>
                <w:color w:val="auto"/>
                <w:lang w:eastAsia="zh-CN"/>
              </w:rPr>
              <w:t>ATTATTATTAAGACGAGAATGCAGAGGAGCTAAGACGACAGCACAGCAACTTCAGGGAAGACGAGAATGCAGAGGAGCTAAGACGATTATTATTA</w:t>
            </w:r>
            <w:r>
              <w:rPr>
                <w:rFonts w:hint="eastAsia" w:eastAsiaTheme="minorEastAsia"/>
                <w:color w:val="auto"/>
                <w:lang w:eastAsia="zh-CN"/>
              </w:rPr>
              <w:t>TT</w:t>
            </w:r>
            <w:r>
              <w:rPr>
                <w:rFonts w:eastAsiaTheme="minorEastAsia"/>
                <w:color w:val="auto"/>
                <w:lang w:eastAsia="zh-CN"/>
              </w:rPr>
              <w:t>A</w:t>
            </w:r>
            <w:r>
              <w:rPr>
                <w:rFonts w:hint="eastAsia" w:eastAsiaTheme="minorEastAsia"/>
                <w:color w:val="auto"/>
                <w:lang w:eastAsia="zh-CN"/>
              </w:rPr>
              <w:t>C</w:t>
            </w:r>
          </w:p>
        </w:tc>
      </w:tr>
      <w:tr w14:paraId="3A076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329" w:type="dxa"/>
          </w:tcPr>
          <w:p w14:paraId="38BFC2C4">
            <w:pPr>
              <w:spacing w:line="360" w:lineRule="auto"/>
              <w:ind w:firstLine="0" w:firstLineChars="0"/>
              <w:jc w:val="both"/>
              <w:rPr>
                <w:rFonts w:eastAsiaTheme="minorEastAsia"/>
                <w:color w:val="auto"/>
                <w:lang w:eastAsia="zh-CN"/>
              </w:rPr>
            </w:pPr>
            <w:r>
              <w:rPr>
                <w:rFonts w:eastAsiaTheme="minorEastAsia"/>
                <w:color w:val="auto"/>
                <w:lang w:eastAsia="zh-CN"/>
              </w:rPr>
              <w:t>ASO</w:t>
            </w:r>
          </w:p>
          <w:p w14:paraId="7A5CA1D4">
            <w:pPr>
              <w:spacing w:line="360" w:lineRule="auto"/>
              <w:ind w:firstLine="0" w:firstLineChars="0"/>
              <w:jc w:val="both"/>
              <w:rPr>
                <w:rFonts w:eastAsiaTheme="minorEastAsia"/>
                <w:color w:val="auto"/>
                <w:lang w:eastAsia="zh-CN"/>
              </w:rPr>
            </w:pPr>
            <w:r>
              <w:rPr>
                <w:rFonts w:eastAsiaTheme="minorEastAsia"/>
                <w:color w:val="auto"/>
                <w:lang w:eastAsia="zh-CN"/>
              </w:rPr>
              <w:t>(PD-L1)</w:t>
            </w:r>
          </w:p>
        </w:tc>
        <w:tc>
          <w:tcPr>
            <w:tcW w:w="7885" w:type="dxa"/>
          </w:tcPr>
          <w:p w14:paraId="24F854F6">
            <w:pPr>
              <w:spacing w:line="360" w:lineRule="auto"/>
              <w:ind w:firstLine="0" w:firstLineChars="0"/>
              <w:jc w:val="both"/>
              <w:rPr>
                <w:rFonts w:eastAsiaTheme="minorEastAsia"/>
                <w:color w:val="auto"/>
                <w:lang w:eastAsia="zh-CN"/>
              </w:rPr>
            </w:pPr>
            <w:r>
              <w:rPr>
                <w:rFonts w:eastAsiaTheme="minorEastAsia"/>
                <w:color w:val="auto"/>
                <w:lang w:eastAsia="zh-CN"/>
              </w:rPr>
              <w:t>CCCTGAAGTTGCTGTGCTG</w:t>
            </w:r>
          </w:p>
        </w:tc>
      </w:tr>
    </w:tbl>
    <w:p w14:paraId="1D8909C5">
      <w:pPr>
        <w:spacing w:line="360" w:lineRule="auto"/>
        <w:ind w:left="0" w:leftChars="0" w:firstLine="0" w:firstLineChars="0"/>
        <w:jc w:val="both"/>
        <w:rPr>
          <w:rFonts w:eastAsiaTheme="minorEastAsia"/>
          <w:b/>
          <w:lang w:val="en-US" w:eastAsia="zh-CN"/>
        </w:rPr>
      </w:pPr>
    </w:p>
    <w:p w14:paraId="05296946">
      <w:pPr>
        <w:spacing w:line="360" w:lineRule="auto"/>
        <w:ind w:firstLine="480"/>
        <w:jc w:val="both"/>
        <w:rPr>
          <w:rFonts w:eastAsiaTheme="minorEastAsia"/>
          <w:lang w:eastAsia="zh-CN"/>
        </w:rPr>
      </w:pPr>
      <w:r>
        <w:rPr>
          <w:lang w:eastAsia="zh-CN"/>
        </w:rPr>
        <w:t>The information of the DNA sequence used in the experiment.</w:t>
      </w:r>
    </w:p>
    <w:p w14:paraId="20B843A0">
      <w:pPr>
        <w:spacing w:line="360" w:lineRule="auto"/>
        <w:ind w:firstLine="480"/>
        <w:jc w:val="both"/>
        <w:rPr>
          <w:rFonts w:eastAsiaTheme="minorEastAsia"/>
          <w:lang w:eastAsia="zh-CN"/>
        </w:rPr>
      </w:pPr>
      <w:r>
        <w:rPr>
          <w:rFonts w:eastAsiaTheme="minorEastAsia"/>
          <w:lang w:eastAsia="zh-CN"/>
        </w:rPr>
        <w:t>Note: The PD-L1 ASO sequence was synthesized with a fully phosphorothioated backbone to ensure stability.</w:t>
      </w:r>
    </w:p>
    <w:p w14:paraId="58071682">
      <w:pPr>
        <w:spacing w:line="360" w:lineRule="auto"/>
        <w:ind w:firstLine="480"/>
        <w:jc w:val="both"/>
        <w:rPr>
          <w:rFonts w:eastAsiaTheme="minorEastAsia"/>
          <w:lang w:eastAsia="zh-CN"/>
        </w:rPr>
      </w:pPr>
    </w:p>
    <w:p w14:paraId="58914B07">
      <w:pPr>
        <w:spacing w:line="360" w:lineRule="auto"/>
        <w:ind w:firstLine="480"/>
        <w:jc w:val="both"/>
        <w:rPr>
          <w:rFonts w:eastAsiaTheme="minorEastAsia"/>
          <w:b/>
          <w:lang w:val="en-US" w:eastAsia="zh-CN"/>
        </w:rPr>
      </w:pPr>
    </w:p>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417" w:right="1417" w:bottom="1134"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5A309">
    <w:pPr>
      <w:pStyle w:val="7"/>
      <w:ind w:firstLine="480"/>
      <w:jc w:val="center"/>
    </w:pPr>
    <w:r>
      <w:fldChar w:fldCharType="begin"/>
    </w:r>
    <w:r>
      <w:instrText xml:space="preserve">PAGE   \* MERGEFORMAT</w:instrText>
    </w:r>
    <w:r>
      <w:fldChar w:fldCharType="separate"/>
    </w:r>
    <w:r>
      <w:t>2</w:t>
    </w:r>
    <w:r>
      <w:fldChar w:fldCharType="end"/>
    </w:r>
  </w:p>
  <w:p w14:paraId="2DEC53B5">
    <w:pPr>
      <w:pStyle w:val="7"/>
      <w:ind w:firstLine="48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BB2E0">
    <w:pPr>
      <w:pStyle w:val="7"/>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CA83A">
    <w:pPr>
      <w:pStyle w:val="7"/>
      <w:ind w:firstLine="4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89D61">
    <w:pPr>
      <w:pStyle w:val="8"/>
      <w:tabs>
        <w:tab w:val="left" w:pos="5003"/>
      </w:tabs>
      <w:ind w:firstLine="480"/>
      <w:jc w:val="right"/>
      <w:rPr>
        <w:lang w:val="en-US"/>
      </w:rPr>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E7BF0">
    <w:pPr>
      <w:pStyle w:val="8"/>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0DB8C">
    <w:pPr>
      <w:pStyle w:val="8"/>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C7BE18"/>
    <w:multiLevelType w:val="singleLevel"/>
    <w:tmpl w:val="5EC7BE18"/>
    <w:lvl w:ilvl="0" w:tentative="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708"/>
  <w:hyphenationZone w:val="425"/>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ano&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2s50rwr7e0tf2ex0soxrvplarxpe9ewfzx0&quot;&gt;微针1&lt;record-ids&gt;&lt;item&gt;13&lt;/item&gt;&lt;item&gt;113&lt;/item&gt;&lt;item&gt;141&lt;/item&gt;&lt;item&gt;142&lt;/item&gt;&lt;item&gt;157&lt;/item&gt;&lt;item&gt;160&lt;/item&gt;&lt;item&gt;162&lt;/item&gt;&lt;item&gt;163&lt;/item&gt;&lt;item&gt;186&lt;/item&gt;&lt;item&gt;189&lt;/item&gt;&lt;item&gt;191&lt;/item&gt;&lt;item&gt;192&lt;/item&gt;&lt;item&gt;193&lt;/item&gt;&lt;item&gt;206&lt;/item&gt;&lt;item&gt;207&lt;/item&gt;&lt;item&gt;208&lt;/item&gt;&lt;item&gt;209&lt;/item&gt;&lt;item&gt;210&lt;/item&gt;&lt;item&gt;211&lt;/item&gt;&lt;item&gt;213&lt;/item&gt;&lt;item&gt;217&lt;/item&gt;&lt;item&gt;219&lt;/item&gt;&lt;item&gt;227&lt;/item&gt;&lt;item&gt;230&lt;/item&gt;&lt;item&gt;247&lt;/item&gt;&lt;item&gt;250&lt;/item&gt;&lt;item&gt;258&lt;/item&gt;&lt;item&gt;259&lt;/item&gt;&lt;item&gt;260&lt;/item&gt;&lt;item&gt;261&lt;/item&gt;&lt;item&gt;262&lt;/item&gt;&lt;item&gt;263&lt;/item&gt;&lt;item&gt;266&lt;/item&gt;&lt;item&gt;267&lt;/item&gt;&lt;item&gt;268&lt;/item&gt;&lt;item&gt;269&lt;/item&gt;&lt;item&gt;270&lt;/item&gt;&lt;item&gt;271&lt;/item&gt;&lt;item&gt;273&lt;/item&gt;&lt;item&gt;274&lt;/item&gt;&lt;item&gt;275&lt;/item&gt;&lt;item&gt;276&lt;/item&gt;&lt;/record-ids&gt;&lt;/item&gt;&lt;/Libraries&gt;"/>
  </w:docVars>
  <w:rsids>
    <w:rsidRoot w:val="002D16A0"/>
    <w:rsid w:val="000003BB"/>
    <w:rsid w:val="00002C59"/>
    <w:rsid w:val="0000374D"/>
    <w:rsid w:val="00004A23"/>
    <w:rsid w:val="00006A0A"/>
    <w:rsid w:val="0000703E"/>
    <w:rsid w:val="0001100F"/>
    <w:rsid w:val="000112FC"/>
    <w:rsid w:val="000118B0"/>
    <w:rsid w:val="00011F40"/>
    <w:rsid w:val="00012F94"/>
    <w:rsid w:val="00013EC0"/>
    <w:rsid w:val="0001454A"/>
    <w:rsid w:val="000159DC"/>
    <w:rsid w:val="0001683C"/>
    <w:rsid w:val="000172E7"/>
    <w:rsid w:val="000178A6"/>
    <w:rsid w:val="00020410"/>
    <w:rsid w:val="000214A8"/>
    <w:rsid w:val="00023F64"/>
    <w:rsid w:val="00024661"/>
    <w:rsid w:val="00027FB5"/>
    <w:rsid w:val="000314D2"/>
    <w:rsid w:val="0003318F"/>
    <w:rsid w:val="000336B3"/>
    <w:rsid w:val="0004094E"/>
    <w:rsid w:val="00040B7B"/>
    <w:rsid w:val="00041C1B"/>
    <w:rsid w:val="00042542"/>
    <w:rsid w:val="000437F7"/>
    <w:rsid w:val="00044BAE"/>
    <w:rsid w:val="000505A8"/>
    <w:rsid w:val="00050985"/>
    <w:rsid w:val="00054351"/>
    <w:rsid w:val="0005501E"/>
    <w:rsid w:val="00055883"/>
    <w:rsid w:val="00055A83"/>
    <w:rsid w:val="00055D03"/>
    <w:rsid w:val="00057D2E"/>
    <w:rsid w:val="0006044D"/>
    <w:rsid w:val="00060D37"/>
    <w:rsid w:val="00062324"/>
    <w:rsid w:val="00063C0E"/>
    <w:rsid w:val="00064C06"/>
    <w:rsid w:val="00067B4E"/>
    <w:rsid w:val="00072141"/>
    <w:rsid w:val="000723A6"/>
    <w:rsid w:val="00072EA7"/>
    <w:rsid w:val="00076EAD"/>
    <w:rsid w:val="00076F37"/>
    <w:rsid w:val="0008287E"/>
    <w:rsid w:val="00083031"/>
    <w:rsid w:val="00083A93"/>
    <w:rsid w:val="000861E5"/>
    <w:rsid w:val="0008740B"/>
    <w:rsid w:val="00090020"/>
    <w:rsid w:val="000904D3"/>
    <w:rsid w:val="00090F55"/>
    <w:rsid w:val="00092048"/>
    <w:rsid w:val="0009309C"/>
    <w:rsid w:val="00093F1B"/>
    <w:rsid w:val="00094F17"/>
    <w:rsid w:val="0009508F"/>
    <w:rsid w:val="000954FE"/>
    <w:rsid w:val="00095D6E"/>
    <w:rsid w:val="000A1F4B"/>
    <w:rsid w:val="000A21A9"/>
    <w:rsid w:val="000A3E93"/>
    <w:rsid w:val="000A472C"/>
    <w:rsid w:val="000A5773"/>
    <w:rsid w:val="000A682F"/>
    <w:rsid w:val="000B04DE"/>
    <w:rsid w:val="000B05A0"/>
    <w:rsid w:val="000B2EE0"/>
    <w:rsid w:val="000B33EE"/>
    <w:rsid w:val="000B4293"/>
    <w:rsid w:val="000B7928"/>
    <w:rsid w:val="000C1025"/>
    <w:rsid w:val="000C259E"/>
    <w:rsid w:val="000C34FD"/>
    <w:rsid w:val="000C3E0C"/>
    <w:rsid w:val="000C6252"/>
    <w:rsid w:val="000C6F8A"/>
    <w:rsid w:val="000D0388"/>
    <w:rsid w:val="000D2D4B"/>
    <w:rsid w:val="000D2F58"/>
    <w:rsid w:val="000D45F4"/>
    <w:rsid w:val="000D5298"/>
    <w:rsid w:val="000D5AB4"/>
    <w:rsid w:val="000D66DB"/>
    <w:rsid w:val="000D6B05"/>
    <w:rsid w:val="000D7EBA"/>
    <w:rsid w:val="000E0002"/>
    <w:rsid w:val="000E788B"/>
    <w:rsid w:val="000E7A5B"/>
    <w:rsid w:val="000E7BBA"/>
    <w:rsid w:val="000E7F39"/>
    <w:rsid w:val="000F0CC4"/>
    <w:rsid w:val="000F26BB"/>
    <w:rsid w:val="000F2F6E"/>
    <w:rsid w:val="000F512F"/>
    <w:rsid w:val="001000FB"/>
    <w:rsid w:val="001013F4"/>
    <w:rsid w:val="00102F6F"/>
    <w:rsid w:val="001054D4"/>
    <w:rsid w:val="0010686C"/>
    <w:rsid w:val="00107C5F"/>
    <w:rsid w:val="00107CCC"/>
    <w:rsid w:val="00110011"/>
    <w:rsid w:val="001105BD"/>
    <w:rsid w:val="00113BB1"/>
    <w:rsid w:val="00116C82"/>
    <w:rsid w:val="00116EA6"/>
    <w:rsid w:val="00120BE6"/>
    <w:rsid w:val="00120E85"/>
    <w:rsid w:val="00122DDC"/>
    <w:rsid w:val="00123ADA"/>
    <w:rsid w:val="00125573"/>
    <w:rsid w:val="0012642A"/>
    <w:rsid w:val="00126D17"/>
    <w:rsid w:val="001305BF"/>
    <w:rsid w:val="00131D58"/>
    <w:rsid w:val="001370B1"/>
    <w:rsid w:val="00137771"/>
    <w:rsid w:val="001377CA"/>
    <w:rsid w:val="001406E0"/>
    <w:rsid w:val="00140B94"/>
    <w:rsid w:val="00142680"/>
    <w:rsid w:val="00143A44"/>
    <w:rsid w:val="00143C9B"/>
    <w:rsid w:val="001450FB"/>
    <w:rsid w:val="0014658A"/>
    <w:rsid w:val="0014749C"/>
    <w:rsid w:val="00147DB8"/>
    <w:rsid w:val="00151683"/>
    <w:rsid w:val="0015392F"/>
    <w:rsid w:val="00155496"/>
    <w:rsid w:val="0015563E"/>
    <w:rsid w:val="00155F66"/>
    <w:rsid w:val="0015706A"/>
    <w:rsid w:val="001603FB"/>
    <w:rsid w:val="00162546"/>
    <w:rsid w:val="0016390D"/>
    <w:rsid w:val="00163BF2"/>
    <w:rsid w:val="00164057"/>
    <w:rsid w:val="00165B37"/>
    <w:rsid w:val="00170369"/>
    <w:rsid w:val="00173757"/>
    <w:rsid w:val="0017375F"/>
    <w:rsid w:val="00173E65"/>
    <w:rsid w:val="00174176"/>
    <w:rsid w:val="001756F9"/>
    <w:rsid w:val="00177936"/>
    <w:rsid w:val="001779ED"/>
    <w:rsid w:val="00181D92"/>
    <w:rsid w:val="001823B6"/>
    <w:rsid w:val="00183499"/>
    <w:rsid w:val="00184137"/>
    <w:rsid w:val="001848EB"/>
    <w:rsid w:val="00184C30"/>
    <w:rsid w:val="00187DB9"/>
    <w:rsid w:val="0019077D"/>
    <w:rsid w:val="0019194D"/>
    <w:rsid w:val="00194D0F"/>
    <w:rsid w:val="001967C6"/>
    <w:rsid w:val="0019723B"/>
    <w:rsid w:val="001A1BB5"/>
    <w:rsid w:val="001A4240"/>
    <w:rsid w:val="001A4BFA"/>
    <w:rsid w:val="001A64A1"/>
    <w:rsid w:val="001A6821"/>
    <w:rsid w:val="001A6ACE"/>
    <w:rsid w:val="001A734D"/>
    <w:rsid w:val="001B3084"/>
    <w:rsid w:val="001B327E"/>
    <w:rsid w:val="001B4224"/>
    <w:rsid w:val="001B7472"/>
    <w:rsid w:val="001B7ED0"/>
    <w:rsid w:val="001C10AC"/>
    <w:rsid w:val="001C3439"/>
    <w:rsid w:val="001C40EC"/>
    <w:rsid w:val="001C55FB"/>
    <w:rsid w:val="001C6F1A"/>
    <w:rsid w:val="001D12BC"/>
    <w:rsid w:val="001D2DEF"/>
    <w:rsid w:val="001D3805"/>
    <w:rsid w:val="001D561D"/>
    <w:rsid w:val="001E18CC"/>
    <w:rsid w:val="001E3D2D"/>
    <w:rsid w:val="001E4605"/>
    <w:rsid w:val="001E467E"/>
    <w:rsid w:val="001E5F4E"/>
    <w:rsid w:val="001F2689"/>
    <w:rsid w:val="001F2AB7"/>
    <w:rsid w:val="001F3C9B"/>
    <w:rsid w:val="001F3E77"/>
    <w:rsid w:val="001F4BD1"/>
    <w:rsid w:val="001F5110"/>
    <w:rsid w:val="001F5702"/>
    <w:rsid w:val="001F65A2"/>
    <w:rsid w:val="001F7139"/>
    <w:rsid w:val="002002FC"/>
    <w:rsid w:val="00201F71"/>
    <w:rsid w:val="00203745"/>
    <w:rsid w:val="00203934"/>
    <w:rsid w:val="0020446B"/>
    <w:rsid w:val="00204BA7"/>
    <w:rsid w:val="00206B06"/>
    <w:rsid w:val="002072AB"/>
    <w:rsid w:val="00210140"/>
    <w:rsid w:val="0021177D"/>
    <w:rsid w:val="00211933"/>
    <w:rsid w:val="00211942"/>
    <w:rsid w:val="00212CF9"/>
    <w:rsid w:val="002131D7"/>
    <w:rsid w:val="00214D95"/>
    <w:rsid w:val="00215531"/>
    <w:rsid w:val="002162B2"/>
    <w:rsid w:val="00216F54"/>
    <w:rsid w:val="00220933"/>
    <w:rsid w:val="00220C72"/>
    <w:rsid w:val="0022540C"/>
    <w:rsid w:val="0022648F"/>
    <w:rsid w:val="00226AA4"/>
    <w:rsid w:val="00233AB6"/>
    <w:rsid w:val="00233C8A"/>
    <w:rsid w:val="00236036"/>
    <w:rsid w:val="00240367"/>
    <w:rsid w:val="00240D90"/>
    <w:rsid w:val="00247F93"/>
    <w:rsid w:val="00251821"/>
    <w:rsid w:val="0025209C"/>
    <w:rsid w:val="002525F2"/>
    <w:rsid w:val="00253CB1"/>
    <w:rsid w:val="002543F9"/>
    <w:rsid w:val="00257ADD"/>
    <w:rsid w:val="00261A40"/>
    <w:rsid w:val="00263723"/>
    <w:rsid w:val="00263CF7"/>
    <w:rsid w:val="00263CF8"/>
    <w:rsid w:val="002644E1"/>
    <w:rsid w:val="00265635"/>
    <w:rsid w:val="00266389"/>
    <w:rsid w:val="002675F7"/>
    <w:rsid w:val="002725A5"/>
    <w:rsid w:val="0027314F"/>
    <w:rsid w:val="002777C0"/>
    <w:rsid w:val="0028289F"/>
    <w:rsid w:val="00283A08"/>
    <w:rsid w:val="00284157"/>
    <w:rsid w:val="00285631"/>
    <w:rsid w:val="00290D94"/>
    <w:rsid w:val="00291CC0"/>
    <w:rsid w:val="0029203C"/>
    <w:rsid w:val="00294873"/>
    <w:rsid w:val="00294EF2"/>
    <w:rsid w:val="00296152"/>
    <w:rsid w:val="002962E2"/>
    <w:rsid w:val="002964F9"/>
    <w:rsid w:val="002A4A81"/>
    <w:rsid w:val="002A73A2"/>
    <w:rsid w:val="002A7B09"/>
    <w:rsid w:val="002A7CE8"/>
    <w:rsid w:val="002B0018"/>
    <w:rsid w:val="002B0671"/>
    <w:rsid w:val="002B262F"/>
    <w:rsid w:val="002B2A48"/>
    <w:rsid w:val="002B3553"/>
    <w:rsid w:val="002B52D7"/>
    <w:rsid w:val="002B5E06"/>
    <w:rsid w:val="002B67FA"/>
    <w:rsid w:val="002C0CFF"/>
    <w:rsid w:val="002C102E"/>
    <w:rsid w:val="002C17D0"/>
    <w:rsid w:val="002C2E6E"/>
    <w:rsid w:val="002C6AFD"/>
    <w:rsid w:val="002C6B05"/>
    <w:rsid w:val="002D0075"/>
    <w:rsid w:val="002D09B9"/>
    <w:rsid w:val="002D144A"/>
    <w:rsid w:val="002D16A0"/>
    <w:rsid w:val="002D2930"/>
    <w:rsid w:val="002D2983"/>
    <w:rsid w:val="002D2DFF"/>
    <w:rsid w:val="002D36C3"/>
    <w:rsid w:val="002D3D6D"/>
    <w:rsid w:val="002D5BF8"/>
    <w:rsid w:val="002D7ECC"/>
    <w:rsid w:val="002E0F9D"/>
    <w:rsid w:val="002E1B8F"/>
    <w:rsid w:val="002E2DEF"/>
    <w:rsid w:val="002E355D"/>
    <w:rsid w:val="002E4E3E"/>
    <w:rsid w:val="002E76B2"/>
    <w:rsid w:val="002E79A2"/>
    <w:rsid w:val="002F4F4B"/>
    <w:rsid w:val="002F55FD"/>
    <w:rsid w:val="002F594C"/>
    <w:rsid w:val="002F64DB"/>
    <w:rsid w:val="00301984"/>
    <w:rsid w:val="00301B0B"/>
    <w:rsid w:val="00301E84"/>
    <w:rsid w:val="00302E7A"/>
    <w:rsid w:val="00303D1B"/>
    <w:rsid w:val="003046B7"/>
    <w:rsid w:val="00310954"/>
    <w:rsid w:val="00312F28"/>
    <w:rsid w:val="00317793"/>
    <w:rsid w:val="00317A57"/>
    <w:rsid w:val="00320A99"/>
    <w:rsid w:val="0032144B"/>
    <w:rsid w:val="00321BE1"/>
    <w:rsid w:val="00321E38"/>
    <w:rsid w:val="00322747"/>
    <w:rsid w:val="00322D5B"/>
    <w:rsid w:val="0032346F"/>
    <w:rsid w:val="00325AC2"/>
    <w:rsid w:val="00326788"/>
    <w:rsid w:val="00326A1C"/>
    <w:rsid w:val="00327FDC"/>
    <w:rsid w:val="00330C2F"/>
    <w:rsid w:val="00331154"/>
    <w:rsid w:val="00332E77"/>
    <w:rsid w:val="00333CF5"/>
    <w:rsid w:val="003360E3"/>
    <w:rsid w:val="003371D5"/>
    <w:rsid w:val="003376CD"/>
    <w:rsid w:val="00342E13"/>
    <w:rsid w:val="00343267"/>
    <w:rsid w:val="003452C3"/>
    <w:rsid w:val="0034539F"/>
    <w:rsid w:val="0034684F"/>
    <w:rsid w:val="003468A5"/>
    <w:rsid w:val="003501A7"/>
    <w:rsid w:val="0035048A"/>
    <w:rsid w:val="00351E25"/>
    <w:rsid w:val="003572FF"/>
    <w:rsid w:val="00362582"/>
    <w:rsid w:val="0036263B"/>
    <w:rsid w:val="00363B62"/>
    <w:rsid w:val="0036448F"/>
    <w:rsid w:val="003645B0"/>
    <w:rsid w:val="00364B2C"/>
    <w:rsid w:val="003664F1"/>
    <w:rsid w:val="00367E3F"/>
    <w:rsid w:val="003715C2"/>
    <w:rsid w:val="00372492"/>
    <w:rsid w:val="00377EA5"/>
    <w:rsid w:val="00377F77"/>
    <w:rsid w:val="003801A8"/>
    <w:rsid w:val="00381B22"/>
    <w:rsid w:val="00383073"/>
    <w:rsid w:val="0038416C"/>
    <w:rsid w:val="0038438F"/>
    <w:rsid w:val="00386932"/>
    <w:rsid w:val="00387C67"/>
    <w:rsid w:val="00387D98"/>
    <w:rsid w:val="00390B0F"/>
    <w:rsid w:val="00390B38"/>
    <w:rsid w:val="00390B6B"/>
    <w:rsid w:val="00391C9C"/>
    <w:rsid w:val="00391CFE"/>
    <w:rsid w:val="00393058"/>
    <w:rsid w:val="0039353B"/>
    <w:rsid w:val="00394F9E"/>
    <w:rsid w:val="00395426"/>
    <w:rsid w:val="00395B91"/>
    <w:rsid w:val="00396615"/>
    <w:rsid w:val="00396896"/>
    <w:rsid w:val="00396920"/>
    <w:rsid w:val="0039700D"/>
    <w:rsid w:val="00397089"/>
    <w:rsid w:val="003978A8"/>
    <w:rsid w:val="003A0F30"/>
    <w:rsid w:val="003A38AC"/>
    <w:rsid w:val="003A4C44"/>
    <w:rsid w:val="003A5AD0"/>
    <w:rsid w:val="003A6CE3"/>
    <w:rsid w:val="003A7899"/>
    <w:rsid w:val="003B15EE"/>
    <w:rsid w:val="003B284B"/>
    <w:rsid w:val="003B3ACF"/>
    <w:rsid w:val="003B476C"/>
    <w:rsid w:val="003B517D"/>
    <w:rsid w:val="003B60EC"/>
    <w:rsid w:val="003C00ED"/>
    <w:rsid w:val="003C1C0A"/>
    <w:rsid w:val="003C2322"/>
    <w:rsid w:val="003C35DF"/>
    <w:rsid w:val="003C4A68"/>
    <w:rsid w:val="003C554F"/>
    <w:rsid w:val="003C5ACB"/>
    <w:rsid w:val="003C61DD"/>
    <w:rsid w:val="003D4C91"/>
    <w:rsid w:val="003D63E7"/>
    <w:rsid w:val="003E05F1"/>
    <w:rsid w:val="003E0DE0"/>
    <w:rsid w:val="003E113B"/>
    <w:rsid w:val="003E5092"/>
    <w:rsid w:val="003E715D"/>
    <w:rsid w:val="003E7BC8"/>
    <w:rsid w:val="003E7CEC"/>
    <w:rsid w:val="003F03FD"/>
    <w:rsid w:val="003F103E"/>
    <w:rsid w:val="003F2E48"/>
    <w:rsid w:val="003F440C"/>
    <w:rsid w:val="003F525A"/>
    <w:rsid w:val="003F7BE6"/>
    <w:rsid w:val="004006A9"/>
    <w:rsid w:val="00401707"/>
    <w:rsid w:val="00403F73"/>
    <w:rsid w:val="00404548"/>
    <w:rsid w:val="0040490C"/>
    <w:rsid w:val="00405120"/>
    <w:rsid w:val="004052AE"/>
    <w:rsid w:val="004118A5"/>
    <w:rsid w:val="00413672"/>
    <w:rsid w:val="00414041"/>
    <w:rsid w:val="00414465"/>
    <w:rsid w:val="00414729"/>
    <w:rsid w:val="00414C80"/>
    <w:rsid w:val="00414F4B"/>
    <w:rsid w:val="00415BB3"/>
    <w:rsid w:val="00415EF9"/>
    <w:rsid w:val="00416629"/>
    <w:rsid w:val="00416C4C"/>
    <w:rsid w:val="00417DA1"/>
    <w:rsid w:val="004215C4"/>
    <w:rsid w:val="00423478"/>
    <w:rsid w:val="004250C7"/>
    <w:rsid w:val="00425B76"/>
    <w:rsid w:val="004260A2"/>
    <w:rsid w:val="00426FC6"/>
    <w:rsid w:val="004273BC"/>
    <w:rsid w:val="00427C5F"/>
    <w:rsid w:val="0043090B"/>
    <w:rsid w:val="00430A10"/>
    <w:rsid w:val="00437BFB"/>
    <w:rsid w:val="00440AC3"/>
    <w:rsid w:val="00441824"/>
    <w:rsid w:val="00441EAC"/>
    <w:rsid w:val="00443BCC"/>
    <w:rsid w:val="004460A0"/>
    <w:rsid w:val="0045030B"/>
    <w:rsid w:val="004507E5"/>
    <w:rsid w:val="004519AD"/>
    <w:rsid w:val="0045459A"/>
    <w:rsid w:val="004545DB"/>
    <w:rsid w:val="0045786A"/>
    <w:rsid w:val="00460F76"/>
    <w:rsid w:val="00462F12"/>
    <w:rsid w:val="00463050"/>
    <w:rsid w:val="0046340F"/>
    <w:rsid w:val="00466168"/>
    <w:rsid w:val="0046778B"/>
    <w:rsid w:val="004714D4"/>
    <w:rsid w:val="00471C11"/>
    <w:rsid w:val="00474808"/>
    <w:rsid w:val="00475712"/>
    <w:rsid w:val="00480CCE"/>
    <w:rsid w:val="004816C5"/>
    <w:rsid w:val="0048252E"/>
    <w:rsid w:val="00482FAA"/>
    <w:rsid w:val="00487211"/>
    <w:rsid w:val="0049075F"/>
    <w:rsid w:val="00492739"/>
    <w:rsid w:val="00492DA8"/>
    <w:rsid w:val="004A00CE"/>
    <w:rsid w:val="004A0888"/>
    <w:rsid w:val="004A15A5"/>
    <w:rsid w:val="004A43B6"/>
    <w:rsid w:val="004A70EE"/>
    <w:rsid w:val="004A7140"/>
    <w:rsid w:val="004A774E"/>
    <w:rsid w:val="004A7D3E"/>
    <w:rsid w:val="004A7FF9"/>
    <w:rsid w:val="004B0984"/>
    <w:rsid w:val="004B379D"/>
    <w:rsid w:val="004B3C1F"/>
    <w:rsid w:val="004B5F0C"/>
    <w:rsid w:val="004B6031"/>
    <w:rsid w:val="004B608E"/>
    <w:rsid w:val="004B75B5"/>
    <w:rsid w:val="004C046E"/>
    <w:rsid w:val="004C1609"/>
    <w:rsid w:val="004C1765"/>
    <w:rsid w:val="004C216B"/>
    <w:rsid w:val="004C22DE"/>
    <w:rsid w:val="004C5DD3"/>
    <w:rsid w:val="004D30F9"/>
    <w:rsid w:val="004D31AF"/>
    <w:rsid w:val="004D4A32"/>
    <w:rsid w:val="004D5B17"/>
    <w:rsid w:val="004D64AB"/>
    <w:rsid w:val="004E00AB"/>
    <w:rsid w:val="004E7CE8"/>
    <w:rsid w:val="004F271D"/>
    <w:rsid w:val="004F2A65"/>
    <w:rsid w:val="004F5114"/>
    <w:rsid w:val="004F5B54"/>
    <w:rsid w:val="004F756C"/>
    <w:rsid w:val="005001FA"/>
    <w:rsid w:val="0050192A"/>
    <w:rsid w:val="005019AF"/>
    <w:rsid w:val="0050488D"/>
    <w:rsid w:val="00504D12"/>
    <w:rsid w:val="0050527A"/>
    <w:rsid w:val="0050535A"/>
    <w:rsid w:val="0050716A"/>
    <w:rsid w:val="00507F02"/>
    <w:rsid w:val="005106F5"/>
    <w:rsid w:val="00511192"/>
    <w:rsid w:val="005118AD"/>
    <w:rsid w:val="00512353"/>
    <w:rsid w:val="00516DC8"/>
    <w:rsid w:val="00517467"/>
    <w:rsid w:val="005212F8"/>
    <w:rsid w:val="005220C2"/>
    <w:rsid w:val="00522E88"/>
    <w:rsid w:val="00523369"/>
    <w:rsid w:val="0052398F"/>
    <w:rsid w:val="00532960"/>
    <w:rsid w:val="005339EE"/>
    <w:rsid w:val="005344FD"/>
    <w:rsid w:val="00537044"/>
    <w:rsid w:val="00545A73"/>
    <w:rsid w:val="00546DEB"/>
    <w:rsid w:val="00546F0F"/>
    <w:rsid w:val="005477E7"/>
    <w:rsid w:val="00547D7B"/>
    <w:rsid w:val="00550159"/>
    <w:rsid w:val="00551897"/>
    <w:rsid w:val="00551FFD"/>
    <w:rsid w:val="0055286A"/>
    <w:rsid w:val="00552A0F"/>
    <w:rsid w:val="00553607"/>
    <w:rsid w:val="00553664"/>
    <w:rsid w:val="005551ED"/>
    <w:rsid w:val="00555653"/>
    <w:rsid w:val="00556419"/>
    <w:rsid w:val="005572B4"/>
    <w:rsid w:val="005572DD"/>
    <w:rsid w:val="00560564"/>
    <w:rsid w:val="00560A75"/>
    <w:rsid w:val="00562E2B"/>
    <w:rsid w:val="00564668"/>
    <w:rsid w:val="0056617D"/>
    <w:rsid w:val="00570353"/>
    <w:rsid w:val="00570F49"/>
    <w:rsid w:val="005715F5"/>
    <w:rsid w:val="0057171E"/>
    <w:rsid w:val="00571CDB"/>
    <w:rsid w:val="00571EEC"/>
    <w:rsid w:val="00572666"/>
    <w:rsid w:val="0057267E"/>
    <w:rsid w:val="005726BD"/>
    <w:rsid w:val="00572954"/>
    <w:rsid w:val="00574A5A"/>
    <w:rsid w:val="005753B8"/>
    <w:rsid w:val="0057658D"/>
    <w:rsid w:val="0058379B"/>
    <w:rsid w:val="00583ED5"/>
    <w:rsid w:val="00584471"/>
    <w:rsid w:val="005852A9"/>
    <w:rsid w:val="005859C5"/>
    <w:rsid w:val="00587437"/>
    <w:rsid w:val="005916A6"/>
    <w:rsid w:val="00592678"/>
    <w:rsid w:val="00594644"/>
    <w:rsid w:val="0059526F"/>
    <w:rsid w:val="0059558F"/>
    <w:rsid w:val="0059579F"/>
    <w:rsid w:val="00595D5D"/>
    <w:rsid w:val="005967E3"/>
    <w:rsid w:val="00596F36"/>
    <w:rsid w:val="00597326"/>
    <w:rsid w:val="005A1741"/>
    <w:rsid w:val="005A235F"/>
    <w:rsid w:val="005A23C5"/>
    <w:rsid w:val="005A2D88"/>
    <w:rsid w:val="005A48C6"/>
    <w:rsid w:val="005A7316"/>
    <w:rsid w:val="005A743F"/>
    <w:rsid w:val="005A751F"/>
    <w:rsid w:val="005A7719"/>
    <w:rsid w:val="005A77C2"/>
    <w:rsid w:val="005A7BCF"/>
    <w:rsid w:val="005B291B"/>
    <w:rsid w:val="005B39B4"/>
    <w:rsid w:val="005B6F08"/>
    <w:rsid w:val="005B6FBB"/>
    <w:rsid w:val="005B76C5"/>
    <w:rsid w:val="005B7AF0"/>
    <w:rsid w:val="005B7B8A"/>
    <w:rsid w:val="005C09C6"/>
    <w:rsid w:val="005C3B66"/>
    <w:rsid w:val="005C458D"/>
    <w:rsid w:val="005C491E"/>
    <w:rsid w:val="005C5E0A"/>
    <w:rsid w:val="005C6C0C"/>
    <w:rsid w:val="005C7AC5"/>
    <w:rsid w:val="005D0AB4"/>
    <w:rsid w:val="005D2276"/>
    <w:rsid w:val="005D25FD"/>
    <w:rsid w:val="005D2808"/>
    <w:rsid w:val="005E0858"/>
    <w:rsid w:val="005E09B4"/>
    <w:rsid w:val="005E2794"/>
    <w:rsid w:val="005E3CBF"/>
    <w:rsid w:val="005E3D45"/>
    <w:rsid w:val="005E5265"/>
    <w:rsid w:val="005E6B93"/>
    <w:rsid w:val="005E6F9D"/>
    <w:rsid w:val="005E7B5A"/>
    <w:rsid w:val="005E7D77"/>
    <w:rsid w:val="005F01FC"/>
    <w:rsid w:val="005F0C89"/>
    <w:rsid w:val="005F3701"/>
    <w:rsid w:val="005F41DF"/>
    <w:rsid w:val="005F4521"/>
    <w:rsid w:val="005F4BCF"/>
    <w:rsid w:val="005F5478"/>
    <w:rsid w:val="005F6917"/>
    <w:rsid w:val="006006FC"/>
    <w:rsid w:val="006045BA"/>
    <w:rsid w:val="0060583A"/>
    <w:rsid w:val="00605972"/>
    <w:rsid w:val="00605C9C"/>
    <w:rsid w:val="00611649"/>
    <w:rsid w:val="00611A0E"/>
    <w:rsid w:val="00613B00"/>
    <w:rsid w:val="00614154"/>
    <w:rsid w:val="00614BD3"/>
    <w:rsid w:val="00623402"/>
    <w:rsid w:val="00623A77"/>
    <w:rsid w:val="00623F18"/>
    <w:rsid w:val="00624165"/>
    <w:rsid w:val="006256F5"/>
    <w:rsid w:val="006277EE"/>
    <w:rsid w:val="0063097B"/>
    <w:rsid w:val="00631906"/>
    <w:rsid w:val="006355DF"/>
    <w:rsid w:val="00636138"/>
    <w:rsid w:val="006364B8"/>
    <w:rsid w:val="00636A64"/>
    <w:rsid w:val="00636B93"/>
    <w:rsid w:val="00640550"/>
    <w:rsid w:val="00641EB5"/>
    <w:rsid w:val="0064326A"/>
    <w:rsid w:val="00644D5D"/>
    <w:rsid w:val="0064695B"/>
    <w:rsid w:val="00646DC7"/>
    <w:rsid w:val="006511FB"/>
    <w:rsid w:val="00651A9D"/>
    <w:rsid w:val="00653F1D"/>
    <w:rsid w:val="00654C93"/>
    <w:rsid w:val="006550BE"/>
    <w:rsid w:val="00655ADF"/>
    <w:rsid w:val="00656092"/>
    <w:rsid w:val="0065741C"/>
    <w:rsid w:val="00660B85"/>
    <w:rsid w:val="006622E0"/>
    <w:rsid w:val="00662523"/>
    <w:rsid w:val="00662DCE"/>
    <w:rsid w:val="00663DFE"/>
    <w:rsid w:val="006647DB"/>
    <w:rsid w:val="00664F6D"/>
    <w:rsid w:val="006650B8"/>
    <w:rsid w:val="00666329"/>
    <w:rsid w:val="006672EE"/>
    <w:rsid w:val="0067011F"/>
    <w:rsid w:val="0067015E"/>
    <w:rsid w:val="00670E21"/>
    <w:rsid w:val="006717C2"/>
    <w:rsid w:val="00671EA8"/>
    <w:rsid w:val="00680453"/>
    <w:rsid w:val="00682420"/>
    <w:rsid w:val="00682526"/>
    <w:rsid w:val="00683555"/>
    <w:rsid w:val="00685013"/>
    <w:rsid w:val="00686F1D"/>
    <w:rsid w:val="00692759"/>
    <w:rsid w:val="00692F7A"/>
    <w:rsid w:val="0069303E"/>
    <w:rsid w:val="00694C23"/>
    <w:rsid w:val="006958DE"/>
    <w:rsid w:val="00695E06"/>
    <w:rsid w:val="00696315"/>
    <w:rsid w:val="00696497"/>
    <w:rsid w:val="00696795"/>
    <w:rsid w:val="00696C2A"/>
    <w:rsid w:val="006A0D51"/>
    <w:rsid w:val="006A1C05"/>
    <w:rsid w:val="006A225B"/>
    <w:rsid w:val="006A30D2"/>
    <w:rsid w:val="006A5A6A"/>
    <w:rsid w:val="006A5FE3"/>
    <w:rsid w:val="006B23B2"/>
    <w:rsid w:val="006B4845"/>
    <w:rsid w:val="006B635C"/>
    <w:rsid w:val="006B7162"/>
    <w:rsid w:val="006C022C"/>
    <w:rsid w:val="006C1708"/>
    <w:rsid w:val="006C1C29"/>
    <w:rsid w:val="006C31D1"/>
    <w:rsid w:val="006C3782"/>
    <w:rsid w:val="006C3CDE"/>
    <w:rsid w:val="006C4745"/>
    <w:rsid w:val="006C7576"/>
    <w:rsid w:val="006D0EE8"/>
    <w:rsid w:val="006D3162"/>
    <w:rsid w:val="006D37E7"/>
    <w:rsid w:val="006D5146"/>
    <w:rsid w:val="006D59D6"/>
    <w:rsid w:val="006D5A72"/>
    <w:rsid w:val="006D5C04"/>
    <w:rsid w:val="006D7508"/>
    <w:rsid w:val="006E01B9"/>
    <w:rsid w:val="006E0F2F"/>
    <w:rsid w:val="006E19D7"/>
    <w:rsid w:val="006E353D"/>
    <w:rsid w:val="006E71B9"/>
    <w:rsid w:val="006F15C4"/>
    <w:rsid w:val="006F39B2"/>
    <w:rsid w:val="006F5384"/>
    <w:rsid w:val="006F6063"/>
    <w:rsid w:val="006F65E8"/>
    <w:rsid w:val="006F6604"/>
    <w:rsid w:val="006F6896"/>
    <w:rsid w:val="006F6A60"/>
    <w:rsid w:val="006F71D8"/>
    <w:rsid w:val="006F7A14"/>
    <w:rsid w:val="006F7D1A"/>
    <w:rsid w:val="00701AA3"/>
    <w:rsid w:val="00702F6F"/>
    <w:rsid w:val="0070346C"/>
    <w:rsid w:val="00703B82"/>
    <w:rsid w:val="007051A0"/>
    <w:rsid w:val="00706496"/>
    <w:rsid w:val="00711325"/>
    <w:rsid w:val="00711A12"/>
    <w:rsid w:val="00711F11"/>
    <w:rsid w:val="00713B1B"/>
    <w:rsid w:val="007154C4"/>
    <w:rsid w:val="00715D26"/>
    <w:rsid w:val="00715DB9"/>
    <w:rsid w:val="007174BE"/>
    <w:rsid w:val="00721504"/>
    <w:rsid w:val="007218A0"/>
    <w:rsid w:val="00721D73"/>
    <w:rsid w:val="00722AAD"/>
    <w:rsid w:val="007238AF"/>
    <w:rsid w:val="00726908"/>
    <w:rsid w:val="007270C7"/>
    <w:rsid w:val="00727A57"/>
    <w:rsid w:val="00730E67"/>
    <w:rsid w:val="00730F3A"/>
    <w:rsid w:val="00735F34"/>
    <w:rsid w:val="00736944"/>
    <w:rsid w:val="00741200"/>
    <w:rsid w:val="00741333"/>
    <w:rsid w:val="00742F1C"/>
    <w:rsid w:val="00742FF2"/>
    <w:rsid w:val="00744D6A"/>
    <w:rsid w:val="00746138"/>
    <w:rsid w:val="0074620A"/>
    <w:rsid w:val="00747747"/>
    <w:rsid w:val="00751D50"/>
    <w:rsid w:val="007527D5"/>
    <w:rsid w:val="007527FF"/>
    <w:rsid w:val="00752F3C"/>
    <w:rsid w:val="007541D5"/>
    <w:rsid w:val="007561FC"/>
    <w:rsid w:val="00761914"/>
    <w:rsid w:val="00761D34"/>
    <w:rsid w:val="00762D2D"/>
    <w:rsid w:val="00764622"/>
    <w:rsid w:val="00764CAD"/>
    <w:rsid w:val="00770FA1"/>
    <w:rsid w:val="00771967"/>
    <w:rsid w:val="00772029"/>
    <w:rsid w:val="00772D7E"/>
    <w:rsid w:val="00773884"/>
    <w:rsid w:val="007739DD"/>
    <w:rsid w:val="00774813"/>
    <w:rsid w:val="00774F15"/>
    <w:rsid w:val="00775309"/>
    <w:rsid w:val="0078052A"/>
    <w:rsid w:val="007812FB"/>
    <w:rsid w:val="0078216C"/>
    <w:rsid w:val="00782913"/>
    <w:rsid w:val="00783C30"/>
    <w:rsid w:val="00784032"/>
    <w:rsid w:val="00784823"/>
    <w:rsid w:val="007859A0"/>
    <w:rsid w:val="00786E79"/>
    <w:rsid w:val="00787925"/>
    <w:rsid w:val="00787A05"/>
    <w:rsid w:val="00787D5A"/>
    <w:rsid w:val="00790277"/>
    <w:rsid w:val="00790E31"/>
    <w:rsid w:val="00791066"/>
    <w:rsid w:val="00791578"/>
    <w:rsid w:val="00792184"/>
    <w:rsid w:val="00793B87"/>
    <w:rsid w:val="00794532"/>
    <w:rsid w:val="0079566E"/>
    <w:rsid w:val="00796509"/>
    <w:rsid w:val="0079691E"/>
    <w:rsid w:val="00797723"/>
    <w:rsid w:val="007A3D21"/>
    <w:rsid w:val="007B1484"/>
    <w:rsid w:val="007B1EEE"/>
    <w:rsid w:val="007B1F49"/>
    <w:rsid w:val="007B249B"/>
    <w:rsid w:val="007B6D4D"/>
    <w:rsid w:val="007B6FAF"/>
    <w:rsid w:val="007B7A09"/>
    <w:rsid w:val="007C0F7A"/>
    <w:rsid w:val="007C2765"/>
    <w:rsid w:val="007D0718"/>
    <w:rsid w:val="007D24A9"/>
    <w:rsid w:val="007D27FA"/>
    <w:rsid w:val="007D30B5"/>
    <w:rsid w:val="007D4268"/>
    <w:rsid w:val="007D5287"/>
    <w:rsid w:val="007D5A00"/>
    <w:rsid w:val="007D6218"/>
    <w:rsid w:val="007D6699"/>
    <w:rsid w:val="007D7E30"/>
    <w:rsid w:val="007E0A75"/>
    <w:rsid w:val="007E30E0"/>
    <w:rsid w:val="007E6419"/>
    <w:rsid w:val="007F0959"/>
    <w:rsid w:val="007F121C"/>
    <w:rsid w:val="007F58B9"/>
    <w:rsid w:val="007F6815"/>
    <w:rsid w:val="007F6BA8"/>
    <w:rsid w:val="0080681B"/>
    <w:rsid w:val="0080738C"/>
    <w:rsid w:val="0081045A"/>
    <w:rsid w:val="00810B77"/>
    <w:rsid w:val="0081193A"/>
    <w:rsid w:val="00817436"/>
    <w:rsid w:val="0082064F"/>
    <w:rsid w:val="008214A5"/>
    <w:rsid w:val="0082182F"/>
    <w:rsid w:val="00822217"/>
    <w:rsid w:val="0082435B"/>
    <w:rsid w:val="0082542D"/>
    <w:rsid w:val="00826C8B"/>
    <w:rsid w:val="00827834"/>
    <w:rsid w:val="00832835"/>
    <w:rsid w:val="00835110"/>
    <w:rsid w:val="008351FC"/>
    <w:rsid w:val="00836F3F"/>
    <w:rsid w:val="00841F50"/>
    <w:rsid w:val="008435D0"/>
    <w:rsid w:val="00843A0E"/>
    <w:rsid w:val="008446EC"/>
    <w:rsid w:val="008457B4"/>
    <w:rsid w:val="00845DFE"/>
    <w:rsid w:val="00846E17"/>
    <w:rsid w:val="0085200A"/>
    <w:rsid w:val="00852318"/>
    <w:rsid w:val="00853210"/>
    <w:rsid w:val="0085382B"/>
    <w:rsid w:val="00854283"/>
    <w:rsid w:val="00854C14"/>
    <w:rsid w:val="00854F33"/>
    <w:rsid w:val="008554A4"/>
    <w:rsid w:val="008573E3"/>
    <w:rsid w:val="00861E81"/>
    <w:rsid w:val="008645FF"/>
    <w:rsid w:val="00865FC3"/>
    <w:rsid w:val="00866421"/>
    <w:rsid w:val="00866D42"/>
    <w:rsid w:val="00867A85"/>
    <w:rsid w:val="0087030E"/>
    <w:rsid w:val="00870AAC"/>
    <w:rsid w:val="00871A73"/>
    <w:rsid w:val="008734F7"/>
    <w:rsid w:val="00874E9F"/>
    <w:rsid w:val="00876159"/>
    <w:rsid w:val="008769E8"/>
    <w:rsid w:val="00877842"/>
    <w:rsid w:val="00877C3E"/>
    <w:rsid w:val="008806F8"/>
    <w:rsid w:val="008808E2"/>
    <w:rsid w:val="00881456"/>
    <w:rsid w:val="00881ACB"/>
    <w:rsid w:val="008852A1"/>
    <w:rsid w:val="008856F9"/>
    <w:rsid w:val="00885FC9"/>
    <w:rsid w:val="00890D44"/>
    <w:rsid w:val="00891328"/>
    <w:rsid w:val="00891A47"/>
    <w:rsid w:val="00892809"/>
    <w:rsid w:val="0089370F"/>
    <w:rsid w:val="008939AF"/>
    <w:rsid w:val="00893FED"/>
    <w:rsid w:val="00894273"/>
    <w:rsid w:val="0089449A"/>
    <w:rsid w:val="00895E48"/>
    <w:rsid w:val="00896687"/>
    <w:rsid w:val="008971F4"/>
    <w:rsid w:val="008A05F6"/>
    <w:rsid w:val="008A0E7D"/>
    <w:rsid w:val="008A3023"/>
    <w:rsid w:val="008A403F"/>
    <w:rsid w:val="008A41AF"/>
    <w:rsid w:val="008A6815"/>
    <w:rsid w:val="008A7646"/>
    <w:rsid w:val="008B0832"/>
    <w:rsid w:val="008B1031"/>
    <w:rsid w:val="008B1A6B"/>
    <w:rsid w:val="008B2303"/>
    <w:rsid w:val="008B3064"/>
    <w:rsid w:val="008B341C"/>
    <w:rsid w:val="008B34A0"/>
    <w:rsid w:val="008B3581"/>
    <w:rsid w:val="008B3F44"/>
    <w:rsid w:val="008B5740"/>
    <w:rsid w:val="008C0B84"/>
    <w:rsid w:val="008C3303"/>
    <w:rsid w:val="008C41DA"/>
    <w:rsid w:val="008C553A"/>
    <w:rsid w:val="008C588E"/>
    <w:rsid w:val="008C6D5F"/>
    <w:rsid w:val="008C7226"/>
    <w:rsid w:val="008D24F1"/>
    <w:rsid w:val="008D587E"/>
    <w:rsid w:val="008D7B80"/>
    <w:rsid w:val="008E243B"/>
    <w:rsid w:val="008E4184"/>
    <w:rsid w:val="008E549F"/>
    <w:rsid w:val="008E60A7"/>
    <w:rsid w:val="008E6301"/>
    <w:rsid w:val="008F10BC"/>
    <w:rsid w:val="008F19D1"/>
    <w:rsid w:val="008F2052"/>
    <w:rsid w:val="008F26ED"/>
    <w:rsid w:val="008F2A38"/>
    <w:rsid w:val="008F3012"/>
    <w:rsid w:val="008F4D12"/>
    <w:rsid w:val="008F526B"/>
    <w:rsid w:val="008F592B"/>
    <w:rsid w:val="00901D14"/>
    <w:rsid w:val="00902FFF"/>
    <w:rsid w:val="00903775"/>
    <w:rsid w:val="00904768"/>
    <w:rsid w:val="009109F7"/>
    <w:rsid w:val="00912137"/>
    <w:rsid w:val="00915403"/>
    <w:rsid w:val="00915BED"/>
    <w:rsid w:val="00916B64"/>
    <w:rsid w:val="0092145D"/>
    <w:rsid w:val="0092148F"/>
    <w:rsid w:val="009245DE"/>
    <w:rsid w:val="009247D9"/>
    <w:rsid w:val="0092791C"/>
    <w:rsid w:val="00930762"/>
    <w:rsid w:val="00930C0C"/>
    <w:rsid w:val="00932F28"/>
    <w:rsid w:val="00936B81"/>
    <w:rsid w:val="00937E81"/>
    <w:rsid w:val="0094168F"/>
    <w:rsid w:val="00944701"/>
    <w:rsid w:val="00950ED1"/>
    <w:rsid w:val="009523A8"/>
    <w:rsid w:val="00952A7A"/>
    <w:rsid w:val="009537FC"/>
    <w:rsid w:val="00953A02"/>
    <w:rsid w:val="0095444E"/>
    <w:rsid w:val="00955C67"/>
    <w:rsid w:val="009573D0"/>
    <w:rsid w:val="00957B65"/>
    <w:rsid w:val="00960AFF"/>
    <w:rsid w:val="0096189B"/>
    <w:rsid w:val="00963F62"/>
    <w:rsid w:val="009643C3"/>
    <w:rsid w:val="00965EFC"/>
    <w:rsid w:val="0097161B"/>
    <w:rsid w:val="009762D2"/>
    <w:rsid w:val="009762F1"/>
    <w:rsid w:val="0097692D"/>
    <w:rsid w:val="009776D2"/>
    <w:rsid w:val="00977EA8"/>
    <w:rsid w:val="009813FB"/>
    <w:rsid w:val="0098140D"/>
    <w:rsid w:val="00981CED"/>
    <w:rsid w:val="00986B11"/>
    <w:rsid w:val="00987225"/>
    <w:rsid w:val="00990870"/>
    <w:rsid w:val="00990DCF"/>
    <w:rsid w:val="009920F5"/>
    <w:rsid w:val="00992B56"/>
    <w:rsid w:val="00992CDA"/>
    <w:rsid w:val="00993342"/>
    <w:rsid w:val="00994B32"/>
    <w:rsid w:val="00995586"/>
    <w:rsid w:val="00996CE4"/>
    <w:rsid w:val="009A0FB3"/>
    <w:rsid w:val="009A3F36"/>
    <w:rsid w:val="009A48D8"/>
    <w:rsid w:val="009A6C59"/>
    <w:rsid w:val="009A6CA1"/>
    <w:rsid w:val="009A7878"/>
    <w:rsid w:val="009B04FA"/>
    <w:rsid w:val="009B0888"/>
    <w:rsid w:val="009B33DF"/>
    <w:rsid w:val="009B4270"/>
    <w:rsid w:val="009B44CC"/>
    <w:rsid w:val="009B5651"/>
    <w:rsid w:val="009B62E4"/>
    <w:rsid w:val="009B706A"/>
    <w:rsid w:val="009C14B8"/>
    <w:rsid w:val="009C40A1"/>
    <w:rsid w:val="009C4319"/>
    <w:rsid w:val="009D109E"/>
    <w:rsid w:val="009D1CD9"/>
    <w:rsid w:val="009D1EE5"/>
    <w:rsid w:val="009D1F28"/>
    <w:rsid w:val="009D28E5"/>
    <w:rsid w:val="009D2B03"/>
    <w:rsid w:val="009D3A61"/>
    <w:rsid w:val="009D4830"/>
    <w:rsid w:val="009D520D"/>
    <w:rsid w:val="009D7018"/>
    <w:rsid w:val="009D797A"/>
    <w:rsid w:val="009E026A"/>
    <w:rsid w:val="009E3B56"/>
    <w:rsid w:val="009E49B5"/>
    <w:rsid w:val="009E49DE"/>
    <w:rsid w:val="009E551E"/>
    <w:rsid w:val="009E7066"/>
    <w:rsid w:val="009E7EEC"/>
    <w:rsid w:val="009F0628"/>
    <w:rsid w:val="009F1EF8"/>
    <w:rsid w:val="009F4604"/>
    <w:rsid w:val="009F4B78"/>
    <w:rsid w:val="009F606B"/>
    <w:rsid w:val="009F6E66"/>
    <w:rsid w:val="009F7888"/>
    <w:rsid w:val="00A00CE4"/>
    <w:rsid w:val="00A02AC3"/>
    <w:rsid w:val="00A02F00"/>
    <w:rsid w:val="00A048D2"/>
    <w:rsid w:val="00A06840"/>
    <w:rsid w:val="00A068BD"/>
    <w:rsid w:val="00A06EAD"/>
    <w:rsid w:val="00A104A9"/>
    <w:rsid w:val="00A10AA8"/>
    <w:rsid w:val="00A1293C"/>
    <w:rsid w:val="00A14F9B"/>
    <w:rsid w:val="00A167F1"/>
    <w:rsid w:val="00A2085F"/>
    <w:rsid w:val="00A20EC0"/>
    <w:rsid w:val="00A2150B"/>
    <w:rsid w:val="00A215D9"/>
    <w:rsid w:val="00A2292C"/>
    <w:rsid w:val="00A22CCB"/>
    <w:rsid w:val="00A23FC3"/>
    <w:rsid w:val="00A25B35"/>
    <w:rsid w:val="00A25F1B"/>
    <w:rsid w:val="00A31B36"/>
    <w:rsid w:val="00A3288D"/>
    <w:rsid w:val="00A329DC"/>
    <w:rsid w:val="00A3406E"/>
    <w:rsid w:val="00A41135"/>
    <w:rsid w:val="00A41FEB"/>
    <w:rsid w:val="00A42FBA"/>
    <w:rsid w:val="00A44230"/>
    <w:rsid w:val="00A44DA6"/>
    <w:rsid w:val="00A47983"/>
    <w:rsid w:val="00A50921"/>
    <w:rsid w:val="00A50A36"/>
    <w:rsid w:val="00A5160D"/>
    <w:rsid w:val="00A56CA4"/>
    <w:rsid w:val="00A60ECE"/>
    <w:rsid w:val="00A63ED2"/>
    <w:rsid w:val="00A64DA9"/>
    <w:rsid w:val="00A65F04"/>
    <w:rsid w:val="00A65F2E"/>
    <w:rsid w:val="00A7086D"/>
    <w:rsid w:val="00A71AD5"/>
    <w:rsid w:val="00A74E8C"/>
    <w:rsid w:val="00A75373"/>
    <w:rsid w:val="00A75EDC"/>
    <w:rsid w:val="00A8073E"/>
    <w:rsid w:val="00A80883"/>
    <w:rsid w:val="00A81BED"/>
    <w:rsid w:val="00A822D0"/>
    <w:rsid w:val="00A82FC6"/>
    <w:rsid w:val="00A834BA"/>
    <w:rsid w:val="00A84876"/>
    <w:rsid w:val="00A85A0D"/>
    <w:rsid w:val="00A90727"/>
    <w:rsid w:val="00A92270"/>
    <w:rsid w:val="00A94142"/>
    <w:rsid w:val="00AA0097"/>
    <w:rsid w:val="00AA0256"/>
    <w:rsid w:val="00AA10AE"/>
    <w:rsid w:val="00AA329F"/>
    <w:rsid w:val="00AA77D8"/>
    <w:rsid w:val="00AA7B6A"/>
    <w:rsid w:val="00AB3607"/>
    <w:rsid w:val="00AB593E"/>
    <w:rsid w:val="00AB5D37"/>
    <w:rsid w:val="00AB683F"/>
    <w:rsid w:val="00AC4526"/>
    <w:rsid w:val="00AC482E"/>
    <w:rsid w:val="00AC4A2E"/>
    <w:rsid w:val="00AC64CC"/>
    <w:rsid w:val="00AC7FE0"/>
    <w:rsid w:val="00AD0341"/>
    <w:rsid w:val="00AD1885"/>
    <w:rsid w:val="00AD50BA"/>
    <w:rsid w:val="00AD7575"/>
    <w:rsid w:val="00AE02E7"/>
    <w:rsid w:val="00AE0F75"/>
    <w:rsid w:val="00AE15D7"/>
    <w:rsid w:val="00AE319E"/>
    <w:rsid w:val="00AE3782"/>
    <w:rsid w:val="00AE3B2C"/>
    <w:rsid w:val="00AE3B4E"/>
    <w:rsid w:val="00AE3B7A"/>
    <w:rsid w:val="00AE4094"/>
    <w:rsid w:val="00AE5BD2"/>
    <w:rsid w:val="00AE676F"/>
    <w:rsid w:val="00AE709C"/>
    <w:rsid w:val="00AE7DD9"/>
    <w:rsid w:val="00AF2B38"/>
    <w:rsid w:val="00AF3048"/>
    <w:rsid w:val="00AF6331"/>
    <w:rsid w:val="00AF64C2"/>
    <w:rsid w:val="00B004C1"/>
    <w:rsid w:val="00B0168B"/>
    <w:rsid w:val="00B03458"/>
    <w:rsid w:val="00B04B8E"/>
    <w:rsid w:val="00B069AB"/>
    <w:rsid w:val="00B07A76"/>
    <w:rsid w:val="00B1072F"/>
    <w:rsid w:val="00B1374D"/>
    <w:rsid w:val="00B15820"/>
    <w:rsid w:val="00B20DCC"/>
    <w:rsid w:val="00B215D8"/>
    <w:rsid w:val="00B2218A"/>
    <w:rsid w:val="00B246ED"/>
    <w:rsid w:val="00B24907"/>
    <w:rsid w:val="00B26DD0"/>
    <w:rsid w:val="00B338C8"/>
    <w:rsid w:val="00B341CC"/>
    <w:rsid w:val="00B35321"/>
    <w:rsid w:val="00B35505"/>
    <w:rsid w:val="00B35CB3"/>
    <w:rsid w:val="00B35E0A"/>
    <w:rsid w:val="00B3749B"/>
    <w:rsid w:val="00B37BFB"/>
    <w:rsid w:val="00B40124"/>
    <w:rsid w:val="00B40B86"/>
    <w:rsid w:val="00B422D6"/>
    <w:rsid w:val="00B42E03"/>
    <w:rsid w:val="00B43BDA"/>
    <w:rsid w:val="00B443E2"/>
    <w:rsid w:val="00B46222"/>
    <w:rsid w:val="00B51DA8"/>
    <w:rsid w:val="00B54092"/>
    <w:rsid w:val="00B5444C"/>
    <w:rsid w:val="00B5568B"/>
    <w:rsid w:val="00B557BF"/>
    <w:rsid w:val="00B55BD6"/>
    <w:rsid w:val="00B56147"/>
    <w:rsid w:val="00B5720A"/>
    <w:rsid w:val="00B604A0"/>
    <w:rsid w:val="00B60761"/>
    <w:rsid w:val="00B611E2"/>
    <w:rsid w:val="00B620A5"/>
    <w:rsid w:val="00B62BB1"/>
    <w:rsid w:val="00B63559"/>
    <w:rsid w:val="00B66D55"/>
    <w:rsid w:val="00B67304"/>
    <w:rsid w:val="00B73979"/>
    <w:rsid w:val="00B751B0"/>
    <w:rsid w:val="00B755EB"/>
    <w:rsid w:val="00B762E0"/>
    <w:rsid w:val="00B7770D"/>
    <w:rsid w:val="00B83619"/>
    <w:rsid w:val="00B842BE"/>
    <w:rsid w:val="00B86188"/>
    <w:rsid w:val="00B86C54"/>
    <w:rsid w:val="00B874C4"/>
    <w:rsid w:val="00B930D6"/>
    <w:rsid w:val="00B97AA2"/>
    <w:rsid w:val="00B97B8E"/>
    <w:rsid w:val="00BA00A8"/>
    <w:rsid w:val="00BA0378"/>
    <w:rsid w:val="00BA3241"/>
    <w:rsid w:val="00BA37A4"/>
    <w:rsid w:val="00BA4DB6"/>
    <w:rsid w:val="00BA4FB0"/>
    <w:rsid w:val="00BA51D0"/>
    <w:rsid w:val="00BA5505"/>
    <w:rsid w:val="00BA6138"/>
    <w:rsid w:val="00BB1930"/>
    <w:rsid w:val="00BB3478"/>
    <w:rsid w:val="00BC1C02"/>
    <w:rsid w:val="00BC2247"/>
    <w:rsid w:val="00BC29AA"/>
    <w:rsid w:val="00BC5572"/>
    <w:rsid w:val="00BD2535"/>
    <w:rsid w:val="00BD26F9"/>
    <w:rsid w:val="00BD31B1"/>
    <w:rsid w:val="00BD497C"/>
    <w:rsid w:val="00BD5174"/>
    <w:rsid w:val="00BD548F"/>
    <w:rsid w:val="00BD57EE"/>
    <w:rsid w:val="00BD5E8D"/>
    <w:rsid w:val="00BD6064"/>
    <w:rsid w:val="00BD7CAD"/>
    <w:rsid w:val="00BE44F0"/>
    <w:rsid w:val="00BE4E8A"/>
    <w:rsid w:val="00BE6524"/>
    <w:rsid w:val="00BF159C"/>
    <w:rsid w:val="00BF2A79"/>
    <w:rsid w:val="00BF375F"/>
    <w:rsid w:val="00C016EF"/>
    <w:rsid w:val="00C02372"/>
    <w:rsid w:val="00C044C3"/>
    <w:rsid w:val="00C06D6A"/>
    <w:rsid w:val="00C10453"/>
    <w:rsid w:val="00C10FD6"/>
    <w:rsid w:val="00C11020"/>
    <w:rsid w:val="00C120C5"/>
    <w:rsid w:val="00C12701"/>
    <w:rsid w:val="00C12E60"/>
    <w:rsid w:val="00C12E79"/>
    <w:rsid w:val="00C13BCA"/>
    <w:rsid w:val="00C141B9"/>
    <w:rsid w:val="00C158CF"/>
    <w:rsid w:val="00C16518"/>
    <w:rsid w:val="00C1787D"/>
    <w:rsid w:val="00C20F14"/>
    <w:rsid w:val="00C2201A"/>
    <w:rsid w:val="00C22B7C"/>
    <w:rsid w:val="00C23B8E"/>
    <w:rsid w:val="00C24438"/>
    <w:rsid w:val="00C27FB2"/>
    <w:rsid w:val="00C30C83"/>
    <w:rsid w:val="00C3184D"/>
    <w:rsid w:val="00C331FD"/>
    <w:rsid w:val="00C3421C"/>
    <w:rsid w:val="00C34DCB"/>
    <w:rsid w:val="00C3541A"/>
    <w:rsid w:val="00C35B79"/>
    <w:rsid w:val="00C36D0C"/>
    <w:rsid w:val="00C36F9E"/>
    <w:rsid w:val="00C3708D"/>
    <w:rsid w:val="00C401C7"/>
    <w:rsid w:val="00C4138A"/>
    <w:rsid w:val="00C42B76"/>
    <w:rsid w:val="00C440B4"/>
    <w:rsid w:val="00C443B1"/>
    <w:rsid w:val="00C446F9"/>
    <w:rsid w:val="00C462CB"/>
    <w:rsid w:val="00C46863"/>
    <w:rsid w:val="00C46F39"/>
    <w:rsid w:val="00C4742F"/>
    <w:rsid w:val="00C47AFE"/>
    <w:rsid w:val="00C5067F"/>
    <w:rsid w:val="00C515C3"/>
    <w:rsid w:val="00C51AA2"/>
    <w:rsid w:val="00C52E43"/>
    <w:rsid w:val="00C550E5"/>
    <w:rsid w:val="00C55968"/>
    <w:rsid w:val="00C56CD4"/>
    <w:rsid w:val="00C57772"/>
    <w:rsid w:val="00C609C3"/>
    <w:rsid w:val="00C60C1F"/>
    <w:rsid w:val="00C60E16"/>
    <w:rsid w:val="00C62BCB"/>
    <w:rsid w:val="00C64CE6"/>
    <w:rsid w:val="00C65E4E"/>
    <w:rsid w:val="00C66610"/>
    <w:rsid w:val="00C66648"/>
    <w:rsid w:val="00C66FEF"/>
    <w:rsid w:val="00C70403"/>
    <w:rsid w:val="00C70546"/>
    <w:rsid w:val="00C70CB4"/>
    <w:rsid w:val="00C727A7"/>
    <w:rsid w:val="00C728D5"/>
    <w:rsid w:val="00C72CF7"/>
    <w:rsid w:val="00C75119"/>
    <w:rsid w:val="00C75DD0"/>
    <w:rsid w:val="00C76DD6"/>
    <w:rsid w:val="00C812BF"/>
    <w:rsid w:val="00C8149C"/>
    <w:rsid w:val="00C827E9"/>
    <w:rsid w:val="00C84787"/>
    <w:rsid w:val="00C87858"/>
    <w:rsid w:val="00C90B62"/>
    <w:rsid w:val="00C91C08"/>
    <w:rsid w:val="00C94842"/>
    <w:rsid w:val="00C94EF1"/>
    <w:rsid w:val="00C959F3"/>
    <w:rsid w:val="00C974E2"/>
    <w:rsid w:val="00C97F0E"/>
    <w:rsid w:val="00CA06AC"/>
    <w:rsid w:val="00CA0C1D"/>
    <w:rsid w:val="00CA1D9E"/>
    <w:rsid w:val="00CA242A"/>
    <w:rsid w:val="00CA27BD"/>
    <w:rsid w:val="00CA2AB6"/>
    <w:rsid w:val="00CA36DE"/>
    <w:rsid w:val="00CA4BCC"/>
    <w:rsid w:val="00CA5313"/>
    <w:rsid w:val="00CB01D6"/>
    <w:rsid w:val="00CB311E"/>
    <w:rsid w:val="00CB71E1"/>
    <w:rsid w:val="00CC0ED3"/>
    <w:rsid w:val="00CC1894"/>
    <w:rsid w:val="00CC2EE2"/>
    <w:rsid w:val="00CC371E"/>
    <w:rsid w:val="00CC3D03"/>
    <w:rsid w:val="00CC45DB"/>
    <w:rsid w:val="00CC4BD5"/>
    <w:rsid w:val="00CC5651"/>
    <w:rsid w:val="00CC73FF"/>
    <w:rsid w:val="00CD141E"/>
    <w:rsid w:val="00CD2535"/>
    <w:rsid w:val="00CD2B0A"/>
    <w:rsid w:val="00CD45DA"/>
    <w:rsid w:val="00CD4AEC"/>
    <w:rsid w:val="00CE01A9"/>
    <w:rsid w:val="00CE25F1"/>
    <w:rsid w:val="00CE2D96"/>
    <w:rsid w:val="00CE2EA4"/>
    <w:rsid w:val="00CE5714"/>
    <w:rsid w:val="00CE6138"/>
    <w:rsid w:val="00CE6F59"/>
    <w:rsid w:val="00CE7332"/>
    <w:rsid w:val="00CE7AAB"/>
    <w:rsid w:val="00CF2207"/>
    <w:rsid w:val="00CF2673"/>
    <w:rsid w:val="00CF2DA1"/>
    <w:rsid w:val="00CF3B03"/>
    <w:rsid w:val="00CF43B1"/>
    <w:rsid w:val="00CF4CDF"/>
    <w:rsid w:val="00CF74FE"/>
    <w:rsid w:val="00D03E08"/>
    <w:rsid w:val="00D0454E"/>
    <w:rsid w:val="00D0614B"/>
    <w:rsid w:val="00D06AD1"/>
    <w:rsid w:val="00D06CAC"/>
    <w:rsid w:val="00D072B2"/>
    <w:rsid w:val="00D07A98"/>
    <w:rsid w:val="00D12C22"/>
    <w:rsid w:val="00D17549"/>
    <w:rsid w:val="00D17626"/>
    <w:rsid w:val="00D23978"/>
    <w:rsid w:val="00D24D97"/>
    <w:rsid w:val="00D275F5"/>
    <w:rsid w:val="00D30655"/>
    <w:rsid w:val="00D316E3"/>
    <w:rsid w:val="00D326EC"/>
    <w:rsid w:val="00D331F5"/>
    <w:rsid w:val="00D350FC"/>
    <w:rsid w:val="00D35769"/>
    <w:rsid w:val="00D376F1"/>
    <w:rsid w:val="00D417CD"/>
    <w:rsid w:val="00D4399D"/>
    <w:rsid w:val="00D43CA8"/>
    <w:rsid w:val="00D4523D"/>
    <w:rsid w:val="00D45803"/>
    <w:rsid w:val="00D4593F"/>
    <w:rsid w:val="00D45BD4"/>
    <w:rsid w:val="00D46BA1"/>
    <w:rsid w:val="00D4775B"/>
    <w:rsid w:val="00D47AB8"/>
    <w:rsid w:val="00D506FA"/>
    <w:rsid w:val="00D51C44"/>
    <w:rsid w:val="00D557B9"/>
    <w:rsid w:val="00D55D94"/>
    <w:rsid w:val="00D56566"/>
    <w:rsid w:val="00D61BD9"/>
    <w:rsid w:val="00D646AC"/>
    <w:rsid w:val="00D647A4"/>
    <w:rsid w:val="00D6487A"/>
    <w:rsid w:val="00D648BB"/>
    <w:rsid w:val="00D64E04"/>
    <w:rsid w:val="00D65010"/>
    <w:rsid w:val="00D6569D"/>
    <w:rsid w:val="00D65A5E"/>
    <w:rsid w:val="00D65AC8"/>
    <w:rsid w:val="00D669D1"/>
    <w:rsid w:val="00D6789F"/>
    <w:rsid w:val="00D7049A"/>
    <w:rsid w:val="00D704F6"/>
    <w:rsid w:val="00D722B1"/>
    <w:rsid w:val="00D74652"/>
    <w:rsid w:val="00D74909"/>
    <w:rsid w:val="00D74A82"/>
    <w:rsid w:val="00D753F6"/>
    <w:rsid w:val="00D7618D"/>
    <w:rsid w:val="00D7737D"/>
    <w:rsid w:val="00D77887"/>
    <w:rsid w:val="00D80897"/>
    <w:rsid w:val="00D80B9B"/>
    <w:rsid w:val="00D81375"/>
    <w:rsid w:val="00D8192C"/>
    <w:rsid w:val="00D840FE"/>
    <w:rsid w:val="00D848A6"/>
    <w:rsid w:val="00D84CAB"/>
    <w:rsid w:val="00D8540E"/>
    <w:rsid w:val="00D85C4D"/>
    <w:rsid w:val="00D861E3"/>
    <w:rsid w:val="00D8730B"/>
    <w:rsid w:val="00D90215"/>
    <w:rsid w:val="00D904AC"/>
    <w:rsid w:val="00D9072A"/>
    <w:rsid w:val="00D920E1"/>
    <w:rsid w:val="00D93BA6"/>
    <w:rsid w:val="00D94852"/>
    <w:rsid w:val="00D94D4D"/>
    <w:rsid w:val="00DA0229"/>
    <w:rsid w:val="00DA039C"/>
    <w:rsid w:val="00DA10B4"/>
    <w:rsid w:val="00DA3928"/>
    <w:rsid w:val="00DA6EBE"/>
    <w:rsid w:val="00DA7EF4"/>
    <w:rsid w:val="00DB18A3"/>
    <w:rsid w:val="00DB1E13"/>
    <w:rsid w:val="00DB27CC"/>
    <w:rsid w:val="00DB2A54"/>
    <w:rsid w:val="00DB4EF9"/>
    <w:rsid w:val="00DC06E5"/>
    <w:rsid w:val="00DC29FE"/>
    <w:rsid w:val="00DC2AFE"/>
    <w:rsid w:val="00DC430C"/>
    <w:rsid w:val="00DC58AE"/>
    <w:rsid w:val="00DC60FB"/>
    <w:rsid w:val="00DC7319"/>
    <w:rsid w:val="00DC742E"/>
    <w:rsid w:val="00DC7EA8"/>
    <w:rsid w:val="00DD0D14"/>
    <w:rsid w:val="00DD15EB"/>
    <w:rsid w:val="00DD20C6"/>
    <w:rsid w:val="00DD38DC"/>
    <w:rsid w:val="00DD63FF"/>
    <w:rsid w:val="00DD74DE"/>
    <w:rsid w:val="00DF1BBF"/>
    <w:rsid w:val="00DF3145"/>
    <w:rsid w:val="00DF414F"/>
    <w:rsid w:val="00DF4B0E"/>
    <w:rsid w:val="00DF5AE4"/>
    <w:rsid w:val="00E01E4B"/>
    <w:rsid w:val="00E062B0"/>
    <w:rsid w:val="00E0711E"/>
    <w:rsid w:val="00E0770C"/>
    <w:rsid w:val="00E14DFA"/>
    <w:rsid w:val="00E160C6"/>
    <w:rsid w:val="00E17EA5"/>
    <w:rsid w:val="00E21243"/>
    <w:rsid w:val="00E229DB"/>
    <w:rsid w:val="00E24722"/>
    <w:rsid w:val="00E24FBD"/>
    <w:rsid w:val="00E2571A"/>
    <w:rsid w:val="00E26988"/>
    <w:rsid w:val="00E26B4F"/>
    <w:rsid w:val="00E26EDC"/>
    <w:rsid w:val="00E2713C"/>
    <w:rsid w:val="00E30B42"/>
    <w:rsid w:val="00E342D7"/>
    <w:rsid w:val="00E34358"/>
    <w:rsid w:val="00E34D1F"/>
    <w:rsid w:val="00E35C26"/>
    <w:rsid w:val="00E40953"/>
    <w:rsid w:val="00E410EA"/>
    <w:rsid w:val="00E418BC"/>
    <w:rsid w:val="00E41D5C"/>
    <w:rsid w:val="00E437F7"/>
    <w:rsid w:val="00E513D8"/>
    <w:rsid w:val="00E5227B"/>
    <w:rsid w:val="00E529F9"/>
    <w:rsid w:val="00E55017"/>
    <w:rsid w:val="00E55416"/>
    <w:rsid w:val="00E557D1"/>
    <w:rsid w:val="00E56282"/>
    <w:rsid w:val="00E6109E"/>
    <w:rsid w:val="00E616BF"/>
    <w:rsid w:val="00E65355"/>
    <w:rsid w:val="00E65426"/>
    <w:rsid w:val="00E658AA"/>
    <w:rsid w:val="00E6656A"/>
    <w:rsid w:val="00E70D30"/>
    <w:rsid w:val="00E716BA"/>
    <w:rsid w:val="00E74F2D"/>
    <w:rsid w:val="00E75977"/>
    <w:rsid w:val="00E76431"/>
    <w:rsid w:val="00E7686D"/>
    <w:rsid w:val="00E779BF"/>
    <w:rsid w:val="00E80474"/>
    <w:rsid w:val="00E807A1"/>
    <w:rsid w:val="00E813BA"/>
    <w:rsid w:val="00E81BEA"/>
    <w:rsid w:val="00E83C86"/>
    <w:rsid w:val="00E8590C"/>
    <w:rsid w:val="00E85F76"/>
    <w:rsid w:val="00E8604B"/>
    <w:rsid w:val="00E91FDC"/>
    <w:rsid w:val="00E92089"/>
    <w:rsid w:val="00E93590"/>
    <w:rsid w:val="00E944B6"/>
    <w:rsid w:val="00E94506"/>
    <w:rsid w:val="00E95A7B"/>
    <w:rsid w:val="00E95D84"/>
    <w:rsid w:val="00E969E9"/>
    <w:rsid w:val="00E97E0B"/>
    <w:rsid w:val="00EA01A0"/>
    <w:rsid w:val="00EA155A"/>
    <w:rsid w:val="00EA1A50"/>
    <w:rsid w:val="00EA24D4"/>
    <w:rsid w:val="00EA2851"/>
    <w:rsid w:val="00EA3515"/>
    <w:rsid w:val="00EA55FE"/>
    <w:rsid w:val="00EA5834"/>
    <w:rsid w:val="00EB0906"/>
    <w:rsid w:val="00EB0B4F"/>
    <w:rsid w:val="00EB1B59"/>
    <w:rsid w:val="00EB2E9A"/>
    <w:rsid w:val="00EB4384"/>
    <w:rsid w:val="00EB446F"/>
    <w:rsid w:val="00EB4793"/>
    <w:rsid w:val="00EB6065"/>
    <w:rsid w:val="00EB7E95"/>
    <w:rsid w:val="00EC03CE"/>
    <w:rsid w:val="00EC0826"/>
    <w:rsid w:val="00EC3688"/>
    <w:rsid w:val="00EC4E99"/>
    <w:rsid w:val="00EC7E23"/>
    <w:rsid w:val="00ED1A5C"/>
    <w:rsid w:val="00ED23C6"/>
    <w:rsid w:val="00ED3A21"/>
    <w:rsid w:val="00ED49F3"/>
    <w:rsid w:val="00ED54F9"/>
    <w:rsid w:val="00ED5D1D"/>
    <w:rsid w:val="00ED6982"/>
    <w:rsid w:val="00EE0218"/>
    <w:rsid w:val="00EE0E54"/>
    <w:rsid w:val="00EE1033"/>
    <w:rsid w:val="00EE114E"/>
    <w:rsid w:val="00EE3557"/>
    <w:rsid w:val="00EE5EE4"/>
    <w:rsid w:val="00EE758D"/>
    <w:rsid w:val="00EF24BB"/>
    <w:rsid w:val="00EF2B90"/>
    <w:rsid w:val="00EF32F6"/>
    <w:rsid w:val="00EF4114"/>
    <w:rsid w:val="00EF448F"/>
    <w:rsid w:val="00EF4634"/>
    <w:rsid w:val="00EF472E"/>
    <w:rsid w:val="00EF4A5A"/>
    <w:rsid w:val="00EF4EC4"/>
    <w:rsid w:val="00EF66A9"/>
    <w:rsid w:val="00EF74D8"/>
    <w:rsid w:val="00F01898"/>
    <w:rsid w:val="00F01B04"/>
    <w:rsid w:val="00F0223D"/>
    <w:rsid w:val="00F05EE0"/>
    <w:rsid w:val="00F06985"/>
    <w:rsid w:val="00F07042"/>
    <w:rsid w:val="00F07567"/>
    <w:rsid w:val="00F07DE8"/>
    <w:rsid w:val="00F156B3"/>
    <w:rsid w:val="00F15FD8"/>
    <w:rsid w:val="00F1642D"/>
    <w:rsid w:val="00F21A1A"/>
    <w:rsid w:val="00F22813"/>
    <w:rsid w:val="00F22FC8"/>
    <w:rsid w:val="00F27F36"/>
    <w:rsid w:val="00F309C9"/>
    <w:rsid w:val="00F31A3D"/>
    <w:rsid w:val="00F32B8C"/>
    <w:rsid w:val="00F33383"/>
    <w:rsid w:val="00F33978"/>
    <w:rsid w:val="00F33D5B"/>
    <w:rsid w:val="00F37FF1"/>
    <w:rsid w:val="00F4030B"/>
    <w:rsid w:val="00F41DD7"/>
    <w:rsid w:val="00F42F65"/>
    <w:rsid w:val="00F4338E"/>
    <w:rsid w:val="00F444F5"/>
    <w:rsid w:val="00F44F59"/>
    <w:rsid w:val="00F4602E"/>
    <w:rsid w:val="00F46BCF"/>
    <w:rsid w:val="00F47169"/>
    <w:rsid w:val="00F47AB1"/>
    <w:rsid w:val="00F51064"/>
    <w:rsid w:val="00F515AF"/>
    <w:rsid w:val="00F53E05"/>
    <w:rsid w:val="00F55089"/>
    <w:rsid w:val="00F5550A"/>
    <w:rsid w:val="00F55A56"/>
    <w:rsid w:val="00F56088"/>
    <w:rsid w:val="00F6031D"/>
    <w:rsid w:val="00F61303"/>
    <w:rsid w:val="00F65606"/>
    <w:rsid w:val="00F65D66"/>
    <w:rsid w:val="00F66614"/>
    <w:rsid w:val="00F67764"/>
    <w:rsid w:val="00F70A99"/>
    <w:rsid w:val="00F71232"/>
    <w:rsid w:val="00F729A8"/>
    <w:rsid w:val="00F74722"/>
    <w:rsid w:val="00F75F45"/>
    <w:rsid w:val="00F76191"/>
    <w:rsid w:val="00F76C1D"/>
    <w:rsid w:val="00F77C32"/>
    <w:rsid w:val="00F80806"/>
    <w:rsid w:val="00F8096A"/>
    <w:rsid w:val="00F82269"/>
    <w:rsid w:val="00F82586"/>
    <w:rsid w:val="00F82957"/>
    <w:rsid w:val="00F83BD2"/>
    <w:rsid w:val="00F84B9F"/>
    <w:rsid w:val="00F857CA"/>
    <w:rsid w:val="00F87BC8"/>
    <w:rsid w:val="00F92C2B"/>
    <w:rsid w:val="00F93818"/>
    <w:rsid w:val="00F94241"/>
    <w:rsid w:val="00F94541"/>
    <w:rsid w:val="00F945CD"/>
    <w:rsid w:val="00F95AF7"/>
    <w:rsid w:val="00F95ECF"/>
    <w:rsid w:val="00F9792C"/>
    <w:rsid w:val="00F97AAA"/>
    <w:rsid w:val="00FA4660"/>
    <w:rsid w:val="00FA4AD8"/>
    <w:rsid w:val="00FA4CBA"/>
    <w:rsid w:val="00FA51E7"/>
    <w:rsid w:val="00FB127D"/>
    <w:rsid w:val="00FB1952"/>
    <w:rsid w:val="00FB1F6A"/>
    <w:rsid w:val="00FB3597"/>
    <w:rsid w:val="00FB4D12"/>
    <w:rsid w:val="00FB4FDE"/>
    <w:rsid w:val="00FB53CA"/>
    <w:rsid w:val="00FB6745"/>
    <w:rsid w:val="00FB69AD"/>
    <w:rsid w:val="00FC0910"/>
    <w:rsid w:val="00FC1B4E"/>
    <w:rsid w:val="00FC3750"/>
    <w:rsid w:val="00FC4844"/>
    <w:rsid w:val="00FC487C"/>
    <w:rsid w:val="00FC4B43"/>
    <w:rsid w:val="00FC51A5"/>
    <w:rsid w:val="00FC5B6A"/>
    <w:rsid w:val="00FC7DF9"/>
    <w:rsid w:val="00FD0B36"/>
    <w:rsid w:val="00FD0DE8"/>
    <w:rsid w:val="00FD168A"/>
    <w:rsid w:val="00FD1757"/>
    <w:rsid w:val="00FD18DE"/>
    <w:rsid w:val="00FD1C30"/>
    <w:rsid w:val="00FD25F4"/>
    <w:rsid w:val="00FD3643"/>
    <w:rsid w:val="00FD553C"/>
    <w:rsid w:val="00FD6A6D"/>
    <w:rsid w:val="00FD6F5E"/>
    <w:rsid w:val="00FE087D"/>
    <w:rsid w:val="00FE133D"/>
    <w:rsid w:val="00FE2090"/>
    <w:rsid w:val="00FE24E9"/>
    <w:rsid w:val="00FE359D"/>
    <w:rsid w:val="00FE47EA"/>
    <w:rsid w:val="00FE4D5F"/>
    <w:rsid w:val="00FE56E2"/>
    <w:rsid w:val="00FE7BC4"/>
    <w:rsid w:val="00FE7EAA"/>
    <w:rsid w:val="00FF14F6"/>
    <w:rsid w:val="00FF23FF"/>
    <w:rsid w:val="00FF29D4"/>
    <w:rsid w:val="00FF388D"/>
    <w:rsid w:val="00FF508B"/>
    <w:rsid w:val="00FF5414"/>
    <w:rsid w:val="00FF7894"/>
    <w:rsid w:val="06702FCE"/>
    <w:rsid w:val="08EA7CED"/>
    <w:rsid w:val="0CF54A62"/>
    <w:rsid w:val="127E0559"/>
    <w:rsid w:val="138E696A"/>
    <w:rsid w:val="1497412F"/>
    <w:rsid w:val="1BB235FD"/>
    <w:rsid w:val="224E6C54"/>
    <w:rsid w:val="24C4291E"/>
    <w:rsid w:val="2998458E"/>
    <w:rsid w:val="35B83B3E"/>
    <w:rsid w:val="39E655E7"/>
    <w:rsid w:val="3B763D1D"/>
    <w:rsid w:val="3CBF1A5E"/>
    <w:rsid w:val="3E382E3D"/>
    <w:rsid w:val="3E4B54BF"/>
    <w:rsid w:val="3E6738DF"/>
    <w:rsid w:val="48C42A3E"/>
    <w:rsid w:val="49153299"/>
    <w:rsid w:val="4A7E04C4"/>
    <w:rsid w:val="4CD42446"/>
    <w:rsid w:val="4FD95020"/>
    <w:rsid w:val="50597F0F"/>
    <w:rsid w:val="52061DB3"/>
    <w:rsid w:val="5E6437E8"/>
    <w:rsid w:val="638B6FDE"/>
    <w:rsid w:val="66AF3FA4"/>
    <w:rsid w:val="67050051"/>
    <w:rsid w:val="671B1623"/>
    <w:rsid w:val="6A8D1D01"/>
    <w:rsid w:val="742F5D8F"/>
    <w:rsid w:val="79C94F5B"/>
    <w:rsid w:val="7C484810"/>
    <w:rsid w:val="7CD51E1C"/>
    <w:rsid w:val="7F14620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200" w:firstLineChars="200"/>
    </w:pPr>
    <w:rPr>
      <w:rFonts w:ascii="Times New Roman" w:hAnsi="Times New Roman" w:eastAsia="MS Mincho" w:cs="Times New Roman"/>
      <w:sz w:val="24"/>
      <w:szCs w:val="24"/>
      <w:lang w:val="de-DE" w:eastAsia="ja-JP" w:bidi="ar-SA"/>
    </w:rPr>
  </w:style>
  <w:style w:type="paragraph" w:styleId="2">
    <w:name w:val="heading 1"/>
    <w:basedOn w:val="1"/>
    <w:next w:val="1"/>
    <w:link w:val="5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6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66"/>
    <w:semiHidden/>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55"/>
    <w:unhideWhenUsed/>
    <w:qFormat/>
    <w:uiPriority w:val="99"/>
    <w:rPr>
      <w:sz w:val="20"/>
      <w:szCs w:val="20"/>
      <w:lang w:val="zh-CN"/>
    </w:rPr>
  </w:style>
  <w:style w:type="paragraph" w:styleId="6">
    <w:name w:val="Balloon Text"/>
    <w:basedOn w:val="1"/>
    <w:semiHidden/>
    <w:qFormat/>
    <w:uiPriority w:val="0"/>
    <w:rPr>
      <w:rFonts w:ascii="Tahoma" w:hAnsi="Tahoma" w:cs="Tahoma"/>
      <w:sz w:val="16"/>
      <w:szCs w:val="16"/>
    </w:rPr>
  </w:style>
  <w:style w:type="paragraph" w:styleId="7">
    <w:name w:val="footer"/>
    <w:basedOn w:val="1"/>
    <w:link w:val="57"/>
    <w:qFormat/>
    <w:uiPriority w:val="99"/>
    <w:pPr>
      <w:tabs>
        <w:tab w:val="center" w:pos="4536"/>
        <w:tab w:val="right" w:pos="9072"/>
      </w:tabs>
    </w:pPr>
  </w:style>
  <w:style w:type="paragraph" w:styleId="8">
    <w:name w:val="header"/>
    <w:basedOn w:val="1"/>
    <w:link w:val="54"/>
    <w:qFormat/>
    <w:uiPriority w:val="0"/>
    <w:pPr>
      <w:tabs>
        <w:tab w:val="center" w:pos="4536"/>
        <w:tab w:val="right" w:pos="9072"/>
      </w:tabs>
    </w:pPr>
    <w:rPr>
      <w:lang w:val="zh-CN"/>
    </w:rPr>
  </w:style>
  <w:style w:type="paragraph" w:styleId="9">
    <w:name w:val="footnote text"/>
    <w:basedOn w:val="1"/>
    <w:semiHidden/>
    <w:qFormat/>
    <w:uiPriority w:val="0"/>
    <w:pPr>
      <w:keepLines/>
      <w:widowControl w:val="0"/>
      <w:jc w:val="both"/>
    </w:pPr>
    <w:rPr>
      <w:rFonts w:eastAsia="Times New Roman"/>
      <w:sz w:val="20"/>
      <w:szCs w:val="20"/>
      <w:lang w:val="en-GB" w:eastAsia="ro-RO"/>
    </w:rPr>
  </w:style>
  <w:style w:type="paragraph" w:styleId="10">
    <w:name w:val="Normal (Web)"/>
    <w:basedOn w:val="1"/>
    <w:qFormat/>
    <w:uiPriority w:val="0"/>
    <w:pPr>
      <w:widowControl w:val="0"/>
      <w:ind w:firstLine="0" w:firstLineChars="0"/>
      <w:jc w:val="both"/>
    </w:pPr>
    <w:rPr>
      <w:rFonts w:ascii="Calibri" w:hAnsi="Calibri" w:eastAsia="宋体"/>
      <w:kern w:val="2"/>
      <w:lang w:val="en-US" w:eastAsia="zh-CN"/>
    </w:rPr>
  </w:style>
  <w:style w:type="paragraph" w:styleId="11">
    <w:name w:val="annotation subject"/>
    <w:basedOn w:val="5"/>
    <w:next w:val="5"/>
    <w:link w:val="56"/>
    <w:semiHidden/>
    <w:unhideWhenUsed/>
    <w:qFormat/>
    <w:uiPriority w:val="99"/>
    <w:rPr>
      <w:b/>
      <w:bCs/>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rPr>
  </w:style>
  <w:style w:type="character" w:styleId="16">
    <w:name w:val="Emphasis"/>
    <w:basedOn w:val="14"/>
    <w:qFormat/>
    <w:uiPriority w:val="20"/>
    <w:rPr>
      <w:i/>
    </w:rPr>
  </w:style>
  <w:style w:type="character" w:styleId="17">
    <w:name w:val="Hyperlink"/>
    <w:basedOn w:val="14"/>
    <w:unhideWhenUsed/>
    <w:qFormat/>
    <w:uiPriority w:val="99"/>
    <w:rPr>
      <w:color w:val="0563C1" w:themeColor="hyperlink"/>
      <w:u w:val="single"/>
      <w14:textFill>
        <w14:solidFill>
          <w14:schemeClr w14:val="hlink"/>
        </w14:solidFill>
      </w14:textFill>
    </w:rPr>
  </w:style>
  <w:style w:type="character" w:styleId="18">
    <w:name w:val="annotation reference"/>
    <w:semiHidden/>
    <w:unhideWhenUsed/>
    <w:qFormat/>
    <w:uiPriority w:val="99"/>
    <w:rPr>
      <w:sz w:val="16"/>
      <w:szCs w:val="16"/>
    </w:rPr>
  </w:style>
  <w:style w:type="paragraph" w:customStyle="1" w:styleId="19">
    <w:name w:val="History"/>
    <w:basedOn w:val="1"/>
    <w:qFormat/>
    <w:uiPriority w:val="0"/>
    <w:pPr>
      <w:spacing w:before="230" w:after="460" w:line="180" w:lineRule="exact"/>
      <w:jc w:val="right"/>
    </w:pPr>
    <w:rPr>
      <w:rFonts w:ascii="Arial" w:hAnsi="Arial"/>
      <w:sz w:val="14"/>
      <w:szCs w:val="16"/>
    </w:rPr>
  </w:style>
  <w:style w:type="paragraph" w:customStyle="1" w:styleId="20">
    <w:name w:val="References"/>
    <w:basedOn w:val="1"/>
    <w:qFormat/>
    <w:uiPriority w:val="0"/>
    <w:pPr>
      <w:spacing w:line="200" w:lineRule="exact"/>
      <w:ind w:left="425" w:hanging="425"/>
      <w:jc w:val="both"/>
    </w:pPr>
    <w:rPr>
      <w:sz w:val="15"/>
      <w:szCs w:val="14"/>
      <w:lang w:val="en-GB"/>
    </w:rPr>
  </w:style>
  <w:style w:type="paragraph" w:customStyle="1" w:styleId="21">
    <w:name w:val="HExperimental_Section"/>
    <w:basedOn w:val="1"/>
    <w:qFormat/>
    <w:uiPriority w:val="0"/>
    <w:pPr>
      <w:spacing w:before="460" w:after="230" w:line="230" w:lineRule="atLeast"/>
    </w:pPr>
    <w:rPr>
      <w:i/>
      <w:szCs w:val="20"/>
    </w:rPr>
  </w:style>
  <w:style w:type="paragraph" w:customStyle="1" w:styleId="22">
    <w:name w:val="ExperimentalSection"/>
    <w:basedOn w:val="1"/>
    <w:qFormat/>
    <w:uiPriority w:val="0"/>
    <w:pPr>
      <w:spacing w:after="240" w:line="200" w:lineRule="exact"/>
      <w:ind w:firstLine="170"/>
      <w:jc w:val="both"/>
    </w:pPr>
    <w:rPr>
      <w:sz w:val="16"/>
      <w:szCs w:val="14"/>
      <w:lang w:val="en-GB"/>
    </w:rPr>
  </w:style>
  <w:style w:type="paragraph" w:customStyle="1" w:styleId="23">
    <w:name w:val="FNB"/>
    <w:basedOn w:val="1"/>
    <w:link w:val="24"/>
    <w:qFormat/>
    <w:uiPriority w:val="0"/>
    <w:pPr>
      <w:widowControl w:val="0"/>
      <w:spacing w:after="40" w:line="160" w:lineRule="exact"/>
      <w:ind w:left="567" w:right="4434" w:hanging="567"/>
      <w:jc w:val="both"/>
    </w:pPr>
    <w:rPr>
      <w:rFonts w:ascii="Times" w:hAnsi="Times"/>
      <w:sz w:val="14"/>
      <w:szCs w:val="3276"/>
      <w:lang w:val="en-GB" w:eastAsia="de-DE"/>
    </w:rPr>
  </w:style>
  <w:style w:type="character" w:customStyle="1" w:styleId="24">
    <w:name w:val="FNB Char"/>
    <w:link w:val="23"/>
    <w:qFormat/>
    <w:uiPriority w:val="0"/>
    <w:rPr>
      <w:rFonts w:ascii="Times" w:hAnsi="Times"/>
      <w:sz w:val="14"/>
      <w:szCs w:val="3276"/>
      <w:lang w:val="en-GB" w:eastAsia="de-DE" w:bidi="ar-SA"/>
    </w:rPr>
  </w:style>
  <w:style w:type="paragraph" w:customStyle="1" w:styleId="25">
    <w:name w:val="Ack"/>
    <w:basedOn w:val="1"/>
    <w:qFormat/>
    <w:uiPriority w:val="0"/>
  </w:style>
  <w:style w:type="paragraph" w:customStyle="1" w:styleId="26">
    <w:name w:val="TableCaption"/>
    <w:basedOn w:val="1"/>
    <w:qFormat/>
    <w:uiPriority w:val="0"/>
    <w:pPr>
      <w:spacing w:after="120" w:line="190" w:lineRule="exact"/>
      <w:jc w:val="both"/>
    </w:pPr>
    <w:rPr>
      <w:rFonts w:ascii="Arial" w:hAnsi="Arial"/>
      <w:sz w:val="16"/>
      <w:szCs w:val="14"/>
      <w:lang w:val="en-GB"/>
    </w:rPr>
  </w:style>
  <w:style w:type="paragraph" w:customStyle="1" w:styleId="27">
    <w:name w:val="TableHead"/>
    <w:basedOn w:val="26"/>
    <w:qFormat/>
    <w:uiPriority w:val="0"/>
    <w:pPr>
      <w:pBdr>
        <w:top w:val="single" w:color="FFFFFF" w:sz="4" w:space="4"/>
        <w:left w:val="single" w:color="FFFFFF" w:sz="4" w:space="4"/>
        <w:bottom w:val="single" w:color="FFFFFF" w:sz="4" w:space="4"/>
        <w:right w:val="single" w:color="FFFFFF" w:sz="4" w:space="4"/>
      </w:pBdr>
      <w:spacing w:after="0"/>
    </w:pPr>
  </w:style>
  <w:style w:type="paragraph" w:customStyle="1" w:styleId="28">
    <w:name w:val="TableBody"/>
    <w:basedOn w:val="27"/>
    <w:qFormat/>
    <w:uiPriority w:val="0"/>
  </w:style>
  <w:style w:type="paragraph" w:customStyle="1" w:styleId="29">
    <w:name w:val="TableFoot"/>
    <w:basedOn w:val="28"/>
    <w:qFormat/>
    <w:uiPriority w:val="0"/>
    <w:pPr>
      <w:spacing w:before="60" w:after="60"/>
    </w:pPr>
  </w:style>
  <w:style w:type="paragraph" w:customStyle="1" w:styleId="30">
    <w:name w:val="SchemeCaption"/>
    <w:basedOn w:val="1"/>
    <w:qFormat/>
    <w:uiPriority w:val="0"/>
    <w:pPr>
      <w:spacing w:before="230" w:after="460" w:line="190" w:lineRule="exact"/>
      <w:jc w:val="both"/>
    </w:pPr>
    <w:rPr>
      <w:rFonts w:ascii="Arial" w:hAnsi="Arial"/>
      <w:sz w:val="16"/>
      <w:szCs w:val="14"/>
      <w:lang w:val="en-GB"/>
    </w:rPr>
  </w:style>
  <w:style w:type="paragraph" w:customStyle="1" w:styleId="31">
    <w:name w:val="STOE"/>
    <w:basedOn w:val="1"/>
    <w:link w:val="32"/>
    <w:qFormat/>
    <w:uiPriority w:val="0"/>
    <w:pPr>
      <w:widowControl w:val="0"/>
      <w:spacing w:line="236" w:lineRule="exact"/>
      <w:ind w:right="4434"/>
      <w:jc w:val="both"/>
    </w:pPr>
    <w:rPr>
      <w:rFonts w:ascii="Times" w:hAnsi="Times"/>
      <w:sz w:val="18"/>
      <w:szCs w:val="3276"/>
      <w:lang w:val="en-GB" w:eastAsia="de-DE"/>
    </w:rPr>
  </w:style>
  <w:style w:type="character" w:customStyle="1" w:styleId="32">
    <w:name w:val="STOE Char1"/>
    <w:link w:val="31"/>
    <w:qFormat/>
    <w:uiPriority w:val="0"/>
    <w:rPr>
      <w:rFonts w:ascii="Times" w:hAnsi="Times"/>
      <w:sz w:val="18"/>
      <w:szCs w:val="3276"/>
      <w:lang w:val="en-GB" w:eastAsia="de-DE" w:bidi="ar-SA"/>
    </w:rPr>
  </w:style>
  <w:style w:type="paragraph" w:customStyle="1" w:styleId="33">
    <w:name w:val="Title1"/>
    <w:basedOn w:val="1"/>
    <w:qFormat/>
    <w:uiPriority w:val="0"/>
    <w:rPr>
      <w:b/>
      <w:lang w:val="en-US"/>
    </w:rPr>
  </w:style>
  <w:style w:type="paragraph" w:customStyle="1" w:styleId="34">
    <w:name w:val="Authors Full"/>
    <w:basedOn w:val="1"/>
    <w:qFormat/>
    <w:uiPriority w:val="0"/>
    <w:rPr>
      <w:i/>
      <w:lang w:val="en-US"/>
    </w:rPr>
  </w:style>
  <w:style w:type="paragraph" w:customStyle="1" w:styleId="35">
    <w:name w:val="dedication"/>
    <w:basedOn w:val="1"/>
    <w:qFormat/>
    <w:uiPriority w:val="0"/>
    <w:rPr>
      <w:i/>
      <w:lang w:val="en-US"/>
    </w:rPr>
  </w:style>
  <w:style w:type="paragraph" w:customStyle="1" w:styleId="36">
    <w:name w:val="Addresses"/>
    <w:basedOn w:val="1"/>
    <w:qFormat/>
    <w:uiPriority w:val="0"/>
    <w:rPr>
      <w:lang w:val="en-US"/>
    </w:rPr>
  </w:style>
  <w:style w:type="paragraph" w:customStyle="1" w:styleId="37">
    <w:name w:val="Acknowledgements"/>
    <w:basedOn w:val="1"/>
    <w:qFormat/>
    <w:uiPriority w:val="0"/>
    <w:rPr>
      <w:lang w:val="en-US"/>
    </w:rPr>
  </w:style>
  <w:style w:type="paragraph" w:customStyle="1" w:styleId="38">
    <w:name w:val="Abstract"/>
    <w:basedOn w:val="1"/>
    <w:autoRedefine/>
    <w:qFormat/>
    <w:uiPriority w:val="0"/>
    <w:pPr>
      <w:spacing w:line="480" w:lineRule="auto"/>
    </w:pPr>
    <w:rPr>
      <w:lang w:val="en-US"/>
    </w:rPr>
  </w:style>
  <w:style w:type="paragraph" w:customStyle="1" w:styleId="39">
    <w:name w:val="Head 1"/>
    <w:basedOn w:val="1"/>
    <w:autoRedefine/>
    <w:qFormat/>
    <w:uiPriority w:val="0"/>
    <w:pPr>
      <w:spacing w:before="120" w:beforeLines="50" w:after="120" w:afterLines="50" w:line="360" w:lineRule="auto"/>
    </w:pPr>
    <w:rPr>
      <w:b/>
      <w:lang w:val="en-US"/>
    </w:rPr>
  </w:style>
  <w:style w:type="paragraph" w:customStyle="1" w:styleId="40">
    <w:name w:val="Head 2"/>
    <w:basedOn w:val="1"/>
    <w:autoRedefine/>
    <w:qFormat/>
    <w:uiPriority w:val="0"/>
    <w:pPr>
      <w:spacing w:line="360" w:lineRule="auto"/>
    </w:pPr>
    <w:rPr>
      <w:i/>
      <w:lang w:val="en-US"/>
    </w:rPr>
  </w:style>
  <w:style w:type="paragraph" w:customStyle="1" w:styleId="41">
    <w:name w:val="dates"/>
    <w:basedOn w:val="1"/>
    <w:qFormat/>
    <w:uiPriority w:val="0"/>
    <w:pPr>
      <w:jc w:val="right"/>
    </w:pPr>
    <w:rPr>
      <w:lang w:val="en-US"/>
    </w:rPr>
  </w:style>
  <w:style w:type="paragraph" w:customStyle="1" w:styleId="42">
    <w:name w:val="Literature"/>
    <w:basedOn w:val="1"/>
    <w:qFormat/>
    <w:uiPriority w:val="0"/>
    <w:pPr>
      <w:spacing w:line="480" w:lineRule="auto"/>
    </w:pPr>
  </w:style>
  <w:style w:type="paragraph" w:customStyle="1" w:styleId="43">
    <w:name w:val="Legend"/>
    <w:basedOn w:val="1"/>
    <w:qFormat/>
    <w:uiPriority w:val="0"/>
    <w:rPr>
      <w:lang w:val="en-US"/>
    </w:rPr>
  </w:style>
  <w:style w:type="paragraph" w:customStyle="1" w:styleId="44">
    <w:name w:val="Main Text"/>
    <w:basedOn w:val="1"/>
    <w:link w:val="48"/>
    <w:qFormat/>
    <w:uiPriority w:val="0"/>
    <w:pPr>
      <w:spacing w:line="480" w:lineRule="auto"/>
    </w:pPr>
    <w:rPr>
      <w:lang w:val="en-US"/>
    </w:rPr>
  </w:style>
  <w:style w:type="paragraph" w:customStyle="1" w:styleId="45">
    <w:name w:val="Table of contents"/>
    <w:basedOn w:val="1"/>
    <w:autoRedefine/>
    <w:qFormat/>
    <w:uiPriority w:val="0"/>
    <w:rPr>
      <w:lang w:val="en-US"/>
    </w:rPr>
  </w:style>
  <w:style w:type="paragraph" w:customStyle="1" w:styleId="46">
    <w:name w:val="Experimental Text"/>
    <w:basedOn w:val="1"/>
    <w:link w:val="47"/>
    <w:qFormat/>
    <w:uiPriority w:val="0"/>
    <w:pPr>
      <w:spacing w:line="480" w:lineRule="auto"/>
    </w:pPr>
    <w:rPr>
      <w:lang w:val="en-US"/>
    </w:rPr>
  </w:style>
  <w:style w:type="character" w:customStyle="1" w:styleId="47">
    <w:name w:val="Experimental Text Char"/>
    <w:link w:val="46"/>
    <w:qFormat/>
    <w:uiPriority w:val="0"/>
    <w:rPr>
      <w:rFonts w:eastAsia="MS Mincho"/>
      <w:sz w:val="24"/>
      <w:szCs w:val="24"/>
      <w:lang w:val="en-US" w:eastAsia="ja-JP" w:bidi="ar-SA"/>
    </w:rPr>
  </w:style>
  <w:style w:type="character" w:customStyle="1" w:styleId="48">
    <w:name w:val="Main Text Char"/>
    <w:link w:val="44"/>
    <w:qFormat/>
    <w:uiPriority w:val="0"/>
    <w:rPr>
      <w:rFonts w:eastAsia="MS Mincho"/>
      <w:sz w:val="24"/>
      <w:szCs w:val="24"/>
      <w:lang w:val="en-US" w:eastAsia="ja-JP" w:bidi="ar-SA"/>
    </w:rPr>
  </w:style>
  <w:style w:type="paragraph" w:customStyle="1" w:styleId="49">
    <w:name w:val="Title2"/>
    <w:basedOn w:val="1"/>
    <w:qFormat/>
    <w:uiPriority w:val="0"/>
    <w:rPr>
      <w:b/>
      <w:lang w:val="en-US"/>
    </w:rPr>
  </w:style>
  <w:style w:type="paragraph" w:customStyle="1" w:styleId="50">
    <w:name w:val="Dedication"/>
    <w:basedOn w:val="1"/>
    <w:autoRedefine/>
    <w:qFormat/>
    <w:uiPriority w:val="0"/>
    <w:rPr>
      <w:lang w:val="en-US"/>
    </w:rPr>
  </w:style>
  <w:style w:type="paragraph" w:customStyle="1" w:styleId="51">
    <w:name w:val="Main text"/>
    <w:basedOn w:val="1"/>
    <w:link w:val="52"/>
    <w:autoRedefine/>
    <w:qFormat/>
    <w:uiPriority w:val="0"/>
    <w:pPr>
      <w:spacing w:line="480" w:lineRule="auto"/>
    </w:pPr>
    <w:rPr>
      <w:lang w:val="en-US"/>
    </w:rPr>
  </w:style>
  <w:style w:type="character" w:customStyle="1" w:styleId="52">
    <w:name w:val="Main text Char"/>
    <w:link w:val="51"/>
    <w:qFormat/>
    <w:uiPriority w:val="0"/>
    <w:rPr>
      <w:sz w:val="24"/>
      <w:szCs w:val="24"/>
      <w:lang w:val="en-US" w:eastAsia="ja-JP"/>
    </w:rPr>
  </w:style>
  <w:style w:type="paragraph" w:customStyle="1" w:styleId="53">
    <w:name w:val="Biography"/>
    <w:basedOn w:val="1"/>
    <w:autoRedefine/>
    <w:qFormat/>
    <w:uiPriority w:val="0"/>
    <w:rPr>
      <w:i/>
      <w:lang w:val="en-US"/>
    </w:rPr>
  </w:style>
  <w:style w:type="character" w:customStyle="1" w:styleId="54">
    <w:name w:val="页眉 字符"/>
    <w:link w:val="8"/>
    <w:qFormat/>
    <w:uiPriority w:val="0"/>
    <w:rPr>
      <w:sz w:val="24"/>
      <w:szCs w:val="24"/>
      <w:lang w:eastAsia="ja-JP"/>
    </w:rPr>
  </w:style>
  <w:style w:type="character" w:customStyle="1" w:styleId="55">
    <w:name w:val="批注文字 字符"/>
    <w:link w:val="5"/>
    <w:qFormat/>
    <w:uiPriority w:val="99"/>
    <w:rPr>
      <w:lang w:eastAsia="ja-JP"/>
    </w:rPr>
  </w:style>
  <w:style w:type="character" w:customStyle="1" w:styleId="56">
    <w:name w:val="批注主题 字符"/>
    <w:link w:val="11"/>
    <w:semiHidden/>
    <w:qFormat/>
    <w:uiPriority w:val="99"/>
    <w:rPr>
      <w:b/>
      <w:bCs/>
      <w:lang w:eastAsia="ja-JP"/>
    </w:rPr>
  </w:style>
  <w:style w:type="character" w:customStyle="1" w:styleId="57">
    <w:name w:val="页脚 字符"/>
    <w:link w:val="7"/>
    <w:qFormat/>
    <w:uiPriority w:val="99"/>
    <w:rPr>
      <w:sz w:val="24"/>
      <w:szCs w:val="24"/>
      <w:lang w:eastAsia="ja-JP"/>
    </w:rPr>
  </w:style>
  <w:style w:type="paragraph" w:styleId="58">
    <w:name w:val="No Spacing"/>
    <w:qFormat/>
    <w:uiPriority w:val="1"/>
    <w:rPr>
      <w:rFonts w:ascii="Times New Roman" w:hAnsi="Times New Roman" w:eastAsia="MS Mincho" w:cs="Times New Roman"/>
      <w:sz w:val="24"/>
      <w:szCs w:val="24"/>
      <w:lang w:val="de-DE" w:eastAsia="ja-JP" w:bidi="ar-SA"/>
    </w:rPr>
  </w:style>
  <w:style w:type="character" w:customStyle="1" w:styleId="59">
    <w:name w:val="标题 1 字符"/>
    <w:basedOn w:val="14"/>
    <w:link w:val="2"/>
    <w:qFormat/>
    <w:uiPriority w:val="9"/>
    <w:rPr>
      <w:b/>
      <w:bCs/>
      <w:kern w:val="44"/>
      <w:sz w:val="44"/>
      <w:szCs w:val="44"/>
      <w:lang w:val="de-DE" w:eastAsia="ja-JP"/>
    </w:rPr>
  </w:style>
  <w:style w:type="character" w:customStyle="1" w:styleId="60">
    <w:name w:val="标题 2 字符"/>
    <w:basedOn w:val="14"/>
    <w:link w:val="3"/>
    <w:semiHidden/>
    <w:qFormat/>
    <w:uiPriority w:val="9"/>
    <w:rPr>
      <w:rFonts w:asciiTheme="majorHAnsi" w:hAnsiTheme="majorHAnsi" w:eastAsiaTheme="majorEastAsia" w:cstheme="majorBidi"/>
      <w:b/>
      <w:bCs/>
      <w:sz w:val="32"/>
      <w:szCs w:val="32"/>
      <w:lang w:val="de-DE" w:eastAsia="ja-JP"/>
    </w:rPr>
  </w:style>
  <w:style w:type="paragraph" w:customStyle="1" w:styleId="61">
    <w:name w:val="EndNote Bibliography Title"/>
    <w:basedOn w:val="1"/>
    <w:link w:val="62"/>
    <w:qFormat/>
    <w:uiPriority w:val="0"/>
    <w:pPr>
      <w:jc w:val="center"/>
    </w:pPr>
  </w:style>
  <w:style w:type="character" w:customStyle="1" w:styleId="62">
    <w:name w:val="EndNote Bibliography Title 字符"/>
    <w:basedOn w:val="14"/>
    <w:link w:val="61"/>
    <w:qFormat/>
    <w:uiPriority w:val="0"/>
    <w:rPr>
      <w:sz w:val="24"/>
      <w:szCs w:val="24"/>
      <w:lang w:val="de-DE" w:eastAsia="ja-JP"/>
    </w:rPr>
  </w:style>
  <w:style w:type="paragraph" w:customStyle="1" w:styleId="63">
    <w:name w:val="EndNote Bibliography"/>
    <w:basedOn w:val="1"/>
    <w:link w:val="64"/>
    <w:qFormat/>
    <w:uiPriority w:val="0"/>
  </w:style>
  <w:style w:type="character" w:customStyle="1" w:styleId="64">
    <w:name w:val="EndNote Bibliography 字符"/>
    <w:basedOn w:val="14"/>
    <w:link w:val="63"/>
    <w:qFormat/>
    <w:uiPriority w:val="0"/>
    <w:rPr>
      <w:sz w:val="24"/>
      <w:szCs w:val="24"/>
      <w:lang w:val="de-DE" w:eastAsia="ja-JP"/>
    </w:rPr>
  </w:style>
  <w:style w:type="character" w:customStyle="1" w:styleId="65">
    <w:name w:val="未处理的提及1"/>
    <w:basedOn w:val="14"/>
    <w:semiHidden/>
    <w:unhideWhenUsed/>
    <w:qFormat/>
    <w:uiPriority w:val="99"/>
    <w:rPr>
      <w:color w:val="605E5C"/>
      <w:shd w:val="clear" w:color="auto" w:fill="E1DFDD"/>
    </w:rPr>
  </w:style>
  <w:style w:type="character" w:customStyle="1" w:styleId="66">
    <w:name w:val="标题 3 字符"/>
    <w:basedOn w:val="14"/>
    <w:link w:val="4"/>
    <w:semiHidden/>
    <w:qFormat/>
    <w:uiPriority w:val="9"/>
    <w:rPr>
      <w:b/>
      <w:bCs/>
      <w:sz w:val="32"/>
      <w:szCs w:val="32"/>
      <w:lang w:val="de-DE" w:eastAsia="ja-JP"/>
    </w:rPr>
  </w:style>
  <w:style w:type="paragraph" w:customStyle="1" w:styleId="67">
    <w:name w:val="修订1"/>
    <w:hidden/>
    <w:unhideWhenUsed/>
    <w:qFormat/>
    <w:uiPriority w:val="99"/>
    <w:rPr>
      <w:rFonts w:ascii="Times New Roman" w:hAnsi="Times New Roman" w:eastAsia="MS Mincho" w:cs="Times New Roman"/>
      <w:sz w:val="24"/>
      <w:szCs w:val="24"/>
      <w:lang w:val="de-DE" w:eastAsia="ja-JP" w:bidi="ar-SA"/>
    </w:rPr>
  </w:style>
  <w:style w:type="paragraph" w:customStyle="1" w:styleId="68">
    <w:name w:val="修订2"/>
    <w:hidden/>
    <w:unhideWhenUsed/>
    <w:qFormat/>
    <w:uiPriority w:val="99"/>
    <w:rPr>
      <w:rFonts w:ascii="Times New Roman" w:hAnsi="Times New Roman" w:eastAsia="MS Mincho" w:cs="Times New Roman"/>
      <w:sz w:val="24"/>
      <w:szCs w:val="24"/>
      <w:lang w:val="de-DE" w:eastAsia="ja-JP"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5.xml"/><Relationship Id="rId22" Type="http://schemas.openxmlformats.org/officeDocument/2006/relationships/customXml" Target="../customXml/item4.xml"/><Relationship Id="rId21" Type="http://schemas.openxmlformats.org/officeDocument/2006/relationships/customXml" Target="../customXml/item3.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40411C1E-4010-4A33-A574-0910C4111B58}">
  <ds:schemaRefs/>
</ds:datastoreItem>
</file>

<file path=customXml/itemProps2.xml><?xml version="1.0" encoding="utf-8"?>
<ds:datastoreItem xmlns:ds="http://schemas.openxmlformats.org/officeDocument/2006/customXml" ds:itemID="{96D19C85-73BE-4F5D-979F-58BFDE5BBE12}">
  <ds:schemaRefs/>
</ds:datastoreItem>
</file>

<file path=customXml/itemProps3.xml><?xml version="1.0" encoding="utf-8"?>
<ds:datastoreItem xmlns:ds="http://schemas.openxmlformats.org/officeDocument/2006/customXml" ds:itemID="{C86C925C-E763-4769-9959-2FEDA6D7CE8A}">
  <ds:schemaRefs/>
</ds:datastoreItem>
</file>

<file path=customXml/itemProps4.xml><?xml version="1.0" encoding="utf-8"?>
<ds:datastoreItem xmlns:ds="http://schemas.openxmlformats.org/officeDocument/2006/customXml" ds:itemID="{75886F76-A765-4714-B899-7AC2DC4334A1}">
  <ds:schemaRefs/>
</ds:datastoreItem>
</file>

<file path=customXml/itemProps5.xml><?xml version="1.0" encoding="utf-8"?>
<ds:datastoreItem xmlns:ds="http://schemas.openxmlformats.org/officeDocument/2006/customXml" ds:itemID="{E3F19EBF-8207-4BE7-AD18-240ED1895C11}">
  <ds:schemaRefs/>
</ds:datastoreItem>
</file>

<file path=docProps/app.xml><?xml version="1.0" encoding="utf-8"?>
<Properties xmlns="http://schemas.openxmlformats.org/officeDocument/2006/extended-properties" xmlns:vt="http://schemas.openxmlformats.org/officeDocument/2006/docPropsVTypes">
  <Template>Normal</Template>
  <Pages>11</Pages>
  <Words>2333</Words>
  <Characters>13940</Characters>
  <Lines>293</Lines>
  <Paragraphs>105</Paragraphs>
  <TotalTime>10</TotalTime>
  <ScaleCrop>false</ScaleCrop>
  <LinksUpToDate>false</LinksUpToDate>
  <CharactersWithSpaces>16287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2026-02-11T06:18:00Z</dcterms:created>
  <dc:creator>yc q</dc:creator>
  <cp:lastModifiedBy>空白格</cp:lastModifiedBy>
  <dcterms:modified xsi:type="dcterms:W3CDTF">2026-02-12T04:49:55Z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y fmtid="{D5CDD505-2E9C-101B-9397-08002B2CF9AE}" pid="3" name="KSOTemplateDocerSaveRecord">
    <vt:lpwstr>eyJoZGlkIjoiY2UyYjNlYTM0OTFmZjNlMTA3NGFhNzRlOWZkNTc5MTAiLCJ1c2VySWQiOiIyNjQ4ODUxOTgifQ==</vt:lpwstr>
  </property>
  <property fmtid="{D5CDD505-2E9C-101B-9397-08002B2CF9AE}" pid="4" name="KSOProductBuildVer">
    <vt:lpwstr>2052-12.1.0.25225</vt:lpwstr>
  </property>
  <property fmtid="{D5CDD505-2E9C-101B-9397-08002B2CF9AE}" pid="5" name="ICV">
    <vt:lpwstr>8CA37A38996F4DFF9E86E598D30019DF_13</vt:lpwstr>
  </property>
</Properties>
</file>