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40CF2" w14:textId="77777777" w:rsidR="000F7240" w:rsidRPr="00F03978" w:rsidRDefault="000F7240" w:rsidP="000F7240">
      <w:pPr>
        <w:pStyle w:val="Title2"/>
        <w:spacing w:line="480" w:lineRule="auto"/>
        <w:rPr>
          <w:rFonts w:eastAsiaTheme="minorEastAsia"/>
          <w:bCs/>
          <w:lang w:eastAsia="zh-CN"/>
        </w:rPr>
      </w:pPr>
      <w:r w:rsidRPr="00F03978">
        <w:rPr>
          <w:bCs/>
        </w:rPr>
        <w:t>Supplementary</w:t>
      </w:r>
    </w:p>
    <w:p w14:paraId="0452BDA4" w14:textId="22E40080" w:rsidR="00BF1E16" w:rsidRPr="00F03978" w:rsidRDefault="00BF1E16" w:rsidP="00C472F6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bookmarkStart w:id="0" w:name="_Hlk167903181"/>
      <w:r w:rsidRPr="00F03978">
        <w:rPr>
          <w:rFonts w:ascii="Times New Roman" w:hAnsi="Times New Roman" w:cs="Times New Roman"/>
          <w:b/>
          <w:bCs/>
          <w:sz w:val="24"/>
          <w:szCs w:val="28"/>
        </w:rPr>
        <w:t>Core Shell Microneedles with MMP/pH-Triggered Release for Periodontitis Bone Repair</w:t>
      </w:r>
    </w:p>
    <w:p w14:paraId="18EC1D60" w14:textId="77777777" w:rsidR="002C17DF" w:rsidRDefault="002C17DF" w:rsidP="002C17DF">
      <w:pPr>
        <w:autoSpaceDE w:val="0"/>
        <w:autoSpaceDN w:val="0"/>
        <w:adjustRightInd w:val="0"/>
        <w:spacing w:line="360" w:lineRule="auto"/>
        <w:rPr>
          <w:rFonts w:ascii="Times New Roman" w:eastAsia="ScalaPro-Regular" w:hAnsi="Times New Roman" w:cs="Times New Roman"/>
          <w:kern w:val="0"/>
          <w:sz w:val="24"/>
        </w:rPr>
      </w:pPr>
      <w:r w:rsidRPr="00DA021C">
        <w:rPr>
          <w:rFonts w:ascii="Times New Roman" w:eastAsia="ScalaPro-Regular" w:hAnsi="Times New Roman" w:cs="Times New Roman"/>
          <w:kern w:val="0"/>
          <w:sz w:val="24"/>
        </w:rPr>
        <w:t>Junhui Liu</w:t>
      </w:r>
      <w:r w:rsidRPr="00DA021C">
        <w:rPr>
          <w:rFonts w:ascii="Times New Roman" w:eastAsia="ScalaPro-Regular" w:hAnsi="Times New Roman" w:cs="Times New Roman"/>
          <w:kern w:val="0"/>
          <w:sz w:val="24"/>
          <w:vertAlign w:val="superscript"/>
        </w:rPr>
        <w:t>1, 2#</w:t>
      </w:r>
      <w:r w:rsidRPr="00DA021C">
        <w:rPr>
          <w:rFonts w:ascii="Times New Roman" w:eastAsia="ScalaPro-Regular" w:hAnsi="Times New Roman" w:cs="Times New Roman"/>
          <w:kern w:val="0"/>
          <w:sz w:val="24"/>
        </w:rPr>
        <w:t>, Zhengrong Gao</w:t>
      </w:r>
      <w:r w:rsidRPr="00DA021C">
        <w:rPr>
          <w:rFonts w:ascii="Times New Roman" w:eastAsia="ScalaPro-Regular" w:hAnsi="Times New Roman" w:cs="Times New Roman"/>
          <w:kern w:val="0"/>
          <w:sz w:val="24"/>
          <w:vertAlign w:val="superscript"/>
        </w:rPr>
        <w:t>3#</w:t>
      </w:r>
      <w:r w:rsidRPr="00DA021C">
        <w:rPr>
          <w:rFonts w:ascii="Times New Roman" w:eastAsia="ScalaPro-Regular" w:hAnsi="Times New Roman" w:cs="Times New Roman"/>
          <w:kern w:val="0"/>
          <w:sz w:val="24"/>
        </w:rPr>
        <w:t>, Minghai Dai</w:t>
      </w:r>
      <w:r w:rsidRPr="00DA021C">
        <w:rPr>
          <w:rFonts w:ascii="Times New Roman" w:eastAsia="ScalaPro-Regular" w:hAnsi="Times New Roman" w:cs="Times New Roman"/>
          <w:kern w:val="0"/>
          <w:sz w:val="24"/>
          <w:vertAlign w:val="superscript"/>
        </w:rPr>
        <w:t>4</w:t>
      </w:r>
      <w:r w:rsidRPr="00DA021C">
        <w:rPr>
          <w:rFonts w:ascii="Times New Roman" w:eastAsia="ScalaPro-Regular" w:hAnsi="Times New Roman" w:cs="Times New Roman"/>
          <w:kern w:val="0"/>
          <w:sz w:val="24"/>
        </w:rPr>
        <w:t xml:space="preserve">, </w:t>
      </w:r>
      <w:bookmarkStart w:id="1" w:name="_Hlk167902128"/>
      <w:r w:rsidRPr="00DA021C">
        <w:rPr>
          <w:rFonts w:ascii="Times New Roman" w:eastAsia="ScalaPro-Regular" w:hAnsi="Times New Roman" w:cs="Times New Roman"/>
          <w:kern w:val="0"/>
          <w:sz w:val="24"/>
        </w:rPr>
        <w:t>Hui Chen</w:t>
      </w:r>
      <w:r w:rsidRPr="00DA021C">
        <w:rPr>
          <w:rFonts w:ascii="Times New Roman" w:eastAsia="ScalaPro-Regular" w:hAnsi="Times New Roman" w:cs="Times New Roman"/>
          <w:kern w:val="0"/>
          <w:sz w:val="24"/>
          <w:vertAlign w:val="superscript"/>
        </w:rPr>
        <w:t>1</w:t>
      </w:r>
      <w:r w:rsidRPr="00DA021C">
        <w:rPr>
          <w:rFonts w:ascii="Times New Roman" w:eastAsia="ScalaPro-Regular" w:hAnsi="Times New Roman" w:cs="Times New Roman"/>
          <w:kern w:val="0"/>
          <w:sz w:val="24"/>
        </w:rPr>
        <w:t xml:space="preserve">, </w:t>
      </w:r>
      <w:bookmarkEnd w:id="1"/>
      <w:r w:rsidRPr="00DA021C">
        <w:rPr>
          <w:rFonts w:ascii="Times New Roman" w:eastAsia="ScalaPro-Regular" w:hAnsi="Times New Roman" w:cs="Times New Roman"/>
          <w:kern w:val="0"/>
          <w:sz w:val="24"/>
        </w:rPr>
        <w:t>Xiaoyan Xie</w:t>
      </w:r>
      <w:bookmarkStart w:id="2" w:name="_Hlk150367029"/>
      <w:r w:rsidRPr="00DA021C">
        <w:rPr>
          <w:rFonts w:ascii="Times New Roman" w:eastAsia="ScalaPro-Regular" w:hAnsi="Times New Roman" w:cs="Times New Roman"/>
          <w:kern w:val="0"/>
          <w:sz w:val="24"/>
          <w:vertAlign w:val="superscript"/>
        </w:rPr>
        <w:t>2</w:t>
      </w:r>
      <w:r w:rsidRPr="00DA021C">
        <w:rPr>
          <w:rFonts w:ascii="Times New Roman" w:eastAsia="ScalaPro-Regular" w:hAnsi="Times New Roman" w:cs="Times New Roman"/>
          <w:kern w:val="0"/>
          <w:sz w:val="24"/>
        </w:rPr>
        <w:t>*</w:t>
      </w:r>
      <w:bookmarkEnd w:id="2"/>
      <w:r w:rsidRPr="00DA021C">
        <w:rPr>
          <w:rFonts w:ascii="Times New Roman" w:eastAsia="ScalaPro-Regular" w:hAnsi="Times New Roman" w:cs="Times New Roman"/>
          <w:kern w:val="0"/>
          <w:sz w:val="24"/>
        </w:rPr>
        <w:t>, Lei Yang</w:t>
      </w:r>
      <w:r w:rsidRPr="00DA021C">
        <w:rPr>
          <w:rFonts w:ascii="Times New Roman" w:eastAsia="ScalaPro-Regular" w:hAnsi="Times New Roman" w:cs="Times New Roman"/>
          <w:kern w:val="0"/>
          <w:sz w:val="24"/>
          <w:vertAlign w:val="superscript"/>
        </w:rPr>
        <w:t>1</w:t>
      </w:r>
      <w:r w:rsidRPr="00DA021C">
        <w:rPr>
          <w:rFonts w:ascii="Times New Roman" w:eastAsia="ScalaPro-Regular" w:hAnsi="Times New Roman" w:cs="Times New Roman"/>
          <w:kern w:val="0"/>
          <w:sz w:val="24"/>
        </w:rPr>
        <w:t>*</w:t>
      </w:r>
    </w:p>
    <w:p w14:paraId="352FA8F1" w14:textId="77777777" w:rsidR="002C17DF" w:rsidRPr="00DA021C" w:rsidRDefault="002C17DF" w:rsidP="002C17DF">
      <w:pPr>
        <w:autoSpaceDE w:val="0"/>
        <w:autoSpaceDN w:val="0"/>
        <w:adjustRightInd w:val="0"/>
        <w:spacing w:line="360" w:lineRule="auto"/>
        <w:rPr>
          <w:rFonts w:ascii="Times New Roman" w:eastAsia="ScalaPro-Regular" w:hAnsi="Times New Roman" w:cs="Times New Roman"/>
          <w:kern w:val="0"/>
          <w:sz w:val="24"/>
        </w:rPr>
      </w:pPr>
    </w:p>
    <w:p w14:paraId="007100D1" w14:textId="3466F755" w:rsidR="002C17DF" w:rsidRPr="00DA021C" w:rsidRDefault="002C17DF" w:rsidP="002C17DF">
      <w:pPr>
        <w:spacing w:line="360" w:lineRule="auto"/>
        <w:rPr>
          <w:rStyle w:val="fontstyle01"/>
          <w:rFonts w:ascii="Times New Roman" w:hAnsi="Times New Roman" w:cs="Times New Roman"/>
          <w:sz w:val="24"/>
        </w:rPr>
      </w:pPr>
      <w:r w:rsidRPr="00DA021C">
        <w:rPr>
          <w:rFonts w:ascii="Times New Roman" w:eastAsia="ScalaPro-Regular" w:hAnsi="Times New Roman" w:cs="Times New Roman"/>
          <w:kern w:val="0"/>
          <w:sz w:val="24"/>
          <w:vertAlign w:val="superscript"/>
        </w:rPr>
        <w:t xml:space="preserve">1 </w:t>
      </w:r>
      <w:r w:rsidR="00BE5928" w:rsidRPr="00BE5928">
        <w:rPr>
          <w:rStyle w:val="fontstyle01"/>
          <w:rFonts w:ascii="Times New Roman" w:hAnsi="Times New Roman" w:cs="Times New Roman" w:hint="eastAsia"/>
          <w:sz w:val="24"/>
        </w:rPr>
        <w:t>Zhejiang Provincial Key Laboratory of Silk and Silk Protein New Materials, Institute of Sericulture and Tea, Zhejiang Academy of Agricultural Sciences, Hangzhou 310021, China</w:t>
      </w:r>
    </w:p>
    <w:p w14:paraId="0A390E8C" w14:textId="77777777" w:rsidR="002C17DF" w:rsidRPr="00DA021C" w:rsidRDefault="002C17DF" w:rsidP="002C17DF">
      <w:pPr>
        <w:spacing w:line="360" w:lineRule="auto"/>
        <w:rPr>
          <w:rFonts w:ascii="Times New Roman" w:eastAsia="ScalaPro-Regular" w:hAnsi="Times New Roman" w:cs="Times New Roman"/>
          <w:kern w:val="0"/>
          <w:sz w:val="24"/>
        </w:rPr>
      </w:pPr>
      <w:r w:rsidRPr="00DA021C">
        <w:rPr>
          <w:rFonts w:ascii="Times New Roman" w:eastAsia="ScalaPro-Regular" w:hAnsi="Times New Roman" w:cs="Times New Roman"/>
          <w:kern w:val="0"/>
          <w:sz w:val="24"/>
          <w:vertAlign w:val="superscript"/>
        </w:rPr>
        <w:t xml:space="preserve">2 </w:t>
      </w:r>
      <w:r w:rsidRPr="00DA021C">
        <w:rPr>
          <w:rFonts w:ascii="Times New Roman" w:eastAsia="ScalaPro-Regular" w:hAnsi="Times New Roman" w:cs="Times New Roman"/>
          <w:kern w:val="0"/>
          <w:sz w:val="24"/>
        </w:rPr>
        <w:t>Department of Stomatology, The Second Xiangya Hospital, Central South University, Changsha, 410011, China</w:t>
      </w:r>
    </w:p>
    <w:p w14:paraId="49EFC250" w14:textId="77777777" w:rsidR="002C17DF" w:rsidRPr="00DA021C" w:rsidRDefault="002C17DF" w:rsidP="002C17DF">
      <w:pPr>
        <w:spacing w:line="360" w:lineRule="auto"/>
        <w:rPr>
          <w:rFonts w:ascii="Times New Roman" w:eastAsia="ScalaPro-Regular" w:hAnsi="Times New Roman" w:cs="Times New Roman"/>
          <w:kern w:val="0"/>
          <w:sz w:val="24"/>
        </w:rPr>
      </w:pPr>
      <w:r w:rsidRPr="00DA021C">
        <w:rPr>
          <w:rFonts w:ascii="Times New Roman" w:eastAsia="ScalaPro-Regular" w:hAnsi="Times New Roman" w:cs="Times New Roman"/>
          <w:kern w:val="0"/>
          <w:sz w:val="24"/>
          <w:vertAlign w:val="superscript"/>
        </w:rPr>
        <w:t>3</w:t>
      </w:r>
      <w:r w:rsidRPr="00DA021C">
        <w:rPr>
          <w:rFonts w:ascii="Times New Roman" w:hAnsi="Times New Roman" w:cs="Times New Roman"/>
          <w:sz w:val="24"/>
        </w:rPr>
        <w:t xml:space="preserve"> </w:t>
      </w:r>
      <w:r w:rsidRPr="00DA021C">
        <w:rPr>
          <w:rFonts w:ascii="Times New Roman" w:eastAsia="ScalaPro-Regular" w:hAnsi="Times New Roman" w:cs="Times New Roman"/>
          <w:kern w:val="0"/>
          <w:sz w:val="24"/>
        </w:rPr>
        <w:t>NMPA Key Laboratory for Dental Materials National Engineering, Laboratory for Digital and Material Technology of Stomatology, Department of Geriatric Dentistry, Peking University School and Hospital of Stomatology, Beijing, 100081, China.</w:t>
      </w:r>
    </w:p>
    <w:p w14:paraId="0DFE57E9" w14:textId="77777777" w:rsidR="002C17DF" w:rsidRPr="00DA021C" w:rsidRDefault="002C17DF" w:rsidP="002C17DF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DA021C">
        <w:rPr>
          <w:rFonts w:ascii="Times New Roman" w:eastAsia="ScalaPro-Regular" w:hAnsi="Times New Roman" w:cs="Times New Roman"/>
          <w:kern w:val="0"/>
          <w:sz w:val="24"/>
          <w:vertAlign w:val="superscript"/>
        </w:rPr>
        <w:t xml:space="preserve">4 </w:t>
      </w:r>
      <w:r w:rsidRPr="00DA021C">
        <w:rPr>
          <w:rFonts w:ascii="Times New Roman" w:eastAsia="ScalaPro-Regular" w:hAnsi="Times New Roman" w:cs="Times New Roman"/>
          <w:kern w:val="0"/>
          <w:sz w:val="24"/>
        </w:rPr>
        <w:t xml:space="preserve">Department of Orthopedic, </w:t>
      </w:r>
      <w:r w:rsidRPr="00DA021C">
        <w:rPr>
          <w:rFonts w:ascii="Times New Roman" w:hAnsi="Times New Roman" w:cs="Times New Roman"/>
          <w:color w:val="000000" w:themeColor="text1"/>
          <w:sz w:val="24"/>
        </w:rPr>
        <w:t>The Third Affiliated Hospital of Wenzhou Medical University, Wenzhou, 325200, China</w:t>
      </w:r>
    </w:p>
    <w:p w14:paraId="717F4388" w14:textId="77777777" w:rsidR="002C17DF" w:rsidRPr="00DA021C" w:rsidRDefault="002C17DF" w:rsidP="002C17DF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3A4EB9F5" w14:textId="77777777" w:rsidR="002C17DF" w:rsidRPr="00DA021C" w:rsidRDefault="002C17DF" w:rsidP="002C17DF">
      <w:pPr>
        <w:spacing w:line="360" w:lineRule="auto"/>
        <w:rPr>
          <w:rFonts w:ascii="Times New Roman" w:eastAsia="ScalaPro-Regular" w:hAnsi="Times New Roman" w:cs="Times New Roman"/>
          <w:kern w:val="0"/>
          <w:sz w:val="24"/>
        </w:rPr>
      </w:pPr>
      <w:r w:rsidRPr="00DA021C">
        <w:rPr>
          <w:rFonts w:ascii="Times New Roman" w:eastAsia="ScalaPro-Regular" w:hAnsi="Times New Roman" w:cs="Times New Roman"/>
          <w:kern w:val="0"/>
          <w:sz w:val="24"/>
          <w:vertAlign w:val="superscript"/>
        </w:rPr>
        <w:t>#</w:t>
      </w:r>
      <w:r w:rsidRPr="00DA021C">
        <w:rPr>
          <w:rFonts w:ascii="Times New Roman" w:eastAsia="ScalaPro-Regular" w:hAnsi="Times New Roman" w:cs="Times New Roman"/>
          <w:kern w:val="0"/>
          <w:sz w:val="24"/>
        </w:rPr>
        <w:t>Junhui Liu and Zhengrong Gao contributed equally to this work.</w:t>
      </w:r>
    </w:p>
    <w:p w14:paraId="7940C816" w14:textId="77777777" w:rsidR="002C17DF" w:rsidRPr="00DA021C" w:rsidRDefault="002C17DF" w:rsidP="002C17DF">
      <w:pPr>
        <w:spacing w:line="360" w:lineRule="auto"/>
        <w:rPr>
          <w:rFonts w:ascii="Times New Roman" w:eastAsia="ScalaPro-Regular" w:hAnsi="Times New Roman" w:cs="Times New Roman"/>
          <w:kern w:val="0"/>
          <w:sz w:val="24"/>
        </w:rPr>
      </w:pPr>
    </w:p>
    <w:p w14:paraId="4548FD43" w14:textId="77777777" w:rsidR="002C17DF" w:rsidRPr="00DA021C" w:rsidRDefault="002C17DF" w:rsidP="002C17DF">
      <w:pPr>
        <w:spacing w:line="360" w:lineRule="auto"/>
        <w:rPr>
          <w:rFonts w:ascii="Times New Roman" w:eastAsia="ScalaPro-Regular" w:hAnsi="Times New Roman" w:cs="Times New Roman"/>
          <w:b/>
          <w:bCs/>
          <w:kern w:val="0"/>
          <w:sz w:val="24"/>
        </w:rPr>
      </w:pPr>
      <w:r w:rsidRPr="00DA021C">
        <w:rPr>
          <w:rFonts w:ascii="Times New Roman" w:eastAsia="ScalaPro-Regular" w:hAnsi="Times New Roman" w:cs="Times New Roman"/>
          <w:b/>
          <w:bCs/>
          <w:kern w:val="0"/>
          <w:sz w:val="24"/>
        </w:rPr>
        <w:t>*Corresponding authors</w:t>
      </w:r>
    </w:p>
    <w:p w14:paraId="1C28C431" w14:textId="77777777" w:rsidR="002C17DF" w:rsidRPr="00DA021C" w:rsidRDefault="002C17DF" w:rsidP="002C17DF">
      <w:pPr>
        <w:spacing w:line="360" w:lineRule="auto"/>
        <w:rPr>
          <w:rFonts w:ascii="Times New Roman" w:eastAsia="ScalaPro-Regular" w:hAnsi="Times New Roman" w:cs="Times New Roman"/>
          <w:kern w:val="0"/>
          <w:sz w:val="24"/>
        </w:rPr>
      </w:pPr>
      <w:r w:rsidRPr="00DA021C">
        <w:rPr>
          <w:rFonts w:ascii="Times New Roman" w:eastAsia="ScalaPro-Regular" w:hAnsi="Times New Roman" w:cs="Times New Roman"/>
          <w:kern w:val="0"/>
          <w:sz w:val="24"/>
        </w:rPr>
        <w:t>E-mail addresses: xyxie@csu.edu.cn (X. Xie), yangleigeili@163.com (L. Yang).</w:t>
      </w:r>
    </w:p>
    <w:p w14:paraId="1FF3E713" w14:textId="5BA8F91C" w:rsidR="002F267E" w:rsidRPr="002C17DF" w:rsidRDefault="002C17DF" w:rsidP="002C17DF">
      <w:pPr>
        <w:widowControl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bookmarkEnd w:id="0"/>
    <w:p w14:paraId="163A7C9F" w14:textId="5A217C80" w:rsidR="000F7240" w:rsidRDefault="00AE45B3" w:rsidP="00BF1E16">
      <w:pPr>
        <w:jc w:val="center"/>
        <w:rPr>
          <w:rFonts w:hint="eastAsia"/>
        </w:rPr>
      </w:pPr>
      <w:r w:rsidRPr="00AE45B3">
        <w:rPr>
          <w:noProof/>
        </w:rPr>
        <w:lastRenderedPageBreak/>
        <w:drawing>
          <wp:inline distT="0" distB="0" distL="0" distR="0" wp14:anchorId="51B21C95" wp14:editId="34E2A5BF">
            <wp:extent cx="4300727" cy="4773600"/>
            <wp:effectExtent l="0" t="0" r="508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0727" cy="47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567E2" w14:textId="6C9B716C" w:rsidR="000F7240" w:rsidRDefault="000F7240" w:rsidP="0023292A">
      <w:pPr>
        <w:spacing w:line="360" w:lineRule="auto"/>
        <w:rPr>
          <w:rFonts w:ascii="Times New Roman" w:hAnsi="Times New Roman" w:cs="Times New Roman"/>
          <w:sz w:val="24"/>
        </w:rPr>
      </w:pPr>
      <w:r w:rsidRPr="0023292A">
        <w:rPr>
          <w:rFonts w:ascii="Times New Roman" w:hAnsi="Times New Roman" w:cs="Times New Roman"/>
          <w:b/>
          <w:bCs/>
          <w:sz w:val="24"/>
        </w:rPr>
        <w:t xml:space="preserve">Figure S1. </w:t>
      </w:r>
      <w:r w:rsidR="00AE45B3" w:rsidRPr="00AE45B3">
        <w:rPr>
          <w:rFonts w:ascii="Times New Roman" w:hAnsi="Times New Roman" w:cs="Times New Roman"/>
          <w:b/>
          <w:bCs/>
          <w:sz w:val="24"/>
        </w:rPr>
        <w:t>Characterization of physical and chemical properties of GA-MOF.</w:t>
      </w:r>
      <w:r w:rsidRPr="0023292A">
        <w:rPr>
          <w:rFonts w:ascii="Times New Roman" w:hAnsi="Times New Roman" w:cs="Times New Roman"/>
          <w:sz w:val="24"/>
        </w:rPr>
        <w:t xml:space="preserve"> (a) SEM image of GA-MOF nanoparticles. Scale: 200nm. (b) Synthesis image of element distribution of GA-MOF nanoparticles. (c) Energy spectrum point scan (EDS point scan) results of GA-MOF nanoparticles. </w:t>
      </w:r>
    </w:p>
    <w:p w14:paraId="6D395FA2" w14:textId="40375382" w:rsidR="00845432" w:rsidRDefault="00845432" w:rsidP="0023292A">
      <w:pPr>
        <w:spacing w:line="360" w:lineRule="auto"/>
        <w:rPr>
          <w:rFonts w:ascii="Times New Roman" w:hAnsi="Times New Roman" w:cs="Times New Roman"/>
          <w:sz w:val="24"/>
        </w:rPr>
      </w:pPr>
    </w:p>
    <w:p w14:paraId="258B6AFC" w14:textId="328057AD" w:rsidR="00845432" w:rsidRDefault="00845432" w:rsidP="00845432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845432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33AE2C24" wp14:editId="5DF53331">
            <wp:extent cx="4467152" cy="3589619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152" cy="3589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13175" w14:textId="6A82E762" w:rsidR="00845432" w:rsidRDefault="00845432" w:rsidP="00845432">
      <w:pPr>
        <w:spacing w:line="360" w:lineRule="auto"/>
        <w:rPr>
          <w:rFonts w:ascii="Times New Roman" w:hAnsi="Times New Roman" w:cs="Times New Roman"/>
          <w:sz w:val="24"/>
        </w:rPr>
      </w:pPr>
      <w:r w:rsidRPr="0023292A">
        <w:rPr>
          <w:rFonts w:ascii="Times New Roman" w:hAnsi="Times New Roman" w:cs="Times New Roman"/>
          <w:b/>
          <w:bCs/>
          <w:sz w:val="24"/>
        </w:rPr>
        <w:t>Figure S</w:t>
      </w:r>
      <w:r>
        <w:rPr>
          <w:rFonts w:ascii="Times New Roman" w:hAnsi="Times New Roman" w:cs="Times New Roman"/>
          <w:b/>
          <w:bCs/>
          <w:sz w:val="24"/>
        </w:rPr>
        <w:t>2</w:t>
      </w:r>
      <w:r w:rsidRPr="0023292A">
        <w:rPr>
          <w:rFonts w:ascii="Times New Roman" w:hAnsi="Times New Roman" w:cs="Times New Roman"/>
          <w:b/>
          <w:bCs/>
          <w:sz w:val="24"/>
        </w:rPr>
        <w:t xml:space="preserve">. </w:t>
      </w:r>
      <w:r w:rsidRPr="00845432">
        <w:rPr>
          <w:rFonts w:ascii="Times New Roman" w:hAnsi="Times New Roman" w:cs="Times New Roman"/>
          <w:b/>
          <w:bCs/>
          <w:sz w:val="24"/>
        </w:rPr>
        <w:t xml:space="preserve">Drug release and biocompatibility testing of </w:t>
      </w:r>
      <w:r w:rsidR="00CA7B60">
        <w:rPr>
          <w:rFonts w:ascii="Times New Roman" w:hAnsi="Times New Roman" w:cs="Times New Roman"/>
          <w:b/>
          <w:bCs/>
          <w:sz w:val="24"/>
        </w:rPr>
        <w:t>GA-MOF</w:t>
      </w:r>
      <w:r w:rsidRPr="00AE45B3">
        <w:rPr>
          <w:rFonts w:ascii="Times New Roman" w:hAnsi="Times New Roman" w:cs="Times New Roman"/>
          <w:b/>
          <w:bCs/>
          <w:sz w:val="24"/>
        </w:rPr>
        <w:t>.</w:t>
      </w:r>
      <w:r w:rsidRPr="0023292A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>a</w:t>
      </w:r>
      <w:r w:rsidRPr="0023292A">
        <w:rPr>
          <w:rFonts w:ascii="Times New Roman" w:hAnsi="Times New Roman" w:cs="Times New Roman"/>
          <w:sz w:val="24"/>
        </w:rPr>
        <w:t>) GA-MOF drug release curves under different pH environments. (</w:t>
      </w:r>
      <w:r>
        <w:rPr>
          <w:rFonts w:ascii="Times New Roman" w:hAnsi="Times New Roman" w:cs="Times New Roman"/>
          <w:sz w:val="24"/>
        </w:rPr>
        <w:t>b</w:t>
      </w:r>
      <w:r w:rsidRPr="0023292A">
        <w:rPr>
          <w:rFonts w:ascii="Times New Roman" w:hAnsi="Times New Roman" w:cs="Times New Roman"/>
          <w:sz w:val="24"/>
        </w:rPr>
        <w:t>) CCK-8 biocompatibility testing of GA-MOF.</w:t>
      </w:r>
      <w:r w:rsidR="00B933F9">
        <w:rPr>
          <w:rFonts w:ascii="Times New Roman" w:hAnsi="Times New Roman" w:cs="Times New Roman"/>
          <w:sz w:val="24"/>
        </w:rPr>
        <w:t xml:space="preserve"> (c)</w:t>
      </w:r>
      <w:r w:rsidR="00B933F9" w:rsidRPr="00B933F9">
        <w:t xml:space="preserve"> </w:t>
      </w:r>
      <w:r w:rsidR="00B933F9" w:rsidRPr="00B933F9">
        <w:rPr>
          <w:rFonts w:ascii="Times New Roman" w:hAnsi="Times New Roman" w:cs="Times New Roman"/>
          <w:sz w:val="24"/>
        </w:rPr>
        <w:t>The release kinetics curve of iron ions under simulated acidic microenvironment (pH 6.5) and physiological neutral conditions (pH 7.4).</w:t>
      </w:r>
      <w:r w:rsidR="00291044">
        <w:rPr>
          <w:rFonts w:ascii="Times New Roman" w:hAnsi="Times New Roman" w:cs="Times New Roman"/>
          <w:sz w:val="24"/>
        </w:rPr>
        <w:t xml:space="preserve"> (d)</w:t>
      </w:r>
      <w:r w:rsidR="00291044" w:rsidRPr="00291044">
        <w:t xml:space="preserve"> </w:t>
      </w:r>
      <w:r w:rsidR="00291044" w:rsidRPr="00291044">
        <w:rPr>
          <w:rFonts w:ascii="Times New Roman" w:hAnsi="Times New Roman" w:cs="Times New Roman"/>
          <w:sz w:val="24"/>
        </w:rPr>
        <w:t>The inhibitory effect of different concentrations of GA-MOF on the release of pro-inflammatory macrophage cytokine TNF</w:t>
      </w:r>
      <w:r w:rsidR="00C122AF">
        <w:rPr>
          <w:rFonts w:ascii="Times New Roman" w:hAnsi="Times New Roman" w:cs="Times New Roman"/>
          <w:sz w:val="24"/>
        </w:rPr>
        <w:t>-</w:t>
      </w:r>
      <w:r w:rsidR="00C122AF" w:rsidRPr="00F450CC">
        <w:rPr>
          <w:rFonts w:ascii="Times New Roman" w:hAnsi="Times New Roman" w:cs="Times New Roman"/>
          <w:sz w:val="24"/>
        </w:rPr>
        <w:t>α</w:t>
      </w:r>
      <w:r w:rsidR="00C122AF">
        <w:rPr>
          <w:rFonts w:ascii="Times New Roman" w:hAnsi="Times New Roman" w:cs="Times New Roman"/>
          <w:sz w:val="24"/>
        </w:rPr>
        <w:t>.</w:t>
      </w:r>
    </w:p>
    <w:p w14:paraId="15BD7AB4" w14:textId="77777777" w:rsidR="00DA40D7" w:rsidRPr="0023292A" w:rsidRDefault="00DA40D7" w:rsidP="0023292A">
      <w:pPr>
        <w:spacing w:line="360" w:lineRule="auto"/>
        <w:rPr>
          <w:rFonts w:ascii="Times New Roman" w:hAnsi="Times New Roman" w:cs="Times New Roman"/>
          <w:sz w:val="24"/>
        </w:rPr>
      </w:pPr>
    </w:p>
    <w:p w14:paraId="6C92904D" w14:textId="70744F04" w:rsidR="000F7240" w:rsidRPr="0023292A" w:rsidRDefault="00BF1E16" w:rsidP="00BF1E16">
      <w:pPr>
        <w:spacing w:line="360" w:lineRule="auto"/>
        <w:jc w:val="center"/>
        <w:rPr>
          <w:rFonts w:hint="eastAsia"/>
          <w:sz w:val="24"/>
        </w:rPr>
      </w:pPr>
      <w:r w:rsidRPr="00BF1E16">
        <w:rPr>
          <w:noProof/>
          <w:sz w:val="24"/>
        </w:rPr>
        <w:drawing>
          <wp:inline distT="0" distB="0" distL="0" distR="0" wp14:anchorId="3908319B" wp14:editId="6D2B5084">
            <wp:extent cx="4285564" cy="2424328"/>
            <wp:effectExtent l="0" t="0" r="127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5564" cy="2424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1A0CA" w14:textId="116C5885" w:rsidR="00C261FD" w:rsidRPr="0023292A" w:rsidRDefault="00C261FD" w:rsidP="0023292A">
      <w:pPr>
        <w:spacing w:line="360" w:lineRule="auto"/>
        <w:rPr>
          <w:rFonts w:ascii="Times New Roman" w:hAnsi="Times New Roman" w:cs="Times New Roman"/>
          <w:sz w:val="24"/>
        </w:rPr>
      </w:pPr>
      <w:r w:rsidRPr="0023292A">
        <w:rPr>
          <w:rFonts w:ascii="Times New Roman" w:hAnsi="Times New Roman" w:cs="Times New Roman"/>
          <w:b/>
          <w:bCs/>
          <w:sz w:val="24"/>
        </w:rPr>
        <w:t>Figure S</w:t>
      </w:r>
      <w:r w:rsidR="00270C21">
        <w:rPr>
          <w:rFonts w:ascii="Times New Roman" w:hAnsi="Times New Roman" w:cs="Times New Roman"/>
          <w:b/>
          <w:bCs/>
          <w:sz w:val="24"/>
        </w:rPr>
        <w:t>3</w:t>
      </w:r>
      <w:r w:rsidRPr="0023292A">
        <w:rPr>
          <w:rFonts w:ascii="Times New Roman" w:hAnsi="Times New Roman" w:cs="Times New Roman"/>
          <w:b/>
          <w:bCs/>
          <w:sz w:val="24"/>
        </w:rPr>
        <w:t xml:space="preserve">. Biological safety testing and exosome release curve of EGGS MNs. </w:t>
      </w:r>
      <w:r w:rsidRPr="0023292A">
        <w:rPr>
          <w:rFonts w:ascii="Times New Roman" w:hAnsi="Times New Roman" w:cs="Times New Roman"/>
          <w:sz w:val="24"/>
        </w:rPr>
        <w:t>(a)</w:t>
      </w:r>
      <w:r w:rsidR="00C122AF">
        <w:rPr>
          <w:rFonts w:ascii="Times New Roman" w:hAnsi="Times New Roman" w:cs="Times New Roman"/>
          <w:sz w:val="24"/>
        </w:rPr>
        <w:t xml:space="preserve"> </w:t>
      </w:r>
      <w:r w:rsidR="00C122AF" w:rsidRPr="00C122AF">
        <w:rPr>
          <w:rFonts w:ascii="Times New Roman" w:hAnsi="Times New Roman" w:cs="Times New Roman"/>
          <w:sz w:val="24"/>
        </w:rPr>
        <w:lastRenderedPageBreak/>
        <w:t>Verification of EGGS MNs penetrating epithelial tissue and forming regular microchannels through H&amp;E staining of rat oral mucosal tissue slices.</w:t>
      </w:r>
      <w:r w:rsidR="00C122AF">
        <w:rPr>
          <w:rFonts w:ascii="Times New Roman" w:hAnsi="Times New Roman" w:cs="Times New Roman" w:hint="eastAsia"/>
          <w:sz w:val="24"/>
        </w:rPr>
        <w:t xml:space="preserve"> </w:t>
      </w:r>
      <w:r w:rsidR="00412D4E" w:rsidRPr="0023292A">
        <w:rPr>
          <w:rFonts w:ascii="Times New Roman" w:hAnsi="Times New Roman" w:cs="Times New Roman"/>
          <w:sz w:val="24"/>
        </w:rPr>
        <w:t xml:space="preserve">Scale: </w:t>
      </w:r>
      <w:r w:rsidR="002151FC">
        <w:rPr>
          <w:rFonts w:ascii="Times New Roman" w:hAnsi="Times New Roman" w:cs="Times New Roman" w:hint="eastAsia"/>
          <w:sz w:val="24"/>
        </w:rPr>
        <w:t>500</w:t>
      </w:r>
      <w:r w:rsidR="00412D4E" w:rsidRPr="0023292A">
        <w:rPr>
          <w:rFonts w:ascii="Times New Roman" w:hAnsi="Times New Roman" w:cs="Times New Roman"/>
          <w:sz w:val="24"/>
        </w:rPr>
        <w:t xml:space="preserve"> µm.</w:t>
      </w:r>
      <w:r w:rsidR="00412D4E">
        <w:rPr>
          <w:rFonts w:ascii="Times New Roman" w:hAnsi="Times New Roman" w:cs="Times New Roman"/>
          <w:sz w:val="24"/>
        </w:rPr>
        <w:t xml:space="preserve"> </w:t>
      </w:r>
      <w:r w:rsidR="00C122AF">
        <w:rPr>
          <w:rFonts w:ascii="Times New Roman" w:hAnsi="Times New Roman" w:cs="Times New Roman"/>
          <w:sz w:val="24"/>
        </w:rPr>
        <w:t xml:space="preserve">(b) </w:t>
      </w:r>
      <w:r w:rsidR="00563129" w:rsidRPr="0023292A">
        <w:rPr>
          <w:rFonts w:ascii="Times New Roman" w:hAnsi="Times New Roman" w:cs="Times New Roman"/>
          <w:sz w:val="24"/>
        </w:rPr>
        <w:t>Exosomal release curve in EGGS MNs.</w:t>
      </w:r>
      <w:r w:rsidRPr="0023292A">
        <w:rPr>
          <w:rFonts w:ascii="Times New Roman" w:hAnsi="Times New Roman" w:cs="Times New Roman"/>
          <w:sz w:val="24"/>
        </w:rPr>
        <w:t xml:space="preserve"> (</w:t>
      </w:r>
      <w:r w:rsidR="00C122AF">
        <w:rPr>
          <w:rFonts w:ascii="Times New Roman" w:hAnsi="Times New Roman" w:cs="Times New Roman"/>
          <w:sz w:val="24"/>
        </w:rPr>
        <w:t>c</w:t>
      </w:r>
      <w:r w:rsidRPr="0023292A">
        <w:rPr>
          <w:rFonts w:ascii="Times New Roman" w:hAnsi="Times New Roman" w:cs="Times New Roman"/>
          <w:sz w:val="24"/>
        </w:rPr>
        <w:t xml:space="preserve">) </w:t>
      </w:r>
      <w:r w:rsidR="002621F5" w:rsidRPr="002621F5">
        <w:rPr>
          <w:rFonts w:ascii="Times New Roman" w:hAnsi="Times New Roman" w:cs="Times New Roman"/>
          <w:sz w:val="24"/>
        </w:rPr>
        <w:t>GA-MOF and MSC Exo in vitro cellular uptake experiments</w:t>
      </w:r>
      <w:r w:rsidR="002621F5">
        <w:rPr>
          <w:rFonts w:ascii="Times New Roman" w:hAnsi="Times New Roman" w:cs="Times New Roman" w:hint="eastAsia"/>
          <w:sz w:val="24"/>
        </w:rPr>
        <w:t>.</w:t>
      </w:r>
      <w:r w:rsidR="002621F5">
        <w:rPr>
          <w:rFonts w:ascii="Times New Roman" w:hAnsi="Times New Roman" w:cs="Times New Roman"/>
          <w:sz w:val="24"/>
        </w:rPr>
        <w:t xml:space="preserve"> </w:t>
      </w:r>
      <w:r w:rsidR="00412D4E" w:rsidRPr="0023292A">
        <w:rPr>
          <w:rFonts w:ascii="Times New Roman" w:hAnsi="Times New Roman" w:cs="Times New Roman"/>
          <w:sz w:val="24"/>
        </w:rPr>
        <w:t xml:space="preserve">Scale: </w:t>
      </w:r>
      <w:r w:rsidR="00412D4E">
        <w:rPr>
          <w:rFonts w:ascii="Times New Roman" w:hAnsi="Times New Roman" w:cs="Times New Roman" w:hint="eastAsia"/>
          <w:sz w:val="24"/>
        </w:rPr>
        <w:t>20</w:t>
      </w:r>
      <w:r w:rsidR="00412D4E" w:rsidRPr="0023292A">
        <w:rPr>
          <w:rFonts w:ascii="Times New Roman" w:hAnsi="Times New Roman" w:cs="Times New Roman"/>
          <w:sz w:val="24"/>
        </w:rPr>
        <w:t xml:space="preserve"> µm.</w:t>
      </w:r>
      <w:r w:rsidR="00412D4E">
        <w:rPr>
          <w:rFonts w:ascii="Times New Roman" w:hAnsi="Times New Roman" w:cs="Times New Roman"/>
          <w:sz w:val="24"/>
        </w:rPr>
        <w:t xml:space="preserve"> </w:t>
      </w:r>
      <w:r w:rsidR="002621F5">
        <w:rPr>
          <w:rFonts w:ascii="Times New Roman" w:hAnsi="Times New Roman" w:cs="Times New Roman"/>
          <w:sz w:val="24"/>
        </w:rPr>
        <w:t>(d)</w:t>
      </w:r>
      <w:r w:rsidR="00563129" w:rsidRPr="0023292A">
        <w:rPr>
          <w:rFonts w:ascii="Times New Roman" w:hAnsi="Times New Roman" w:cs="Times New Roman"/>
          <w:sz w:val="24"/>
        </w:rPr>
        <w:t>The cck-8 biosafety testing of MNs in each group.</w:t>
      </w:r>
    </w:p>
    <w:p w14:paraId="770D1B0B" w14:textId="77777777" w:rsidR="00563129" w:rsidRPr="0023292A" w:rsidRDefault="00563129" w:rsidP="0023292A">
      <w:pPr>
        <w:spacing w:line="360" w:lineRule="auto"/>
        <w:rPr>
          <w:rFonts w:ascii="Times New Roman" w:hAnsi="Times New Roman" w:cs="Times New Roman"/>
          <w:sz w:val="24"/>
        </w:rPr>
      </w:pPr>
    </w:p>
    <w:p w14:paraId="56AB31EE" w14:textId="2BC73E89" w:rsidR="00C261FD" w:rsidRPr="0023292A" w:rsidRDefault="00F41326" w:rsidP="00BF1E16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F41326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15B6E67D" wp14:editId="2F7218B1">
            <wp:extent cx="4750568" cy="1456841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 rotWithShape="1">
                    <a:blip r:embed="rId9"/>
                    <a:srcRect l="998" t="2815" r="1210" b="2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809" cy="1460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FD6262" w14:textId="5227FE2D" w:rsidR="00C261FD" w:rsidRPr="0023292A" w:rsidRDefault="00C261FD" w:rsidP="0023292A">
      <w:pPr>
        <w:spacing w:line="360" w:lineRule="auto"/>
        <w:rPr>
          <w:rFonts w:ascii="Times New Roman" w:hAnsi="Times New Roman" w:cs="Times New Roman"/>
          <w:sz w:val="24"/>
        </w:rPr>
      </w:pPr>
      <w:r w:rsidRPr="0023292A">
        <w:rPr>
          <w:rFonts w:ascii="Times New Roman" w:hAnsi="Times New Roman" w:cs="Times New Roman"/>
          <w:b/>
          <w:bCs/>
          <w:sz w:val="24"/>
        </w:rPr>
        <w:t>Figure S</w:t>
      </w:r>
      <w:r w:rsidR="00F41326">
        <w:rPr>
          <w:rFonts w:ascii="Times New Roman" w:hAnsi="Times New Roman" w:cs="Times New Roman"/>
          <w:b/>
          <w:bCs/>
          <w:sz w:val="24"/>
        </w:rPr>
        <w:t>4</w:t>
      </w:r>
      <w:r w:rsidR="005D3294" w:rsidRPr="0023292A">
        <w:rPr>
          <w:rFonts w:ascii="Times New Roman" w:hAnsi="Times New Roman" w:cs="Times New Roman"/>
          <w:b/>
          <w:bCs/>
          <w:sz w:val="24"/>
        </w:rPr>
        <w:t>.</w:t>
      </w:r>
      <w:r w:rsidRPr="0023292A">
        <w:rPr>
          <w:rFonts w:ascii="Times New Roman" w:hAnsi="Times New Roman" w:cs="Times New Roman"/>
          <w:b/>
          <w:bCs/>
          <w:sz w:val="24"/>
        </w:rPr>
        <w:t xml:space="preserve"> </w:t>
      </w:r>
      <w:r w:rsidR="00F41326" w:rsidRPr="00F41326">
        <w:rPr>
          <w:rFonts w:ascii="Times New Roman" w:hAnsi="Times New Roman" w:cs="Times New Roman"/>
          <w:b/>
          <w:bCs/>
          <w:sz w:val="24"/>
        </w:rPr>
        <w:t>Biological safety testing of</w:t>
      </w:r>
      <w:r w:rsidR="00F41326">
        <w:rPr>
          <w:rFonts w:ascii="Times New Roman" w:hAnsi="Times New Roman" w:cs="Times New Roman"/>
          <w:b/>
          <w:bCs/>
          <w:sz w:val="24"/>
        </w:rPr>
        <w:t xml:space="preserve"> </w:t>
      </w:r>
      <w:r w:rsidRPr="0023292A">
        <w:rPr>
          <w:rFonts w:ascii="Times New Roman" w:hAnsi="Times New Roman" w:cs="Times New Roman"/>
          <w:b/>
          <w:bCs/>
          <w:sz w:val="24"/>
        </w:rPr>
        <w:t xml:space="preserve">MNs. </w:t>
      </w:r>
      <w:r w:rsidR="008F7020" w:rsidRPr="0023292A">
        <w:rPr>
          <w:rFonts w:ascii="Times New Roman" w:hAnsi="Times New Roman" w:cs="Times New Roman"/>
          <w:sz w:val="24"/>
        </w:rPr>
        <w:t xml:space="preserve">(a) Fluorescent micrograph of living dead cell staining. Scale: 100 µm. </w:t>
      </w:r>
      <w:r w:rsidRPr="0023292A">
        <w:rPr>
          <w:rFonts w:ascii="Times New Roman" w:hAnsi="Times New Roman" w:cs="Times New Roman"/>
          <w:sz w:val="24"/>
        </w:rPr>
        <w:t>(</w:t>
      </w:r>
      <w:r w:rsidR="008F7020" w:rsidRPr="0023292A">
        <w:rPr>
          <w:rFonts w:ascii="Times New Roman" w:hAnsi="Times New Roman" w:cs="Times New Roman" w:hint="eastAsia"/>
          <w:sz w:val="24"/>
        </w:rPr>
        <w:t>b</w:t>
      </w:r>
      <w:r w:rsidRPr="0023292A">
        <w:rPr>
          <w:rFonts w:ascii="Times New Roman" w:hAnsi="Times New Roman" w:cs="Times New Roman"/>
          <w:sz w:val="24"/>
        </w:rPr>
        <w:t xml:space="preserve">) </w:t>
      </w:r>
      <w:r w:rsidR="008F7020" w:rsidRPr="0023292A">
        <w:rPr>
          <w:rFonts w:ascii="Times New Roman" w:hAnsi="Times New Roman" w:cs="Times New Roman"/>
          <w:sz w:val="24"/>
        </w:rPr>
        <w:t>Quantitative analysis of living cell dead cell staining.</w:t>
      </w:r>
      <w:r w:rsidRPr="0023292A">
        <w:rPr>
          <w:rFonts w:ascii="Times New Roman" w:hAnsi="Times New Roman" w:cs="Times New Roman"/>
          <w:sz w:val="24"/>
        </w:rPr>
        <w:t xml:space="preserve"> </w:t>
      </w:r>
    </w:p>
    <w:p w14:paraId="485ED873" w14:textId="634EDF9C" w:rsidR="00142E04" w:rsidRDefault="00142E04" w:rsidP="0023292A">
      <w:pPr>
        <w:spacing w:line="360" w:lineRule="auto"/>
        <w:rPr>
          <w:rFonts w:ascii="Times New Roman" w:hAnsi="Times New Roman" w:cs="Times New Roman"/>
          <w:sz w:val="24"/>
        </w:rPr>
      </w:pPr>
    </w:p>
    <w:p w14:paraId="63E546A6" w14:textId="405F2DB6" w:rsidR="00F41326" w:rsidRDefault="008F65DC" w:rsidP="00F41326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8F65DC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1E696BEC" wp14:editId="3BA212AE">
            <wp:extent cx="4835308" cy="1805553"/>
            <wp:effectExtent l="0" t="0" r="381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3457" cy="181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9C11A" w14:textId="7D35BED2" w:rsidR="00F41326" w:rsidRPr="0023292A" w:rsidRDefault="00F41326" w:rsidP="00F41326">
      <w:pPr>
        <w:spacing w:line="360" w:lineRule="auto"/>
        <w:rPr>
          <w:rFonts w:ascii="Times New Roman" w:hAnsi="Times New Roman" w:cs="Times New Roman"/>
          <w:sz w:val="24"/>
        </w:rPr>
      </w:pPr>
      <w:r w:rsidRPr="0023292A">
        <w:rPr>
          <w:rFonts w:ascii="Times New Roman" w:hAnsi="Times New Roman" w:cs="Times New Roman"/>
          <w:b/>
          <w:bCs/>
          <w:sz w:val="24"/>
        </w:rPr>
        <w:t>Figure S</w:t>
      </w:r>
      <w:r>
        <w:rPr>
          <w:rFonts w:ascii="Times New Roman" w:hAnsi="Times New Roman" w:cs="Times New Roman"/>
          <w:b/>
          <w:bCs/>
          <w:sz w:val="24"/>
        </w:rPr>
        <w:t>5</w:t>
      </w:r>
      <w:r w:rsidRPr="0023292A">
        <w:rPr>
          <w:rFonts w:ascii="Times New Roman" w:hAnsi="Times New Roman" w:cs="Times New Roman"/>
          <w:b/>
          <w:bCs/>
          <w:sz w:val="24"/>
        </w:rPr>
        <w:t xml:space="preserve">. </w:t>
      </w:r>
      <w:r w:rsidRPr="00F41326">
        <w:rPr>
          <w:rFonts w:ascii="Times New Roman" w:hAnsi="Times New Roman" w:cs="Times New Roman"/>
          <w:b/>
          <w:bCs/>
          <w:sz w:val="24"/>
        </w:rPr>
        <w:t xml:space="preserve">Hemolysis experiment of </w:t>
      </w:r>
      <w:r w:rsidRPr="0023292A">
        <w:rPr>
          <w:rFonts w:ascii="Times New Roman" w:hAnsi="Times New Roman" w:cs="Times New Roman"/>
          <w:b/>
          <w:bCs/>
          <w:sz w:val="24"/>
        </w:rPr>
        <w:t xml:space="preserve">MNs. </w:t>
      </w:r>
      <w:r w:rsidRPr="0023292A">
        <w:rPr>
          <w:rFonts w:ascii="Times New Roman" w:hAnsi="Times New Roman" w:cs="Times New Roman"/>
          <w:sz w:val="24"/>
        </w:rPr>
        <w:t>(a) Digital photos of hemolysis experiment.</w:t>
      </w:r>
      <w:r>
        <w:rPr>
          <w:rFonts w:ascii="Times New Roman" w:hAnsi="Times New Roman" w:cs="Times New Roman"/>
          <w:sz w:val="24"/>
        </w:rPr>
        <w:t xml:space="preserve"> </w:t>
      </w:r>
      <w:r w:rsidRPr="0023292A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b</w:t>
      </w:r>
      <w:r w:rsidRPr="0023292A">
        <w:rPr>
          <w:rFonts w:ascii="Times New Roman" w:hAnsi="Times New Roman" w:cs="Times New Roman"/>
          <w:sz w:val="24"/>
        </w:rPr>
        <w:t>) Quantitative analysis results of hemolysis experiment.</w:t>
      </w:r>
    </w:p>
    <w:p w14:paraId="47AA85A4" w14:textId="77777777" w:rsidR="00F41326" w:rsidRPr="0023292A" w:rsidRDefault="00F41326" w:rsidP="0023292A">
      <w:pPr>
        <w:spacing w:line="360" w:lineRule="auto"/>
        <w:rPr>
          <w:rFonts w:ascii="Times New Roman" w:hAnsi="Times New Roman" w:cs="Times New Roman"/>
          <w:sz w:val="24"/>
        </w:rPr>
      </w:pPr>
    </w:p>
    <w:p w14:paraId="35FBC77A" w14:textId="72162920" w:rsidR="008F7020" w:rsidRPr="0023292A" w:rsidRDefault="00BF1E16" w:rsidP="00BF1E16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BF1E16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5734A07E" wp14:editId="5145C166">
            <wp:extent cx="4737550" cy="2084522"/>
            <wp:effectExtent l="0" t="0" r="6350" b="0"/>
            <wp:docPr id="9" name="图片 9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表, 条形图&#10;&#10;描述已自动生成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47157" cy="2088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D4498" w14:textId="5A63C323" w:rsidR="008F7020" w:rsidRPr="0023292A" w:rsidRDefault="008F7020" w:rsidP="0023292A">
      <w:pPr>
        <w:spacing w:line="360" w:lineRule="auto"/>
        <w:rPr>
          <w:rFonts w:ascii="Times New Roman" w:hAnsi="Times New Roman" w:cs="Times New Roman"/>
          <w:sz w:val="24"/>
        </w:rPr>
      </w:pPr>
      <w:r w:rsidRPr="0023292A">
        <w:rPr>
          <w:rFonts w:ascii="Times New Roman" w:hAnsi="Times New Roman" w:cs="Times New Roman"/>
          <w:b/>
          <w:bCs/>
          <w:sz w:val="24"/>
        </w:rPr>
        <w:t>Figure S</w:t>
      </w:r>
      <w:r w:rsidR="00F41326">
        <w:rPr>
          <w:rFonts w:ascii="Times New Roman" w:hAnsi="Times New Roman" w:cs="Times New Roman"/>
          <w:b/>
          <w:bCs/>
          <w:sz w:val="24"/>
        </w:rPr>
        <w:t>6</w:t>
      </w:r>
      <w:r w:rsidRPr="0023292A">
        <w:rPr>
          <w:rFonts w:ascii="Times New Roman" w:hAnsi="Times New Roman" w:cs="Times New Roman"/>
          <w:b/>
          <w:bCs/>
          <w:sz w:val="24"/>
        </w:rPr>
        <w:t>.</w:t>
      </w:r>
      <w:r w:rsidRPr="0023292A">
        <w:rPr>
          <w:sz w:val="24"/>
        </w:rPr>
        <w:t xml:space="preserve"> </w:t>
      </w:r>
      <w:r w:rsidRPr="0023292A">
        <w:rPr>
          <w:rFonts w:ascii="Times New Roman" w:hAnsi="Times New Roman" w:cs="Times New Roman"/>
          <w:b/>
          <w:bCs/>
          <w:sz w:val="24"/>
        </w:rPr>
        <w:t xml:space="preserve">The antioxidant capacity of different MNs. </w:t>
      </w:r>
      <w:r w:rsidRPr="0023292A">
        <w:rPr>
          <w:rFonts w:ascii="Times New Roman" w:hAnsi="Times New Roman" w:cs="Times New Roman"/>
          <w:sz w:val="24"/>
        </w:rPr>
        <w:t xml:space="preserve">(a) Quantitative analysis of DPPH radical scavenging activity of </w:t>
      </w:r>
      <w:r w:rsidR="00C23576">
        <w:rPr>
          <w:rFonts w:ascii="Times New Roman" w:hAnsi="Times New Roman" w:cs="Times New Roman"/>
          <w:sz w:val="24"/>
        </w:rPr>
        <w:t>EGGS</w:t>
      </w:r>
      <w:r w:rsidRPr="0023292A">
        <w:rPr>
          <w:rFonts w:ascii="Times New Roman" w:hAnsi="Times New Roman" w:cs="Times New Roman"/>
          <w:sz w:val="24"/>
        </w:rPr>
        <w:t xml:space="preserve"> MN</w:t>
      </w:r>
      <w:r w:rsidR="00C23576">
        <w:rPr>
          <w:rFonts w:ascii="Times New Roman" w:hAnsi="Times New Roman" w:cs="Times New Roman" w:hint="eastAsia"/>
          <w:sz w:val="24"/>
        </w:rPr>
        <w:t>s</w:t>
      </w:r>
      <w:r w:rsidRPr="0023292A">
        <w:rPr>
          <w:rFonts w:ascii="Times New Roman" w:hAnsi="Times New Roman" w:cs="Times New Roman"/>
          <w:sz w:val="24"/>
        </w:rPr>
        <w:t>. (b) Quantitative analysis of ABTS scavenging activity of EGGS MNs.</w:t>
      </w:r>
    </w:p>
    <w:p w14:paraId="0B1B09FA" w14:textId="77777777" w:rsidR="008F7020" w:rsidRPr="0023292A" w:rsidRDefault="008F7020" w:rsidP="0023292A">
      <w:pPr>
        <w:spacing w:line="360" w:lineRule="auto"/>
        <w:rPr>
          <w:rFonts w:ascii="Times New Roman" w:hAnsi="Times New Roman" w:cs="Times New Roman"/>
          <w:sz w:val="24"/>
        </w:rPr>
      </w:pPr>
    </w:p>
    <w:p w14:paraId="6E30A046" w14:textId="12498B03" w:rsidR="00142E04" w:rsidRPr="0023292A" w:rsidRDefault="00BF1E16" w:rsidP="003C60A8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BF1E16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A66B78D" wp14:editId="76BFB4CE">
            <wp:extent cx="4320000" cy="1900800"/>
            <wp:effectExtent l="0" t="0" r="4445" b="444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9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57FDB" w14:textId="48C48425" w:rsidR="00142E04" w:rsidRPr="0023292A" w:rsidRDefault="00142E04" w:rsidP="0023292A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23292A">
        <w:rPr>
          <w:rFonts w:ascii="Times New Roman" w:hAnsi="Times New Roman" w:cs="Times New Roman"/>
          <w:b/>
          <w:bCs/>
          <w:sz w:val="24"/>
        </w:rPr>
        <w:t>Figure S</w:t>
      </w:r>
      <w:r w:rsidR="00F41326">
        <w:rPr>
          <w:rFonts w:ascii="Times New Roman" w:hAnsi="Times New Roman" w:cs="Times New Roman"/>
          <w:b/>
          <w:bCs/>
          <w:sz w:val="24"/>
        </w:rPr>
        <w:t>7</w:t>
      </w:r>
      <w:r w:rsidR="005D3294" w:rsidRPr="0023292A">
        <w:rPr>
          <w:rFonts w:ascii="Times New Roman" w:hAnsi="Times New Roman" w:cs="Times New Roman"/>
          <w:b/>
          <w:bCs/>
          <w:sz w:val="24"/>
        </w:rPr>
        <w:t>.</w:t>
      </w:r>
      <w:r w:rsidRPr="0023292A">
        <w:rPr>
          <w:rFonts w:ascii="Times New Roman" w:hAnsi="Times New Roman" w:cs="Times New Roman"/>
          <w:b/>
          <w:bCs/>
          <w:sz w:val="24"/>
        </w:rPr>
        <w:t xml:space="preserve"> Digital photographs of ARS and ALP staining in MSC osteogenic experiments.</w:t>
      </w:r>
    </w:p>
    <w:p w14:paraId="306C4335" w14:textId="165E0DFD" w:rsidR="00142E04" w:rsidRPr="0023292A" w:rsidRDefault="00142E04" w:rsidP="0023292A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14B6586" w14:textId="49519EED" w:rsidR="00D13FE4" w:rsidRPr="0023292A" w:rsidRDefault="00BF1E16" w:rsidP="003C60A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BF1E16"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5B4ACA61" wp14:editId="666D0CA0">
            <wp:extent cx="4621953" cy="3897824"/>
            <wp:effectExtent l="0" t="0" r="7620" b="762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2122" cy="3923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A7985" w14:textId="47907043" w:rsidR="005459C0" w:rsidRPr="0023292A" w:rsidRDefault="005459C0" w:rsidP="0023292A">
      <w:pPr>
        <w:spacing w:line="360" w:lineRule="auto"/>
        <w:rPr>
          <w:rFonts w:ascii="Times New Roman" w:hAnsi="Times New Roman" w:cs="Times New Roman"/>
          <w:sz w:val="24"/>
        </w:rPr>
      </w:pPr>
      <w:r w:rsidRPr="0023292A">
        <w:rPr>
          <w:rFonts w:ascii="Times New Roman" w:hAnsi="Times New Roman" w:cs="Times New Roman"/>
          <w:b/>
          <w:bCs/>
          <w:sz w:val="24"/>
        </w:rPr>
        <w:t>Figure S</w:t>
      </w:r>
      <w:r w:rsidR="00F41326">
        <w:rPr>
          <w:rFonts w:ascii="Times New Roman" w:hAnsi="Times New Roman" w:cs="Times New Roman"/>
          <w:b/>
          <w:bCs/>
          <w:sz w:val="24"/>
        </w:rPr>
        <w:t>8</w:t>
      </w:r>
      <w:r w:rsidR="005D3294" w:rsidRPr="0023292A">
        <w:rPr>
          <w:rFonts w:ascii="Times New Roman" w:hAnsi="Times New Roman" w:cs="Times New Roman"/>
          <w:b/>
          <w:bCs/>
          <w:sz w:val="24"/>
        </w:rPr>
        <w:t>.</w:t>
      </w:r>
      <w:r w:rsidRPr="0023292A">
        <w:rPr>
          <w:rFonts w:ascii="Times New Roman" w:hAnsi="Times New Roman" w:cs="Times New Roman"/>
          <w:b/>
          <w:bCs/>
          <w:sz w:val="24"/>
        </w:rPr>
        <w:t xml:space="preserve"> </w:t>
      </w:r>
      <w:r w:rsidR="005D3294" w:rsidRPr="0023292A">
        <w:rPr>
          <w:rFonts w:ascii="Times New Roman" w:hAnsi="Times New Roman" w:cs="Times New Roman"/>
          <w:b/>
          <w:bCs/>
          <w:sz w:val="24"/>
        </w:rPr>
        <w:t>Anti-inflammatory</w:t>
      </w:r>
      <w:r w:rsidRPr="0023292A">
        <w:rPr>
          <w:rFonts w:ascii="Times New Roman" w:hAnsi="Times New Roman" w:cs="Times New Roman"/>
          <w:b/>
          <w:bCs/>
          <w:sz w:val="24"/>
        </w:rPr>
        <w:t xml:space="preserve"> effects of different MNs groups. </w:t>
      </w:r>
      <w:r w:rsidRPr="0023292A">
        <w:rPr>
          <w:rFonts w:ascii="Times New Roman" w:hAnsi="Times New Roman" w:cs="Times New Roman"/>
          <w:sz w:val="24"/>
        </w:rPr>
        <w:t>(a) Elisa detects the concentration of TNF</w:t>
      </w:r>
      <w:r w:rsidR="00D13FE4" w:rsidRPr="0023292A">
        <w:rPr>
          <w:rFonts w:ascii="Times New Roman" w:hAnsi="Times New Roman" w:cs="Times New Roman"/>
          <w:sz w:val="24"/>
        </w:rPr>
        <w:t>-</w:t>
      </w:r>
      <w:r w:rsidRPr="0023292A">
        <w:rPr>
          <w:rFonts w:ascii="Times New Roman" w:hAnsi="Times New Roman" w:cs="Times New Roman"/>
          <w:sz w:val="24"/>
        </w:rPr>
        <w:t>α in macrophage culture medium treated with LPS and different MNs. (b) Elisa detects the concentration of IL-6 in macrophage culture medium treated with LPS and different MNs.</w:t>
      </w:r>
      <w:r w:rsidR="002B20F1">
        <w:rPr>
          <w:rFonts w:ascii="Times New Roman" w:hAnsi="Times New Roman" w:cs="Times New Roman"/>
          <w:sz w:val="24"/>
        </w:rPr>
        <w:t xml:space="preserve"> (c)</w:t>
      </w:r>
      <w:r w:rsidR="002B20F1" w:rsidRPr="002B20F1">
        <w:t xml:space="preserve"> </w:t>
      </w:r>
      <w:r w:rsidR="002B20F1" w:rsidRPr="002B20F1">
        <w:rPr>
          <w:rFonts w:ascii="Times New Roman" w:hAnsi="Times New Roman" w:cs="Times New Roman"/>
          <w:sz w:val="24"/>
        </w:rPr>
        <w:t>Western blot analysis of MMP-9 and IL-1 β protein expression in macrophages treated with MNs in each group.</w:t>
      </w:r>
    </w:p>
    <w:p w14:paraId="7272D708" w14:textId="3AB04FE8" w:rsidR="00F567F3" w:rsidRPr="0023292A" w:rsidRDefault="00F567F3" w:rsidP="0023292A">
      <w:pPr>
        <w:spacing w:line="360" w:lineRule="auto"/>
        <w:rPr>
          <w:rFonts w:ascii="Times New Roman" w:hAnsi="Times New Roman" w:cs="Times New Roman"/>
          <w:sz w:val="24"/>
        </w:rPr>
      </w:pPr>
    </w:p>
    <w:p w14:paraId="18F656D1" w14:textId="5D62345A" w:rsidR="00F567F3" w:rsidRPr="0023292A" w:rsidRDefault="00BF1E16" w:rsidP="003C60A8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BF1E16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1B7F390A" wp14:editId="675F2E61">
            <wp:extent cx="4603023" cy="3603846"/>
            <wp:effectExtent l="0" t="0" r="762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3023" cy="3603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7C0FE" w14:textId="57B075FD" w:rsidR="00F567F3" w:rsidRPr="0023292A" w:rsidRDefault="005D3294" w:rsidP="0023292A">
      <w:pPr>
        <w:spacing w:line="360" w:lineRule="auto"/>
        <w:rPr>
          <w:rFonts w:ascii="Times New Roman" w:hAnsi="Times New Roman" w:cs="Times New Roman"/>
          <w:sz w:val="24"/>
        </w:rPr>
      </w:pPr>
      <w:r w:rsidRPr="0023292A">
        <w:rPr>
          <w:rFonts w:ascii="Times New Roman" w:hAnsi="Times New Roman" w:cs="Times New Roman"/>
          <w:b/>
          <w:bCs/>
          <w:sz w:val="24"/>
        </w:rPr>
        <w:t>Figure S</w:t>
      </w:r>
      <w:r w:rsidR="00F41326">
        <w:rPr>
          <w:rFonts w:ascii="Times New Roman" w:hAnsi="Times New Roman" w:cs="Times New Roman"/>
          <w:b/>
          <w:bCs/>
          <w:sz w:val="24"/>
        </w:rPr>
        <w:t>9</w:t>
      </w:r>
      <w:r w:rsidRPr="0023292A">
        <w:rPr>
          <w:rFonts w:ascii="Times New Roman" w:hAnsi="Times New Roman" w:cs="Times New Roman"/>
          <w:b/>
          <w:bCs/>
          <w:sz w:val="24"/>
        </w:rPr>
        <w:t>. H&amp;E staining of various organs in rats.</w:t>
      </w:r>
      <w:r w:rsidRPr="0023292A">
        <w:rPr>
          <w:rFonts w:ascii="Times New Roman" w:hAnsi="Times New Roman" w:cs="Times New Roman"/>
          <w:sz w:val="24"/>
        </w:rPr>
        <w:t xml:space="preserve"> (a) </w:t>
      </w:r>
      <w:r w:rsidRPr="0023292A">
        <w:rPr>
          <w:rFonts w:ascii="Times New Roman" w:hAnsi="Times New Roman" w:cs="Times New Roman" w:hint="eastAsia"/>
          <w:sz w:val="24"/>
        </w:rPr>
        <w:t>U</w:t>
      </w:r>
      <w:r w:rsidRPr="0023292A">
        <w:rPr>
          <w:rFonts w:ascii="Times New Roman" w:hAnsi="Times New Roman" w:cs="Times New Roman"/>
          <w:sz w:val="24"/>
        </w:rPr>
        <w:t>sing hematoxylin eosin (H&amp;E) staining to observe the pathological changes in the heart, liver, spleen, lungs, and kidneys after MNs treatment for ulcers.</w:t>
      </w:r>
    </w:p>
    <w:p w14:paraId="2F619B0F" w14:textId="6B21903D" w:rsidR="00D13FE4" w:rsidRDefault="00D13FE4" w:rsidP="0023292A">
      <w:pPr>
        <w:spacing w:line="360" w:lineRule="auto"/>
        <w:rPr>
          <w:rFonts w:ascii="Times New Roman" w:hAnsi="Times New Roman" w:cs="Times New Roman"/>
          <w:sz w:val="24"/>
        </w:rPr>
      </w:pPr>
    </w:p>
    <w:p w14:paraId="01A75785" w14:textId="515EDA00" w:rsidR="009C5198" w:rsidRDefault="00C14709" w:rsidP="00C14709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C14709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EDE0997" wp14:editId="70A7907E">
            <wp:extent cx="4730456" cy="2392802"/>
            <wp:effectExtent l="0" t="0" r="0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0456" cy="2392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F34C1" w14:textId="36766CC5" w:rsidR="009C5198" w:rsidRPr="009C5198" w:rsidRDefault="009C5198" w:rsidP="009C5198">
      <w:pPr>
        <w:spacing w:line="360" w:lineRule="auto"/>
        <w:rPr>
          <w:rFonts w:ascii="Times New Roman" w:hAnsi="Times New Roman" w:cs="Times New Roman"/>
          <w:sz w:val="24"/>
        </w:rPr>
      </w:pPr>
      <w:r w:rsidRPr="009C5198">
        <w:rPr>
          <w:rFonts w:ascii="Times New Roman" w:hAnsi="Times New Roman" w:cs="Times New Roman"/>
          <w:b/>
          <w:bCs/>
          <w:sz w:val="24"/>
        </w:rPr>
        <w:t>Figure S10. CD86 immunofluorescence staining in periodontal tissue.</w:t>
      </w:r>
      <w:r w:rsidRPr="009C5198">
        <w:rPr>
          <w:rFonts w:ascii="Times New Roman" w:hAnsi="Times New Roman" w:cs="Times New Roman"/>
          <w:sz w:val="24"/>
        </w:rPr>
        <w:t xml:space="preserve"> Representative images show the infiltration of CD86⁺ M1 macrophages (green fluorescence) in the lesion area of each group.</w:t>
      </w:r>
      <w:r w:rsidR="00412D4E" w:rsidRPr="00412D4E">
        <w:rPr>
          <w:rFonts w:ascii="Times New Roman" w:hAnsi="Times New Roman" w:cs="Times New Roman"/>
          <w:sz w:val="24"/>
        </w:rPr>
        <w:t xml:space="preserve"> </w:t>
      </w:r>
      <w:r w:rsidR="00412D4E" w:rsidRPr="0023292A">
        <w:rPr>
          <w:rFonts w:ascii="Times New Roman" w:hAnsi="Times New Roman" w:cs="Times New Roman"/>
          <w:sz w:val="24"/>
        </w:rPr>
        <w:t>Scale: 100 µm.</w:t>
      </w:r>
    </w:p>
    <w:p w14:paraId="0DBB12BC" w14:textId="401787EF" w:rsidR="009C5198" w:rsidRPr="009C5198" w:rsidRDefault="009C5198" w:rsidP="009C5198">
      <w:pPr>
        <w:spacing w:line="360" w:lineRule="auto"/>
        <w:rPr>
          <w:rFonts w:ascii="Times New Roman" w:hAnsi="Times New Roman" w:cs="Times New Roman"/>
          <w:sz w:val="24"/>
        </w:rPr>
      </w:pPr>
      <w:r w:rsidRPr="009C5198">
        <w:rPr>
          <w:rFonts w:ascii="Calibri" w:hAnsi="Calibri" w:cs="Calibri"/>
          <w:sz w:val="24"/>
        </w:rPr>
        <w:t>﻿</w:t>
      </w:r>
    </w:p>
    <w:p w14:paraId="082D9957" w14:textId="0A979FE9" w:rsidR="005D3294" w:rsidRPr="0023292A" w:rsidRDefault="00BF1E16" w:rsidP="003C60A8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BF1E16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75DE562E" wp14:editId="5F663FB9">
            <wp:extent cx="4797312" cy="2266672"/>
            <wp:effectExtent l="0" t="0" r="3810" b="63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7312" cy="226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48694" w14:textId="59727A74" w:rsidR="005D3294" w:rsidRPr="0023292A" w:rsidRDefault="005D3294" w:rsidP="0023292A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23292A">
        <w:rPr>
          <w:rFonts w:ascii="Times New Roman" w:hAnsi="Times New Roman" w:cs="Times New Roman"/>
          <w:b/>
          <w:bCs/>
          <w:sz w:val="24"/>
        </w:rPr>
        <w:t>Figure S</w:t>
      </w:r>
      <w:r w:rsidR="00F41326">
        <w:rPr>
          <w:rFonts w:ascii="Times New Roman" w:hAnsi="Times New Roman" w:cs="Times New Roman"/>
          <w:b/>
          <w:bCs/>
          <w:sz w:val="24"/>
        </w:rPr>
        <w:t>1</w:t>
      </w:r>
      <w:r w:rsidR="009C4C18">
        <w:rPr>
          <w:rFonts w:ascii="Times New Roman" w:hAnsi="Times New Roman" w:cs="Times New Roman"/>
          <w:b/>
          <w:bCs/>
          <w:sz w:val="24"/>
        </w:rPr>
        <w:t>1</w:t>
      </w:r>
      <w:r w:rsidRPr="0023292A">
        <w:rPr>
          <w:rFonts w:ascii="Times New Roman" w:hAnsi="Times New Roman" w:cs="Times New Roman"/>
          <w:b/>
          <w:bCs/>
          <w:sz w:val="24"/>
        </w:rPr>
        <w:t>. Fluorescence microscopy image of OPN immunofluorescence staining in periodontitis tissue.</w:t>
      </w:r>
      <w:r w:rsidR="00412D4E" w:rsidRPr="00412D4E">
        <w:rPr>
          <w:rFonts w:hint="eastAsia"/>
        </w:rPr>
        <w:t xml:space="preserve"> </w:t>
      </w:r>
      <w:r w:rsidR="00412D4E" w:rsidRPr="00412D4E">
        <w:rPr>
          <w:rFonts w:ascii="Times New Roman" w:hAnsi="Times New Roman" w:cs="Times New Roman" w:hint="eastAsia"/>
          <w:b/>
          <w:bCs/>
          <w:sz w:val="24"/>
        </w:rPr>
        <w:t>Scale: 100 µm.</w:t>
      </w:r>
    </w:p>
    <w:sectPr w:rsidR="005D3294" w:rsidRPr="002329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CA1DD" w14:textId="77777777" w:rsidR="0086448F" w:rsidRDefault="0086448F" w:rsidP="00600E15">
      <w:pPr>
        <w:rPr>
          <w:rFonts w:hint="eastAsia"/>
        </w:rPr>
      </w:pPr>
      <w:r>
        <w:separator/>
      </w:r>
    </w:p>
  </w:endnote>
  <w:endnote w:type="continuationSeparator" w:id="0">
    <w:p w14:paraId="13269479" w14:textId="77777777" w:rsidR="0086448F" w:rsidRDefault="0086448F" w:rsidP="00600E1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calaPro-Regular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A65ED" w14:textId="77777777" w:rsidR="0086448F" w:rsidRDefault="0086448F" w:rsidP="00600E15">
      <w:pPr>
        <w:rPr>
          <w:rFonts w:hint="eastAsia"/>
        </w:rPr>
      </w:pPr>
      <w:r>
        <w:separator/>
      </w:r>
    </w:p>
  </w:footnote>
  <w:footnote w:type="continuationSeparator" w:id="0">
    <w:p w14:paraId="5C51CD45" w14:textId="77777777" w:rsidR="0086448F" w:rsidRDefault="0086448F" w:rsidP="00600E1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240"/>
    <w:rsid w:val="000140BA"/>
    <w:rsid w:val="000333D4"/>
    <w:rsid w:val="00081389"/>
    <w:rsid w:val="00093217"/>
    <w:rsid w:val="000A2820"/>
    <w:rsid w:val="000B1A40"/>
    <w:rsid w:val="000B688A"/>
    <w:rsid w:val="000C103C"/>
    <w:rsid w:val="000D19EF"/>
    <w:rsid w:val="000E23E3"/>
    <w:rsid w:val="000F7240"/>
    <w:rsid w:val="0011304D"/>
    <w:rsid w:val="0013470C"/>
    <w:rsid w:val="001359C4"/>
    <w:rsid w:val="00140300"/>
    <w:rsid w:val="00142E04"/>
    <w:rsid w:val="0015546F"/>
    <w:rsid w:val="001A73DB"/>
    <w:rsid w:val="001F0FFD"/>
    <w:rsid w:val="002151FC"/>
    <w:rsid w:val="0023292A"/>
    <w:rsid w:val="0025141A"/>
    <w:rsid w:val="002621F5"/>
    <w:rsid w:val="0026305C"/>
    <w:rsid w:val="00265753"/>
    <w:rsid w:val="00270C21"/>
    <w:rsid w:val="00275D04"/>
    <w:rsid w:val="00285780"/>
    <w:rsid w:val="00291044"/>
    <w:rsid w:val="002934D6"/>
    <w:rsid w:val="002B20F1"/>
    <w:rsid w:val="002B3185"/>
    <w:rsid w:val="002C0FFF"/>
    <w:rsid w:val="002C17DF"/>
    <w:rsid w:val="002C3DE4"/>
    <w:rsid w:val="002D79BE"/>
    <w:rsid w:val="002E143E"/>
    <w:rsid w:val="002F267E"/>
    <w:rsid w:val="002F5048"/>
    <w:rsid w:val="003060E9"/>
    <w:rsid w:val="0030771F"/>
    <w:rsid w:val="0032640D"/>
    <w:rsid w:val="0032688B"/>
    <w:rsid w:val="003430C9"/>
    <w:rsid w:val="00346F86"/>
    <w:rsid w:val="00352680"/>
    <w:rsid w:val="00361ECC"/>
    <w:rsid w:val="00384BA4"/>
    <w:rsid w:val="00385580"/>
    <w:rsid w:val="00393DCD"/>
    <w:rsid w:val="00393F98"/>
    <w:rsid w:val="003C60A8"/>
    <w:rsid w:val="003E5FD6"/>
    <w:rsid w:val="003F7B08"/>
    <w:rsid w:val="00412D4E"/>
    <w:rsid w:val="00414F4A"/>
    <w:rsid w:val="00441BF5"/>
    <w:rsid w:val="00447FF0"/>
    <w:rsid w:val="0045103F"/>
    <w:rsid w:val="00495219"/>
    <w:rsid w:val="004E36B7"/>
    <w:rsid w:val="004F3452"/>
    <w:rsid w:val="00503CA2"/>
    <w:rsid w:val="00541D8E"/>
    <w:rsid w:val="005459C0"/>
    <w:rsid w:val="00555758"/>
    <w:rsid w:val="00563129"/>
    <w:rsid w:val="00574017"/>
    <w:rsid w:val="005A16D9"/>
    <w:rsid w:val="005B4FDE"/>
    <w:rsid w:val="005C0B86"/>
    <w:rsid w:val="005C2333"/>
    <w:rsid w:val="005C416F"/>
    <w:rsid w:val="005D3159"/>
    <w:rsid w:val="005D3294"/>
    <w:rsid w:val="005D74BB"/>
    <w:rsid w:val="00600E15"/>
    <w:rsid w:val="00601954"/>
    <w:rsid w:val="006037CE"/>
    <w:rsid w:val="006315A1"/>
    <w:rsid w:val="006448CF"/>
    <w:rsid w:val="00691652"/>
    <w:rsid w:val="00694C83"/>
    <w:rsid w:val="006B3F15"/>
    <w:rsid w:val="006C4A43"/>
    <w:rsid w:val="006C52EC"/>
    <w:rsid w:val="006D2184"/>
    <w:rsid w:val="00723D2B"/>
    <w:rsid w:val="00742CB6"/>
    <w:rsid w:val="00745474"/>
    <w:rsid w:val="00757A53"/>
    <w:rsid w:val="00775B87"/>
    <w:rsid w:val="00787E67"/>
    <w:rsid w:val="007A35C2"/>
    <w:rsid w:val="007B1656"/>
    <w:rsid w:val="00816D09"/>
    <w:rsid w:val="00822DED"/>
    <w:rsid w:val="00841DA7"/>
    <w:rsid w:val="00845432"/>
    <w:rsid w:val="00854234"/>
    <w:rsid w:val="0086448F"/>
    <w:rsid w:val="00881075"/>
    <w:rsid w:val="00897E4D"/>
    <w:rsid w:val="008B6D46"/>
    <w:rsid w:val="008C5BBB"/>
    <w:rsid w:val="008C678E"/>
    <w:rsid w:val="008E758C"/>
    <w:rsid w:val="008F65DC"/>
    <w:rsid w:val="008F7020"/>
    <w:rsid w:val="009142EA"/>
    <w:rsid w:val="0092572E"/>
    <w:rsid w:val="00944F17"/>
    <w:rsid w:val="009535DC"/>
    <w:rsid w:val="009A6702"/>
    <w:rsid w:val="009C4C18"/>
    <w:rsid w:val="009C5198"/>
    <w:rsid w:val="009D45BD"/>
    <w:rsid w:val="009E47C6"/>
    <w:rsid w:val="009F5F31"/>
    <w:rsid w:val="00A22851"/>
    <w:rsid w:val="00A244C2"/>
    <w:rsid w:val="00A26E4A"/>
    <w:rsid w:val="00A430E8"/>
    <w:rsid w:val="00A576E5"/>
    <w:rsid w:val="00A6536E"/>
    <w:rsid w:val="00A87F24"/>
    <w:rsid w:val="00AA0794"/>
    <w:rsid w:val="00AE45B3"/>
    <w:rsid w:val="00AE77FC"/>
    <w:rsid w:val="00AF7253"/>
    <w:rsid w:val="00B13DF9"/>
    <w:rsid w:val="00B73722"/>
    <w:rsid w:val="00B80FF2"/>
    <w:rsid w:val="00B85F81"/>
    <w:rsid w:val="00B933F9"/>
    <w:rsid w:val="00BA4290"/>
    <w:rsid w:val="00BE5928"/>
    <w:rsid w:val="00BF1E16"/>
    <w:rsid w:val="00C122AF"/>
    <w:rsid w:val="00C14709"/>
    <w:rsid w:val="00C23576"/>
    <w:rsid w:val="00C261FD"/>
    <w:rsid w:val="00C40391"/>
    <w:rsid w:val="00C4273A"/>
    <w:rsid w:val="00C450C3"/>
    <w:rsid w:val="00C472F6"/>
    <w:rsid w:val="00C71E61"/>
    <w:rsid w:val="00CA7B60"/>
    <w:rsid w:val="00CB4F6D"/>
    <w:rsid w:val="00CE380D"/>
    <w:rsid w:val="00D00EFB"/>
    <w:rsid w:val="00D1309D"/>
    <w:rsid w:val="00D13FE4"/>
    <w:rsid w:val="00D22097"/>
    <w:rsid w:val="00D2349C"/>
    <w:rsid w:val="00D42273"/>
    <w:rsid w:val="00D504E6"/>
    <w:rsid w:val="00D52E52"/>
    <w:rsid w:val="00D71963"/>
    <w:rsid w:val="00D810B3"/>
    <w:rsid w:val="00D931CB"/>
    <w:rsid w:val="00DA40D7"/>
    <w:rsid w:val="00DA4B20"/>
    <w:rsid w:val="00DA53F0"/>
    <w:rsid w:val="00DF02F9"/>
    <w:rsid w:val="00E2559C"/>
    <w:rsid w:val="00E46CE6"/>
    <w:rsid w:val="00E77C88"/>
    <w:rsid w:val="00E843B4"/>
    <w:rsid w:val="00EE3391"/>
    <w:rsid w:val="00EF43C3"/>
    <w:rsid w:val="00F01C61"/>
    <w:rsid w:val="00F03978"/>
    <w:rsid w:val="00F14CEB"/>
    <w:rsid w:val="00F41326"/>
    <w:rsid w:val="00F5124C"/>
    <w:rsid w:val="00F567F3"/>
    <w:rsid w:val="00F971CB"/>
    <w:rsid w:val="00FA029E"/>
    <w:rsid w:val="00FA7070"/>
    <w:rsid w:val="00FD3D92"/>
    <w:rsid w:val="00FE75E2"/>
    <w:rsid w:val="00FF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07A9B3"/>
  <w15:chartTrackingRefBased/>
  <w15:docId w15:val="{8003DC41-9215-B34E-83B6-5A88A969E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2"/>
    <w:basedOn w:val="a"/>
    <w:rsid w:val="000F7240"/>
    <w:pPr>
      <w:widowControl/>
      <w:jc w:val="left"/>
    </w:pPr>
    <w:rPr>
      <w:rFonts w:ascii="Times New Roman" w:eastAsia="MS Mincho" w:hAnsi="Times New Roman" w:cs="Times New Roman"/>
      <w:b/>
      <w:kern w:val="0"/>
      <w:sz w:val="24"/>
      <w:lang w:eastAsia="ja-JP"/>
    </w:rPr>
  </w:style>
  <w:style w:type="paragraph" w:styleId="a3">
    <w:name w:val="No Spacing"/>
    <w:uiPriority w:val="1"/>
    <w:qFormat/>
    <w:rsid w:val="000F7240"/>
    <w:pPr>
      <w:widowControl w:val="0"/>
    </w:pPr>
    <w:rPr>
      <w:sz w:val="22"/>
      <w14:ligatures w14:val="standardContextual"/>
    </w:rPr>
  </w:style>
  <w:style w:type="character" w:customStyle="1" w:styleId="fontstyle01">
    <w:name w:val="fontstyle01"/>
    <w:basedOn w:val="a0"/>
    <w:rsid w:val="00601954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600E1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00E1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00E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00E1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9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8</Pages>
  <Words>525</Words>
  <Characters>3155</Characters>
  <Application>Microsoft Office Word</Application>
  <DocSecurity>0</DocSecurity>
  <Lines>80</Lines>
  <Paragraphs>25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DB130018</dc:creator>
  <cp:keywords/>
  <dc:description/>
  <cp:lastModifiedBy>Z70226</cp:lastModifiedBy>
  <cp:revision>61</cp:revision>
  <dcterms:created xsi:type="dcterms:W3CDTF">2025-07-21T04:04:00Z</dcterms:created>
  <dcterms:modified xsi:type="dcterms:W3CDTF">2025-12-28T08:53:00Z</dcterms:modified>
</cp:coreProperties>
</file>