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2A6949">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ED7D31" w:themeColor="accent2"/>
          <w14:textFill>
            <w14:solidFill>
              <w14:schemeClr w14:val="accent2"/>
            </w14:solidFill>
          </w14:textFill>
        </w:rPr>
      </w:pPr>
      <w:r>
        <w:rPr>
          <w:rFonts w:ascii="Times New Roman" w:hAnsi="Times New Roman" w:cs="Times New Roman"/>
          <w:b/>
          <w:bCs/>
          <w:color w:val="ED7D31" w:themeColor="accent2"/>
          <w:lang w:val="en-US"/>
          <w14:textFill>
            <w14:solidFill>
              <w14:schemeClr w14:val="accent2"/>
            </w14:solidFill>
          </w14:textFill>
        </w:rPr>
        <w:t>Materials and methods</w:t>
      </w:r>
    </w:p>
    <w:p w14:paraId="419C3E80">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rPr>
      </w:pPr>
      <w:r>
        <w:rPr>
          <w:rFonts w:ascii="Times New Roman" w:hAnsi="Times New Roman" w:cs="Times New Roman"/>
          <w:b/>
          <w:bCs/>
          <w:lang w:val="en-US"/>
        </w:rPr>
        <w:t xml:space="preserve">Materials and </w:t>
      </w:r>
      <w:r>
        <w:rPr>
          <w:rFonts w:ascii="Times New Roman" w:hAnsi="Times New Roman" w:eastAsia="宋体" w:cs="Times New Roman"/>
          <w:b/>
          <w:bCs/>
          <w:lang w:val="en-US"/>
        </w:rPr>
        <w:t>animals</w:t>
      </w:r>
    </w:p>
    <w:p w14:paraId="232BFDB5">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bookmarkStart w:id="0" w:name="OLE_LINK26"/>
      <w:r>
        <w:rPr>
          <w:rFonts w:ascii="Times New Roman" w:hAnsi="Times New Roman" w:cs="Times New Roman"/>
          <w:color w:val="000000" w:themeColor="text1"/>
          <w:lang w:val="en-US"/>
          <w14:textFill>
            <w14:solidFill>
              <w14:schemeClr w14:val="tx1"/>
            </w14:solidFill>
          </w14:textFill>
        </w:rPr>
        <w:t xml:space="preserve">Sucrose and sodium hydroxide (NaOH) were obtained from Aladdin (Shanghai, China). Dopamine hydrochloride, mPEG5000-NH₂, EDTA, paraffin, histological staining reagents, and the nuclear stain 4’,6-diamidino-2-phenylindole (DAPI) were acquired from Sigma‒Aldrich (USA). Hyaluronic acid methacrylate (HAMA), </w:t>
      </w:r>
      <w:r>
        <w:rPr>
          <w:rFonts w:ascii="Times New Roman" w:hAnsi="Times New Roman" w:eastAsia="宋体" w:cs="Times New Roman"/>
          <w:color w:val="000000" w:themeColor="text1"/>
          <w:lang w:val="en-US"/>
          <w14:textFill>
            <w14:solidFill>
              <w14:schemeClr w14:val="tx1"/>
            </w14:solidFill>
          </w14:textFill>
        </w:rPr>
        <w:t xml:space="preserve">the </w:t>
      </w:r>
      <w:bookmarkStart w:id="1" w:name="OLE_LINK69"/>
      <w:r>
        <w:rPr>
          <w:rFonts w:ascii="Times New Roman" w:hAnsi="Times New Roman" w:cs="Times New Roman"/>
          <w:color w:val="000000" w:themeColor="text1"/>
          <w:lang w:val="en-US"/>
          <w14:textFill>
            <w14:solidFill>
              <w14:schemeClr w14:val="tx1"/>
            </w14:solidFill>
          </w14:textFill>
        </w:rPr>
        <w:t xml:space="preserve">photoinitiator lithium phenyl-2,4,6-trimethylbenzoylphosphinate (LAP), polyvinyl alcohol (PVA), and </w:t>
      </w:r>
      <w:r>
        <w:rPr>
          <w:rFonts w:hint="eastAsia" w:ascii="Times New Roman" w:hAnsi="Times New Roman" w:cs="Times New Roman"/>
          <w:color w:val="000000" w:themeColor="text1"/>
          <w:lang w:val="en-US"/>
          <w14:textFill>
            <w14:solidFill>
              <w14:schemeClr w14:val="tx1"/>
            </w14:solidFill>
          </w14:textFill>
        </w:rPr>
        <w:t>t</w:t>
      </w:r>
      <w:bookmarkEnd w:id="1"/>
      <w:r>
        <w:rPr>
          <w:rFonts w:ascii="Times New Roman" w:hAnsi="Times New Roman" w:cs="Times New Roman"/>
          <w:color w:val="000000" w:themeColor="text1"/>
          <w:lang w:val="en-US"/>
          <w14:textFill>
            <w14:solidFill>
              <w14:schemeClr w14:val="tx1"/>
            </w14:solidFill>
          </w14:textFill>
        </w:rPr>
        <w:t xml:space="preserve">riglycerol monostearate (TM) were </w:t>
      </w:r>
      <w:bookmarkStart w:id="2" w:name="OLE_LINK27"/>
      <w:r>
        <w:rPr>
          <w:rFonts w:ascii="Times New Roman" w:hAnsi="Times New Roman" w:eastAsia="宋体" w:cs="Times New Roman"/>
          <w:color w:val="000000" w:themeColor="text1"/>
          <w:lang w:val="en-US"/>
          <w14:textFill>
            <w14:solidFill>
              <w14:schemeClr w14:val="tx1"/>
            </w14:solidFill>
          </w14:textFill>
        </w:rPr>
        <w:t>obtained</w:t>
      </w:r>
      <w:r>
        <w:rPr>
          <w:rFonts w:ascii="Times New Roman" w:hAnsi="Times New Roman" w:cs="Times New Roman"/>
          <w:color w:val="000000" w:themeColor="text1"/>
          <w:lang w:val="en-US"/>
          <w14:textFill>
            <w14:solidFill>
              <w14:schemeClr w14:val="tx1"/>
            </w14:solidFill>
          </w14:textFill>
        </w:rPr>
        <w:t xml:space="preserve"> from Engineer For Life (Beijing, China) and Macklin (Shanghai, China). The human epidermal melanocyte cell line PIG1 was generously provided by Dr. Chunying Li (Xijing Hospital, Xi’an, China), and the HaCaT keratinocyte cell line was procured from the Cell Resource Center of China Science Academy (Shanghai, China). Cell culture reagents—including fetal bovine serum (FBS), </w:t>
      </w:r>
      <w:r>
        <w:rPr>
          <w:rFonts w:ascii="Times New Roman" w:hAnsi="Times New Roman" w:eastAsia="宋体" w:cs="Times New Roman"/>
          <w:color w:val="000000" w:themeColor="text1"/>
          <w:lang w:val="en-US"/>
          <w14:textFill>
            <w14:solidFill>
              <w14:schemeClr w14:val="tx1"/>
            </w14:solidFill>
          </w14:textFill>
        </w:rPr>
        <w:t>penicillin‒streptomycin</w:t>
      </w:r>
      <w:r>
        <w:rPr>
          <w:rFonts w:ascii="Times New Roman" w:hAnsi="Times New Roman" w:cs="Times New Roman"/>
          <w:color w:val="000000" w:themeColor="text1"/>
          <w:lang w:val="en-US"/>
          <w14:textFill>
            <w14:solidFill>
              <w14:schemeClr w14:val="tx1"/>
            </w14:solidFill>
          </w14:textFill>
        </w:rPr>
        <w:t xml:space="preserve"> (P/S), </w:t>
      </w:r>
      <w:r>
        <w:rPr>
          <w:rFonts w:ascii="Times New Roman" w:hAnsi="Times New Roman" w:eastAsia="宋体" w:cs="Times New Roman"/>
          <w:color w:val="000000" w:themeColor="text1"/>
          <w:lang w:val="en-US"/>
          <w14:textFill>
            <w14:solidFill>
              <w14:schemeClr w14:val="tx1"/>
            </w14:solidFill>
          </w14:textFill>
        </w:rPr>
        <w:t>human melanocyte growth supplement</w:t>
      </w:r>
      <w:r>
        <w:rPr>
          <w:rFonts w:ascii="Times New Roman" w:hAnsi="Times New Roman" w:cs="Times New Roman"/>
          <w:color w:val="000000" w:themeColor="text1"/>
          <w:lang w:val="en-US"/>
          <w14:textFill>
            <w14:solidFill>
              <w14:schemeClr w14:val="tx1"/>
            </w14:solidFill>
          </w14:textFill>
        </w:rPr>
        <w:t xml:space="preserve"> (HMGS-2), and Medium 254—were obtained from Gibco (USA). Immunoassay kits for IL-6 and TNF-α quantification were supplied by Bio-Swamp (Wuhan, China), with primary antibodies against K19, PCNA, ROS, TRP2, IL-17A, PIK3R3, and ApoE sourced from Sigma‒Aldrich (USA). Phenylmethylsulfonyl fluoride (PMSF) was purchased from Beyotime Biotechnology (Shanghai, China). Phosphate-buffered saline (PBS) was acquired from Biosharp (Hefei, China). Female</w:t>
      </w:r>
      <w:bookmarkEnd w:id="2"/>
      <w:r>
        <w:rPr>
          <w:rFonts w:ascii="Times New Roman" w:hAnsi="Times New Roman" w:cs="Times New Roman"/>
          <w:color w:val="000000" w:themeColor="text1"/>
          <w:lang w:val="en-US"/>
          <w14:textFill>
            <w14:solidFill>
              <w14:schemeClr w14:val="tx1"/>
            </w14:solidFill>
          </w14:textFill>
        </w:rPr>
        <w:t xml:space="preserve"> C57BL/6 mice (4–6 weeks, 16–20 g) were supplied by Chongqing Medical University Laboratory Animal Center. All solvents met analytical</w:t>
      </w:r>
      <w:r>
        <w:rPr>
          <w:rFonts w:ascii="Times New Roman" w:hAnsi="Times New Roman" w:eastAsia="宋体" w:cs="Times New Roman"/>
          <w:color w:val="000000" w:themeColor="text1"/>
          <w:lang w:val="en-US"/>
          <w14:textFill>
            <w14:solidFill>
              <w14:schemeClr w14:val="tx1"/>
            </w14:solidFill>
          </w14:textFill>
        </w:rPr>
        <w:t>-</w:t>
      </w:r>
      <w:r>
        <w:rPr>
          <w:rFonts w:ascii="Times New Roman" w:hAnsi="Times New Roman" w:cs="Times New Roman"/>
          <w:color w:val="000000" w:themeColor="text1"/>
          <w:lang w:val="en-US"/>
          <w14:textFill>
            <w14:solidFill>
              <w14:schemeClr w14:val="tx1"/>
            </w14:solidFill>
          </w14:textFill>
        </w:rPr>
        <w:t xml:space="preserve"> or chromatographic</w:t>
      </w:r>
      <w:r>
        <w:rPr>
          <w:rFonts w:ascii="Times New Roman" w:hAnsi="Times New Roman" w:eastAsia="宋体" w:cs="Times New Roman"/>
          <w:color w:val="000000" w:themeColor="text1"/>
          <w:lang w:val="en-US"/>
          <w14:textFill>
            <w14:solidFill>
              <w14:schemeClr w14:val="tx1"/>
            </w14:solidFill>
          </w14:textFill>
        </w:rPr>
        <w:t>-</w:t>
      </w:r>
      <w:r>
        <w:rPr>
          <w:rFonts w:ascii="Times New Roman" w:hAnsi="Times New Roman" w:cs="Times New Roman"/>
          <w:color w:val="000000" w:themeColor="text1"/>
          <w:lang w:val="en-US"/>
          <w14:textFill>
            <w14:solidFill>
              <w14:schemeClr w14:val="tx1"/>
            </w14:solidFill>
          </w14:textFill>
        </w:rPr>
        <w:t>grade standards.</w:t>
      </w:r>
    </w:p>
    <w:bookmarkEnd w:id="0"/>
    <w:p w14:paraId="109A9725">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lang w:val="en-US"/>
          <w14:textFill>
            <w14:solidFill>
              <w14:schemeClr w14:val="tx1"/>
            </w14:solidFill>
          </w14:textFill>
        </w:rPr>
        <w:t>Isolation, purification, and characterization of G-Exos</w:t>
      </w:r>
    </w:p>
    <w:p w14:paraId="6B113048">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G-Exos were isolated from </w:t>
      </w:r>
      <w:r>
        <w:rPr>
          <w:rFonts w:ascii="Times New Roman" w:hAnsi="Times New Roman" w:eastAsia="宋体" w:cs="Times New Roman"/>
          <w:color w:val="000000" w:themeColor="text1"/>
          <w:lang w:val="en-US"/>
          <w14:textFill>
            <w14:solidFill>
              <w14:schemeClr w14:val="tx1"/>
            </w14:solidFill>
          </w14:textFill>
        </w:rPr>
        <w:t>ginseng roots</w:t>
      </w:r>
      <w:bookmarkStart w:id="3" w:name="OLE_LINK2"/>
      <w:r>
        <w:rPr>
          <w:rFonts w:ascii="Times New Roman" w:hAnsi="Times New Roman" w:cs="Times New Roman"/>
          <w:color w:val="000000" w:themeColor="text1"/>
          <w:lang w:val="en-US"/>
          <w14:textFill>
            <w14:solidFill>
              <w14:schemeClr w14:val="tx1"/>
            </w14:solidFill>
          </w14:textFill>
        </w:rPr>
        <w:t xml:space="preserve"> (provided by the </w:t>
      </w:r>
      <w:r>
        <w:rPr>
          <w:rFonts w:ascii="Times New Roman" w:hAnsi="Times New Roman" w:eastAsia="宋体" w:cs="Times New Roman"/>
          <w:color w:val="000000" w:themeColor="text1"/>
          <w:lang w:val="en-US"/>
          <w14:textFill>
            <w14:solidFill>
              <w14:schemeClr w14:val="tx1"/>
            </w14:solidFill>
          </w14:textFill>
        </w:rPr>
        <w:t>ginseng base</w:t>
      </w:r>
      <w:r>
        <w:rPr>
          <w:rFonts w:ascii="Times New Roman" w:hAnsi="Times New Roman" w:cs="Times New Roman"/>
          <w:color w:val="000000" w:themeColor="text1"/>
          <w:lang w:val="en-US"/>
          <w14:textFill>
            <w14:solidFill>
              <w14:schemeClr w14:val="tx1"/>
            </w14:solidFill>
          </w14:textFill>
        </w:rPr>
        <w:t xml:space="preserve"> of Changbaishan Mountain, Jilin Province, China). Fresh ginseng roots </w:t>
      </w:r>
      <w:r>
        <w:rPr>
          <w:rFonts w:ascii="Times New Roman" w:hAnsi="Times New Roman" w:eastAsia="宋体" w:cs="Times New Roman"/>
          <w:color w:val="000000" w:themeColor="text1"/>
          <w:lang w:val="en-US"/>
          <w14:textFill>
            <w14:solidFill>
              <w14:schemeClr w14:val="tx1"/>
            </w14:solidFill>
          </w14:textFill>
        </w:rPr>
        <w:t>were washed</w:t>
      </w:r>
      <w:r>
        <w:rPr>
          <w:rFonts w:ascii="Times New Roman" w:hAnsi="Times New Roman" w:cs="Times New Roman"/>
          <w:color w:val="000000" w:themeColor="text1"/>
          <w:lang w:val="en-US"/>
          <w14:textFill>
            <w14:solidFill>
              <w14:schemeClr w14:val="tx1"/>
            </w14:solidFill>
          </w14:textFill>
        </w:rPr>
        <w:t xml:space="preserve"> with water to remove impurities and homogenized in 30 mL of PBS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a high-speed blender (10 min total, with 1-min intervals). The slurry was filtered through a sieve to remove debris. The filtrate was centrifuged at 2,000 × g for 20 min, and the supernatant was further centrifuged at 10,000 × g for 60 min. After filtering through a 0.45-μm pore membrane,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 xml:space="preserve">exosomes in the supernatant were subsequently pelleted by ultracentrifugation (Beckman XPN-100, USA) at 120,000 </w:t>
      </w:r>
      <w:r>
        <w:rPr>
          <w:rFonts w:ascii="Times New Roman" w:hAnsi="Times New Roman" w:eastAsia="宋体" w:cs="Times New Roman"/>
          <w:color w:val="000000" w:themeColor="text1"/>
          <w:lang w:val="en-US"/>
          <w14:textFill>
            <w14:solidFill>
              <w14:schemeClr w14:val="tx1"/>
            </w14:solidFill>
          </w14:textFill>
        </w:rPr>
        <w:t>×</w:t>
      </w:r>
      <w:r>
        <w:rPr>
          <w:rFonts w:ascii="Times New Roman" w:hAnsi="Times New Roman" w:cs="Times New Roman"/>
          <w:color w:val="000000" w:themeColor="text1"/>
          <w:lang w:val="en-US"/>
          <w14:textFill>
            <w14:solidFill>
              <w14:schemeClr w14:val="tx1"/>
            </w14:solidFill>
          </w14:textFill>
        </w:rPr>
        <w:t xml:space="preserve"> g for 2 h, and the pellet was suspended in PBS. The cushion layer was purified via discontinuous sucrose density gradients (8%, 30%, 45%, and 60%) at 120,000 × g for 90 min. G-Exos were collected from the 30%–45% sucrose interface. All centrifugation steps were performed at 4°C. </w:t>
      </w:r>
      <w:r>
        <w:rPr>
          <w:rFonts w:ascii="Times New Roman" w:hAnsi="Times New Roman" w:eastAsia="宋体" w:cs="Times New Roman"/>
          <w:color w:val="000000" w:themeColor="text1"/>
          <w:lang w:val="en-US"/>
          <w14:textFill>
            <w14:solidFill>
              <w14:schemeClr w14:val="tx1"/>
            </w14:solidFill>
          </w14:textFill>
        </w:rPr>
        <w:t>The exosome</w:t>
      </w:r>
      <w:r>
        <w:rPr>
          <w:rFonts w:ascii="Times New Roman" w:hAnsi="Times New Roman" w:cs="Times New Roman"/>
          <w:color w:val="000000" w:themeColor="text1"/>
          <w:lang w:val="en-US"/>
          <w14:textFill>
            <w14:solidFill>
              <w14:schemeClr w14:val="tx1"/>
            </w14:solidFill>
          </w14:textFill>
        </w:rPr>
        <w:t xml:space="preserve"> concentration was quantified as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 xml:space="preserve">protein content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a BCA assay kit (Beyotime, China). The morphology of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 xml:space="preserve">G-Exos was observed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w:t>
      </w:r>
      <w:r>
        <w:rPr>
          <w:rFonts w:hint="eastAsia" w:ascii="Times New Roman" w:hAnsi="Times New Roman" w:cs="Times New Roman"/>
          <w:color w:val="000000" w:themeColor="text1"/>
          <w:lang w:val="en-US"/>
          <w14:textFill>
            <w14:solidFill>
              <w14:schemeClr w14:val="tx1"/>
            </w14:solidFill>
          </w14:textFill>
        </w:rPr>
        <w:t>transmission electron microscopy (TEM)</w:t>
      </w:r>
      <w:r>
        <w:rPr>
          <w:rFonts w:hint="eastAsia" w:ascii="Times New Roman" w:hAnsi="Times New Roman" w:cs="Times New Roman"/>
          <w:color w:val="000000" w:themeColor="text1"/>
          <w:lang w:val="en-US" w:eastAsia="zh-CN"/>
          <w14:textFill>
            <w14:solidFill>
              <w14:schemeClr w14:val="tx1"/>
            </w14:solidFill>
          </w14:textFill>
        </w:rPr>
        <w:t xml:space="preserve"> </w:t>
      </w:r>
      <w:r>
        <w:rPr>
          <w:rFonts w:ascii="Times New Roman" w:hAnsi="Times New Roman" w:cs="Times New Roman"/>
          <w:color w:val="000000" w:themeColor="text1"/>
          <w:lang w:val="en-US"/>
          <w14:textFill>
            <w14:solidFill>
              <w14:schemeClr w14:val="tx1"/>
            </w14:solidFill>
          </w14:textFill>
        </w:rPr>
        <w:t xml:space="preserve">(Talos L120C, Thermo Fisher Scientific, USA). The particle sizes and surface </w:t>
      </w:r>
      <w:r>
        <w:rPr>
          <w:rFonts w:ascii="Times New Roman" w:hAnsi="Times New Roman" w:eastAsia="宋体" w:cs="Times New Roman"/>
          <w:color w:val="000000" w:themeColor="text1"/>
          <w:lang w:val="en-US"/>
          <w14:textFill>
            <w14:solidFill>
              <w14:schemeClr w14:val="tx1"/>
            </w14:solidFill>
          </w14:textFill>
        </w:rPr>
        <w:t>charges</w:t>
      </w:r>
      <w:r>
        <w:rPr>
          <w:rFonts w:ascii="Times New Roman" w:hAnsi="Times New Roman" w:cs="Times New Roman"/>
          <w:color w:val="000000" w:themeColor="text1"/>
          <w:lang w:val="en-US"/>
          <w14:textFill>
            <w14:solidFill>
              <w14:schemeClr w14:val="tx1"/>
            </w14:solidFill>
          </w14:textFill>
        </w:rPr>
        <w:t xml:space="preserve"> (represented by the surface zeta potential) were measured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laser diffraction spectrometry (Malvern Zeta sizer 3000HS, Malvern) (Brookhaven Instruments Corp, Holtsville, NY, USA).</w:t>
      </w:r>
      <w:r>
        <w:rPr>
          <w:rFonts w:ascii="Times New Roman" w:hAnsi="Times New Roman" w:eastAsia="宋体" w:cs="Times New Roman"/>
          <w:color w:val="000000" w:themeColor="text1"/>
          <w:lang w:val="en-US"/>
          <w14:textFill>
            <w14:solidFill>
              <w14:schemeClr w14:val="tx1"/>
            </w14:solidFill>
          </w14:textFill>
        </w:rPr>
        <w:t xml:space="preserve"> </w:t>
      </w:r>
      <w:r>
        <w:rPr>
          <w:rFonts w:ascii="Times New Roman" w:hAnsi="Times New Roman" w:cs="Times New Roman"/>
          <w:color w:val="000000" w:themeColor="text1"/>
          <w:lang w:val="en-US"/>
          <w14:textFill>
            <w14:solidFill>
              <w14:schemeClr w14:val="tx1"/>
            </w14:solidFill>
          </w14:textFill>
        </w:rPr>
        <w:t xml:space="preserve">Transmission electron microscopy and </w:t>
      </w:r>
      <w:r>
        <w:rPr>
          <w:rFonts w:ascii="Times New Roman" w:hAnsi="Times New Roman" w:eastAsia="宋体" w:cs="Times New Roman"/>
          <w:color w:val="000000" w:themeColor="text1"/>
          <w:lang w:val="en-US"/>
          <w14:textFill>
            <w14:solidFill>
              <w14:schemeClr w14:val="tx1"/>
            </w14:solidFill>
          </w14:textFill>
        </w:rPr>
        <w:t xml:space="preserve">a </w:t>
      </w:r>
      <w:r>
        <w:rPr>
          <w:rFonts w:ascii="Times New Roman" w:hAnsi="Times New Roman" w:cs="Times New Roman"/>
          <w:color w:val="000000" w:themeColor="text1"/>
          <w:lang w:val="en-US"/>
          <w14:textFill>
            <w14:solidFill>
              <w14:schemeClr w14:val="tx1"/>
            </w14:solidFill>
          </w14:textFill>
        </w:rPr>
        <w:t xml:space="preserve">Zetasizer Nano ZS were used to </w:t>
      </w:r>
      <w:r>
        <w:rPr>
          <w:rFonts w:ascii="Times New Roman" w:hAnsi="Times New Roman" w:eastAsia="宋体" w:cs="Times New Roman"/>
          <w:color w:val="000000" w:themeColor="text1"/>
          <w:lang w:val="en-US"/>
          <w14:textFill>
            <w14:solidFill>
              <w14:schemeClr w14:val="tx1"/>
            </w14:solidFill>
          </w14:textFill>
        </w:rPr>
        <w:t>visualize the</w:t>
      </w:r>
      <w:r>
        <w:rPr>
          <w:rFonts w:ascii="Times New Roman" w:hAnsi="Times New Roman" w:cs="Times New Roman"/>
          <w:color w:val="000000" w:themeColor="text1"/>
          <w:lang w:val="en-US"/>
          <w14:textFill>
            <w14:solidFill>
              <w14:schemeClr w14:val="tx1"/>
            </w14:solidFill>
          </w14:textFill>
        </w:rPr>
        <w:t xml:space="preserve"> G-Exos.</w:t>
      </w:r>
      <w:bookmarkEnd w:id="3"/>
    </w:p>
    <w:p w14:paraId="4C8343A6">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lang w:val="en-US"/>
          <w14:textFill>
            <w14:solidFill>
              <w14:schemeClr w14:val="tx1"/>
            </w14:solidFill>
          </w14:textFill>
        </w:rPr>
        <w:t>Component analysis of G-Exos</w:t>
      </w:r>
    </w:p>
    <w:p w14:paraId="184427E8">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A combined multiomics approach was used to detect components in G-Exos, including lipids and proteins. The obtained G-Exos were sent to Shanghai Bioprofile Biotechnology Co. Ltd. for </w:t>
      </w:r>
      <w:r>
        <w:rPr>
          <w:rFonts w:ascii="Times New Roman" w:hAnsi="Times New Roman" w:eastAsia="宋体" w:cs="Times New Roman"/>
          <w:color w:val="000000" w:themeColor="text1"/>
          <w:lang w:val="en-US"/>
          <w14:textFill>
            <w14:solidFill>
              <w14:schemeClr w14:val="tx1"/>
            </w14:solidFill>
          </w14:textFill>
        </w:rPr>
        <w:t>component</w:t>
      </w:r>
      <w:r>
        <w:rPr>
          <w:rFonts w:ascii="Times New Roman" w:hAnsi="Times New Roman" w:cs="Times New Roman"/>
          <w:color w:val="000000" w:themeColor="text1"/>
          <w:lang w:val="en-US"/>
          <w14:textFill>
            <w14:solidFill>
              <w14:schemeClr w14:val="tx1"/>
            </w14:solidFill>
          </w14:textFill>
        </w:rPr>
        <w:t xml:space="preserve"> analysis.</w:t>
      </w:r>
    </w:p>
    <w:p w14:paraId="48F7C3DD">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lang w:val="en-US"/>
          <w14:textFill>
            <w14:solidFill>
              <w14:schemeClr w14:val="tx1"/>
            </w14:solidFill>
          </w14:textFill>
        </w:rPr>
        <w:t>1) Lipid analysis</w:t>
      </w:r>
    </w:p>
    <w:p w14:paraId="02D634B3">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Lipid extraction was performed by adding butanol-methanol (1:1, 10 mM ammonium formate) and </w:t>
      </w:r>
      <w:r>
        <w:rPr>
          <w:rFonts w:ascii="Times New Roman" w:hAnsi="Times New Roman" w:eastAsia="宋体" w:cs="Times New Roman"/>
          <w:color w:val="000000" w:themeColor="text1"/>
          <w:lang w:val="en-US"/>
          <w14:textFill>
            <w14:solidFill>
              <w14:schemeClr w14:val="tx1"/>
            </w14:solidFill>
          </w14:textFill>
        </w:rPr>
        <w:t xml:space="preserve">an </w:t>
      </w:r>
      <w:r>
        <w:rPr>
          <w:rFonts w:ascii="Times New Roman" w:hAnsi="Times New Roman" w:cs="Times New Roman"/>
          <w:color w:val="000000" w:themeColor="text1"/>
          <w:lang w:val="en-US"/>
          <w14:textFill>
            <w14:solidFill>
              <w14:schemeClr w14:val="tx1"/>
            </w14:solidFill>
          </w14:textFill>
        </w:rPr>
        <w:t xml:space="preserve">internal standard to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 xml:space="preserve">thawed sample, followed by vortexing, sonication, and centrifugation. </w:t>
      </w:r>
      <w:r>
        <w:rPr>
          <w:rFonts w:ascii="Times New Roman" w:hAnsi="Times New Roman" w:eastAsia="宋体" w:cs="Times New Roman"/>
          <w:color w:val="000000" w:themeColor="text1"/>
          <w:lang w:val="en-US"/>
          <w14:textFill>
            <w14:solidFill>
              <w14:schemeClr w14:val="tx1"/>
            </w14:solidFill>
          </w14:textFill>
        </w:rPr>
        <w:t>LC‒MS</w:t>
      </w:r>
      <w:r>
        <w:rPr>
          <w:rFonts w:ascii="Times New Roman" w:hAnsi="Times New Roman" w:cs="Times New Roman"/>
          <w:color w:val="000000" w:themeColor="text1"/>
          <w:lang w:val="en-US"/>
          <w14:textFill>
            <w14:solidFill>
              <w14:schemeClr w14:val="tx1"/>
            </w14:solidFill>
          </w14:textFill>
        </w:rPr>
        <w:t xml:space="preserve">/MS analysis was conducted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a Nexera X2 </w:t>
      </w:r>
      <w:r>
        <w:rPr>
          <w:rFonts w:ascii="Times New Roman" w:hAnsi="Times New Roman" w:eastAsia="宋体" w:cs="Times New Roman"/>
          <w:color w:val="000000" w:themeColor="text1"/>
          <w:lang w:val="en-US"/>
          <w14:textFill>
            <w14:solidFill>
              <w14:schemeClr w14:val="tx1"/>
            </w14:solidFill>
          </w14:textFill>
        </w:rPr>
        <w:t>LC‒30AD</w:t>
      </w:r>
      <w:r>
        <w:rPr>
          <w:rFonts w:ascii="Times New Roman" w:hAnsi="Times New Roman" w:cs="Times New Roman"/>
          <w:color w:val="000000" w:themeColor="text1"/>
          <w:lang w:val="en-US"/>
          <w14:textFill>
            <w14:solidFill>
              <w14:schemeClr w14:val="tx1"/>
            </w14:solidFill>
          </w14:textFill>
        </w:rPr>
        <w:t xml:space="preserve"> system (Shimadzu) with a C18 column (</w:t>
      </w:r>
      <w:r>
        <w:rPr>
          <w:rFonts w:ascii="Times New Roman" w:hAnsi="Times New Roman" w:eastAsia="宋体" w:cs="Times New Roman"/>
          <w:color w:val="000000" w:themeColor="text1"/>
          <w:lang w:val="en-US"/>
          <w14:textFill>
            <w14:solidFill>
              <w14:schemeClr w14:val="tx1"/>
            </w14:solidFill>
          </w14:textFill>
        </w:rPr>
        <w:t>specific</w:t>
      </w:r>
      <w:r>
        <w:rPr>
          <w:rFonts w:ascii="Times New Roman" w:hAnsi="Times New Roman" w:cs="Times New Roman"/>
          <w:color w:val="000000" w:themeColor="text1"/>
          <w:lang w:val="en-US"/>
          <w14:textFill>
            <w14:solidFill>
              <w14:schemeClr w14:val="tx1"/>
            </w14:solidFill>
          </w14:textFill>
        </w:rPr>
        <w:t xml:space="preserve"> dimensions if available) and mobile phases of (A) 50% acetonitrile/10 mM ammonium acetate (pH 8.0) and (B) </w:t>
      </w:r>
      <w:r>
        <w:rPr>
          <w:rFonts w:ascii="Times New Roman" w:hAnsi="Times New Roman" w:eastAsia="宋体" w:cs="Times New Roman"/>
          <w:color w:val="000000" w:themeColor="text1"/>
          <w:lang w:val="en-US"/>
          <w14:textFill>
            <w14:solidFill>
              <w14:schemeClr w14:val="tx1"/>
            </w14:solidFill>
          </w14:textFill>
        </w:rPr>
        <w:t>100%</w:t>
      </w:r>
      <w:r>
        <w:rPr>
          <w:rFonts w:ascii="Times New Roman" w:hAnsi="Times New Roman" w:cs="Times New Roman"/>
          <w:color w:val="000000" w:themeColor="text1"/>
          <w:lang w:val="en-US"/>
          <w14:textFill>
            <w14:solidFill>
              <w14:schemeClr w14:val="tx1"/>
            </w14:solidFill>
          </w14:textFill>
        </w:rPr>
        <w:t xml:space="preserve"> acetonitrile, with gradient elution (</w:t>
      </w:r>
      <w:r>
        <w:rPr>
          <w:rFonts w:ascii="Times New Roman" w:hAnsi="Times New Roman" w:eastAsia="宋体" w:cs="Times New Roman"/>
          <w:color w:val="000000" w:themeColor="text1"/>
          <w:lang w:val="en-US"/>
          <w14:textFill>
            <w14:solidFill>
              <w14:schemeClr w14:val="tx1"/>
            </w14:solidFill>
          </w14:textFill>
        </w:rPr>
        <w:t>0‒0</w:t>
      </w:r>
      <w:r>
        <w:rPr>
          <w:rFonts w:ascii="Times New Roman" w:hAnsi="Times New Roman" w:cs="Times New Roman"/>
          <w:color w:val="000000" w:themeColor="text1"/>
          <w:lang w:val="en-US"/>
          <w14:textFill>
            <w14:solidFill>
              <w14:schemeClr w14:val="tx1"/>
            </w14:solidFill>
          </w14:textFill>
        </w:rPr>
        <w:t>.1 min: 90% B; 0.</w:t>
      </w:r>
      <w:r>
        <w:rPr>
          <w:rFonts w:ascii="Times New Roman" w:hAnsi="Times New Roman" w:eastAsia="宋体" w:cs="Times New Roman"/>
          <w:color w:val="000000" w:themeColor="text1"/>
          <w:lang w:val="en-US"/>
          <w14:textFill>
            <w14:solidFill>
              <w14:schemeClr w14:val="tx1"/>
            </w14:solidFill>
          </w14:textFill>
        </w:rPr>
        <w:t>1‒5</w:t>
      </w:r>
      <w:r>
        <w:rPr>
          <w:rFonts w:ascii="Times New Roman" w:hAnsi="Times New Roman" w:cs="Times New Roman"/>
          <w:color w:val="000000" w:themeColor="text1"/>
          <w:lang w:val="en-US"/>
          <w14:textFill>
            <w14:solidFill>
              <w14:schemeClr w14:val="tx1"/>
            </w14:solidFill>
          </w14:textFill>
        </w:rPr>
        <w:t xml:space="preserve"> min: </w:t>
      </w:r>
      <w:r>
        <w:rPr>
          <w:rFonts w:ascii="Times New Roman" w:hAnsi="Times New Roman" w:eastAsia="宋体" w:cs="Times New Roman"/>
          <w:color w:val="000000" w:themeColor="text1"/>
          <w:lang w:val="en-US"/>
          <w14:textFill>
            <w14:solidFill>
              <w14:schemeClr w14:val="tx1"/>
            </w14:solidFill>
          </w14:textFill>
        </w:rPr>
        <w:t>90‒65%</w:t>
      </w:r>
      <w:r>
        <w:rPr>
          <w:rFonts w:ascii="Times New Roman" w:hAnsi="Times New Roman" w:cs="Times New Roman"/>
          <w:color w:val="000000" w:themeColor="text1"/>
          <w:lang w:val="en-US"/>
          <w14:textFill>
            <w14:solidFill>
              <w14:schemeClr w14:val="tx1"/>
            </w14:solidFill>
          </w14:textFill>
        </w:rPr>
        <w:t xml:space="preserve"> B; </w:t>
      </w:r>
      <w:r>
        <w:rPr>
          <w:rFonts w:ascii="Times New Roman" w:hAnsi="Times New Roman" w:eastAsia="宋体" w:cs="Times New Roman"/>
          <w:color w:val="000000" w:themeColor="text1"/>
          <w:lang w:val="en-US"/>
          <w14:textFill>
            <w14:solidFill>
              <w14:schemeClr w14:val="tx1"/>
            </w14:solidFill>
          </w14:textFill>
        </w:rPr>
        <w:t>5‒5</w:t>
      </w:r>
      <w:r>
        <w:rPr>
          <w:rFonts w:ascii="Times New Roman" w:hAnsi="Times New Roman" w:cs="Times New Roman"/>
          <w:color w:val="000000" w:themeColor="text1"/>
          <w:lang w:val="en-US"/>
          <w14:textFill>
            <w14:solidFill>
              <w14:schemeClr w14:val="tx1"/>
            </w14:solidFill>
          </w14:textFill>
        </w:rPr>
        <w:t xml:space="preserve">.3 min: </w:t>
      </w:r>
      <w:r>
        <w:rPr>
          <w:rFonts w:ascii="Times New Roman" w:hAnsi="Times New Roman" w:eastAsia="宋体" w:cs="Times New Roman"/>
          <w:color w:val="000000" w:themeColor="text1"/>
          <w:lang w:val="en-US"/>
          <w14:textFill>
            <w14:solidFill>
              <w14:schemeClr w14:val="tx1"/>
            </w14:solidFill>
          </w14:textFill>
        </w:rPr>
        <w:t>65‒0%</w:t>
      </w:r>
      <w:r>
        <w:rPr>
          <w:rFonts w:ascii="Times New Roman" w:hAnsi="Times New Roman" w:cs="Times New Roman"/>
          <w:color w:val="000000" w:themeColor="text1"/>
          <w:lang w:val="en-US"/>
          <w14:textFill>
            <w14:solidFill>
              <w14:schemeClr w14:val="tx1"/>
            </w14:solidFill>
          </w14:textFill>
        </w:rPr>
        <w:t xml:space="preserve"> B; 5.</w:t>
      </w:r>
      <w:r>
        <w:rPr>
          <w:rFonts w:ascii="Times New Roman" w:hAnsi="Times New Roman" w:eastAsia="宋体" w:cs="Times New Roman"/>
          <w:color w:val="000000" w:themeColor="text1"/>
          <w:lang w:val="en-US"/>
          <w14:textFill>
            <w14:solidFill>
              <w14:schemeClr w14:val="tx1"/>
            </w14:solidFill>
          </w14:textFill>
        </w:rPr>
        <w:t>3‒7</w:t>
      </w:r>
      <w:r>
        <w:rPr>
          <w:rFonts w:ascii="Times New Roman" w:hAnsi="Times New Roman" w:cs="Times New Roman"/>
          <w:color w:val="000000" w:themeColor="text1"/>
          <w:lang w:val="en-US"/>
          <w14:textFill>
            <w14:solidFill>
              <w14:schemeClr w14:val="tx1"/>
            </w14:solidFill>
          </w14:textFill>
        </w:rPr>
        <w:t>.2 min: 0% B; 7.</w:t>
      </w:r>
      <w:r>
        <w:rPr>
          <w:rFonts w:ascii="Times New Roman" w:hAnsi="Times New Roman" w:eastAsia="宋体" w:cs="Times New Roman"/>
          <w:color w:val="000000" w:themeColor="text1"/>
          <w:lang w:val="en-US"/>
          <w14:textFill>
            <w14:solidFill>
              <w14:schemeClr w14:val="tx1"/>
            </w14:solidFill>
          </w14:textFill>
        </w:rPr>
        <w:t>2‒7</w:t>
      </w:r>
      <w:r>
        <w:rPr>
          <w:rFonts w:ascii="Times New Roman" w:hAnsi="Times New Roman" w:cs="Times New Roman"/>
          <w:color w:val="000000" w:themeColor="text1"/>
          <w:lang w:val="en-US"/>
          <w14:textFill>
            <w14:solidFill>
              <w14:schemeClr w14:val="tx1"/>
            </w14:solidFill>
          </w14:textFill>
        </w:rPr>
        <w:t xml:space="preserve">.4 min: </w:t>
      </w:r>
      <w:r>
        <w:rPr>
          <w:rFonts w:ascii="Times New Roman" w:hAnsi="Times New Roman" w:eastAsia="宋体" w:cs="Times New Roman"/>
          <w:color w:val="000000" w:themeColor="text1"/>
          <w:lang w:val="en-US"/>
          <w14:textFill>
            <w14:solidFill>
              <w14:schemeClr w14:val="tx1"/>
            </w14:solidFill>
          </w14:textFill>
        </w:rPr>
        <w:t>0‒90%</w:t>
      </w:r>
      <w:r>
        <w:rPr>
          <w:rFonts w:ascii="Times New Roman" w:hAnsi="Times New Roman" w:cs="Times New Roman"/>
          <w:color w:val="000000" w:themeColor="text1"/>
          <w:lang w:val="en-US"/>
          <w14:textFill>
            <w14:solidFill>
              <w14:schemeClr w14:val="tx1"/>
            </w14:solidFill>
          </w14:textFill>
        </w:rPr>
        <w:t xml:space="preserve"> B; 7.</w:t>
      </w:r>
      <w:r>
        <w:rPr>
          <w:rFonts w:ascii="Times New Roman" w:hAnsi="Times New Roman" w:eastAsia="宋体" w:cs="Times New Roman"/>
          <w:color w:val="000000" w:themeColor="text1"/>
          <w:lang w:val="en-US"/>
          <w14:textFill>
            <w14:solidFill>
              <w14:schemeClr w14:val="tx1"/>
            </w14:solidFill>
          </w14:textFill>
        </w:rPr>
        <w:t>4‒10</w:t>
      </w:r>
      <w:r>
        <w:rPr>
          <w:rFonts w:ascii="Times New Roman" w:hAnsi="Times New Roman" w:cs="Times New Roman"/>
          <w:color w:val="000000" w:themeColor="text1"/>
          <w:lang w:val="en-US"/>
          <w14:textFill>
            <w14:solidFill>
              <w14:schemeClr w14:val="tx1"/>
            </w14:solidFill>
          </w14:textFill>
        </w:rPr>
        <w:t xml:space="preserve"> min: 90% B) at 300 μL/min and 35°C. Mass spectrometry was performed on a Triple Quad 6500+ (SCIEX) using ESI (± modes) with </w:t>
      </w:r>
      <w:r>
        <w:rPr>
          <w:rFonts w:ascii="Times New Roman" w:hAnsi="Times New Roman" w:eastAsia="宋体" w:cs="Times New Roman"/>
          <w:color w:val="000000" w:themeColor="text1"/>
          <w:lang w:val="en-US"/>
          <w14:textFill>
            <w14:solidFill>
              <w14:schemeClr w14:val="tx1"/>
            </w14:solidFill>
          </w14:textFill>
        </w:rPr>
        <w:t>an ion spray</w:t>
      </w:r>
      <w:r>
        <w:rPr>
          <w:rFonts w:ascii="Times New Roman" w:hAnsi="Times New Roman" w:cs="Times New Roman"/>
          <w:color w:val="000000" w:themeColor="text1"/>
          <w:lang w:val="en-US"/>
          <w14:textFill>
            <w14:solidFill>
              <w14:schemeClr w14:val="tx1"/>
            </w14:solidFill>
          </w14:textFill>
        </w:rPr>
        <w:t xml:space="preserve"> voltage </w:t>
      </w:r>
      <w:r>
        <w:rPr>
          <w:rFonts w:ascii="Times New Roman" w:hAnsi="Times New Roman" w:eastAsia="宋体" w:cs="Times New Roman"/>
          <w:color w:val="000000" w:themeColor="text1"/>
          <w:lang w:val="en-US"/>
          <w14:textFill>
            <w14:solidFill>
              <w14:schemeClr w14:val="tx1"/>
            </w14:solidFill>
          </w14:textFill>
        </w:rPr>
        <w:t xml:space="preserve">of </w:t>
      </w:r>
      <w:r>
        <w:rPr>
          <w:rFonts w:ascii="Times New Roman" w:hAnsi="Times New Roman" w:cs="Times New Roman"/>
          <w:color w:val="000000" w:themeColor="text1"/>
          <w:lang w:val="en-US"/>
          <w14:textFill>
            <w14:solidFill>
              <w14:schemeClr w14:val="tx1"/>
            </w14:solidFill>
          </w14:textFill>
        </w:rPr>
        <w:t xml:space="preserve">± 5500/4500 V, </w:t>
      </w:r>
      <w:r>
        <w:rPr>
          <w:rFonts w:ascii="Times New Roman" w:hAnsi="Times New Roman" w:eastAsia="宋体" w:cs="Times New Roman"/>
          <w:color w:val="000000" w:themeColor="text1"/>
          <w:lang w:val="en-US"/>
          <w14:textFill>
            <w14:solidFill>
              <w14:schemeClr w14:val="tx1"/>
            </w14:solidFill>
          </w14:textFill>
        </w:rPr>
        <w:t xml:space="preserve">a </w:t>
      </w:r>
      <w:r>
        <w:rPr>
          <w:rFonts w:ascii="Times New Roman" w:hAnsi="Times New Roman" w:cs="Times New Roman"/>
          <w:color w:val="000000" w:themeColor="text1"/>
          <w:lang w:val="en-US"/>
          <w14:textFill>
            <w14:solidFill>
              <w14:schemeClr w14:val="tx1"/>
            </w14:solidFill>
          </w14:textFill>
        </w:rPr>
        <w:t xml:space="preserve">source temperature </w:t>
      </w:r>
      <w:r>
        <w:rPr>
          <w:rFonts w:ascii="Times New Roman" w:hAnsi="Times New Roman" w:eastAsia="宋体" w:cs="Times New Roman"/>
          <w:color w:val="000000" w:themeColor="text1"/>
          <w:lang w:val="en-US"/>
          <w14:textFill>
            <w14:solidFill>
              <w14:schemeClr w14:val="tx1"/>
            </w14:solidFill>
          </w14:textFill>
        </w:rPr>
        <w:t xml:space="preserve">of </w:t>
      </w:r>
      <w:r>
        <w:rPr>
          <w:rFonts w:ascii="Times New Roman" w:hAnsi="Times New Roman" w:cs="Times New Roman"/>
          <w:color w:val="000000" w:themeColor="text1"/>
          <w:lang w:val="en-US"/>
          <w14:textFill>
            <w14:solidFill>
              <w14:schemeClr w14:val="tx1"/>
            </w14:solidFill>
          </w14:textFill>
        </w:rPr>
        <w:t xml:space="preserve">400°C, </w:t>
      </w:r>
      <w:r>
        <w:rPr>
          <w:rFonts w:ascii="Times New Roman" w:hAnsi="Times New Roman" w:eastAsia="宋体" w:cs="Times New Roman"/>
          <w:color w:val="000000" w:themeColor="text1"/>
          <w:lang w:val="en-US"/>
          <w14:textFill>
            <w14:solidFill>
              <w14:schemeClr w14:val="tx1"/>
            </w14:solidFill>
          </w14:textFill>
        </w:rPr>
        <w:t xml:space="preserve">a </w:t>
      </w:r>
      <w:r>
        <w:rPr>
          <w:rFonts w:ascii="Times New Roman" w:hAnsi="Times New Roman" w:cs="Times New Roman"/>
          <w:color w:val="000000" w:themeColor="text1"/>
          <w:lang w:val="en-US"/>
          <w14:textFill>
            <w14:solidFill>
              <w14:schemeClr w14:val="tx1"/>
            </w14:solidFill>
          </w14:textFill>
        </w:rPr>
        <w:t xml:space="preserve">gas </w:t>
      </w:r>
      <w:r>
        <w:rPr>
          <w:rFonts w:ascii="Times New Roman" w:hAnsi="Times New Roman" w:eastAsia="宋体" w:cs="Times New Roman"/>
          <w:color w:val="000000" w:themeColor="text1"/>
          <w:lang w:val="en-US"/>
          <w14:textFill>
            <w14:solidFill>
              <w14:schemeClr w14:val="tx1"/>
            </w14:solidFill>
          </w14:textFill>
        </w:rPr>
        <w:t xml:space="preserve">pressure of </w:t>
      </w:r>
      <w:r>
        <w:rPr>
          <w:rFonts w:ascii="Times New Roman" w:hAnsi="Times New Roman" w:cs="Times New Roman"/>
          <w:color w:val="000000" w:themeColor="text1"/>
          <w:lang w:val="en-US"/>
          <w14:textFill>
            <w14:solidFill>
              <w14:schemeClr w14:val="tx1"/>
            </w14:solidFill>
          </w14:textFill>
        </w:rPr>
        <w:t xml:space="preserve">1/2 55/60 psi, </w:t>
      </w:r>
      <w:r>
        <w:rPr>
          <w:rFonts w:ascii="Times New Roman" w:hAnsi="Times New Roman" w:eastAsia="宋体" w:cs="Times New Roman"/>
          <w:color w:val="000000" w:themeColor="text1"/>
          <w:lang w:val="en-US"/>
          <w14:textFill>
            <w14:solidFill>
              <w14:schemeClr w14:val="tx1"/>
            </w14:solidFill>
          </w14:textFill>
        </w:rPr>
        <w:t xml:space="preserve">a </w:t>
      </w:r>
      <w:r>
        <w:rPr>
          <w:rFonts w:ascii="Times New Roman" w:hAnsi="Times New Roman" w:cs="Times New Roman"/>
          <w:color w:val="000000" w:themeColor="text1"/>
          <w:lang w:val="en-US"/>
          <w14:textFill>
            <w14:solidFill>
              <w14:schemeClr w14:val="tx1"/>
            </w14:solidFill>
          </w14:textFill>
        </w:rPr>
        <w:t xml:space="preserve">curtain gas </w:t>
      </w:r>
      <w:r>
        <w:rPr>
          <w:rFonts w:ascii="Times New Roman" w:hAnsi="Times New Roman" w:eastAsia="宋体" w:cs="Times New Roman"/>
          <w:color w:val="000000" w:themeColor="text1"/>
          <w:lang w:val="en-US"/>
          <w14:textFill>
            <w14:solidFill>
              <w14:schemeClr w14:val="tx1"/>
            </w14:solidFill>
          </w14:textFill>
        </w:rPr>
        <w:t xml:space="preserve">pressure of </w:t>
      </w:r>
      <w:r>
        <w:rPr>
          <w:rFonts w:ascii="Times New Roman" w:hAnsi="Times New Roman" w:cs="Times New Roman"/>
          <w:color w:val="000000" w:themeColor="text1"/>
          <w:lang w:val="en-US"/>
          <w14:textFill>
            <w14:solidFill>
              <w14:schemeClr w14:val="tx1"/>
            </w14:solidFill>
          </w14:textFill>
        </w:rPr>
        <w:t xml:space="preserve">35 psi, and </w:t>
      </w:r>
      <w:r>
        <w:rPr>
          <w:rFonts w:ascii="Times New Roman" w:hAnsi="Times New Roman" w:eastAsia="宋体" w:cs="Times New Roman"/>
          <w:color w:val="000000" w:themeColor="text1"/>
          <w:lang w:val="en-US"/>
          <w14:textFill>
            <w14:solidFill>
              <w14:schemeClr w14:val="tx1"/>
            </w14:solidFill>
          </w14:textFill>
        </w:rPr>
        <w:t xml:space="preserve">a </w:t>
      </w:r>
      <w:r>
        <w:rPr>
          <w:rFonts w:ascii="Times New Roman" w:hAnsi="Times New Roman" w:cs="Times New Roman"/>
          <w:color w:val="000000" w:themeColor="text1"/>
          <w:lang w:val="en-US"/>
          <w14:textFill>
            <w14:solidFill>
              <w14:schemeClr w14:val="tx1"/>
            </w14:solidFill>
          </w14:textFill>
        </w:rPr>
        <w:t xml:space="preserve">collision gas </w:t>
      </w:r>
      <w:r>
        <w:rPr>
          <w:rFonts w:ascii="Times New Roman" w:hAnsi="Times New Roman" w:eastAsia="宋体" w:cs="Times New Roman"/>
          <w:color w:val="000000" w:themeColor="text1"/>
          <w:lang w:val="en-US"/>
          <w14:textFill>
            <w14:solidFill>
              <w14:schemeClr w14:val="tx1"/>
            </w14:solidFill>
          </w14:textFill>
        </w:rPr>
        <w:t xml:space="preserve">pressure of </w:t>
      </w:r>
      <w:r>
        <w:rPr>
          <w:rFonts w:ascii="Times New Roman" w:hAnsi="Times New Roman" w:cs="Times New Roman"/>
          <w:color w:val="000000" w:themeColor="text1"/>
          <w:lang w:val="en-US"/>
          <w14:textFill>
            <w14:solidFill>
              <w14:schemeClr w14:val="tx1"/>
            </w14:solidFill>
          </w14:textFill>
        </w:rPr>
        <w:t xml:space="preserve">8 psi, with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 xml:space="preserve">DP/CE optimized for individual lipids. </w:t>
      </w:r>
      <w:r>
        <w:rPr>
          <w:rFonts w:ascii="Times New Roman" w:hAnsi="Times New Roman" w:eastAsia="宋体" w:cs="Times New Roman"/>
          <w:color w:val="000000" w:themeColor="text1"/>
          <w:lang w:val="en-US"/>
          <w14:textFill>
            <w14:solidFill>
              <w14:schemeClr w14:val="tx1"/>
            </w14:solidFill>
          </w14:textFill>
        </w:rPr>
        <w:t>The data</w:t>
      </w:r>
      <w:r>
        <w:rPr>
          <w:rFonts w:ascii="Times New Roman" w:hAnsi="Times New Roman" w:cs="Times New Roman"/>
          <w:color w:val="000000" w:themeColor="text1"/>
          <w:lang w:val="en-US"/>
          <w14:textFill>
            <w14:solidFill>
              <w14:schemeClr w14:val="tx1"/>
            </w14:solidFill>
          </w14:textFill>
        </w:rPr>
        <w:t xml:space="preserve"> were processed </w:t>
      </w:r>
      <w:r>
        <w:rPr>
          <w:rFonts w:ascii="Times New Roman" w:hAnsi="Times New Roman" w:eastAsia="宋体" w:cs="Times New Roman"/>
          <w:color w:val="000000" w:themeColor="text1"/>
          <w:lang w:val="en-US"/>
          <w14:textFill>
            <w14:solidFill>
              <w14:schemeClr w14:val="tx1"/>
            </w14:solidFill>
          </w14:textFill>
        </w:rPr>
        <w:t>via multiquant</w:t>
      </w:r>
      <w:r>
        <w:rPr>
          <w:rFonts w:ascii="Times New Roman" w:hAnsi="Times New Roman" w:cs="Times New Roman"/>
          <w:color w:val="000000" w:themeColor="text1"/>
          <w:lang w:val="en-US"/>
          <w14:textFill>
            <w14:solidFill>
              <w14:schemeClr w14:val="tx1"/>
            </w14:solidFill>
          </w14:textFill>
        </w:rPr>
        <w:t xml:space="preserve"> with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LIPID MAPS nomenclature.</w:t>
      </w:r>
    </w:p>
    <w:p w14:paraId="1827D53B">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lang w:val="en-US"/>
          <w14:textFill>
            <w14:solidFill>
              <w14:schemeClr w14:val="tx1"/>
            </w14:solidFill>
          </w14:textFill>
        </w:rPr>
        <w:t xml:space="preserve">2) Proteomic </w:t>
      </w:r>
      <w:r>
        <w:rPr>
          <w:rFonts w:ascii="Times New Roman" w:hAnsi="Times New Roman" w:eastAsia="宋体" w:cs="Times New Roman"/>
          <w:b/>
          <w:bCs/>
          <w:color w:val="000000" w:themeColor="text1"/>
          <w:lang w:val="en-US"/>
          <w14:textFill>
            <w14:solidFill>
              <w14:schemeClr w14:val="tx1"/>
            </w14:solidFill>
          </w14:textFill>
        </w:rPr>
        <w:t>analysis</w:t>
      </w:r>
    </w:p>
    <w:p w14:paraId="2B9287ED">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G-</w:t>
      </w:r>
      <w:r>
        <w:rPr>
          <w:rFonts w:ascii="Times New Roman" w:hAnsi="Times New Roman" w:eastAsia="宋体" w:cs="Times New Roman"/>
          <w:color w:val="000000" w:themeColor="text1"/>
          <w:lang w:val="en-US"/>
          <w14:textFill>
            <w14:solidFill>
              <w14:schemeClr w14:val="tx1"/>
            </w14:solidFill>
          </w14:textFill>
        </w:rPr>
        <w:t>Exo</w:t>
      </w:r>
      <w:r>
        <w:rPr>
          <w:rFonts w:ascii="Times New Roman" w:hAnsi="Times New Roman" w:cs="Times New Roman"/>
          <w:color w:val="000000" w:themeColor="text1"/>
          <w:lang w:val="en-US"/>
          <w14:textFill>
            <w14:solidFill>
              <w14:schemeClr w14:val="tx1"/>
            </w14:solidFill>
          </w14:textFill>
        </w:rPr>
        <w:t xml:space="preserve">-containing </w:t>
      </w:r>
      <w:r>
        <w:rPr>
          <w:rFonts w:ascii="Times New Roman" w:hAnsi="Times New Roman" w:eastAsia="宋体" w:cs="Times New Roman"/>
          <w:color w:val="000000" w:themeColor="text1"/>
          <w:lang w:val="en-US"/>
          <w14:textFill>
            <w14:solidFill>
              <w14:schemeClr w14:val="tx1"/>
            </w14:solidFill>
          </w14:textFill>
        </w:rPr>
        <w:t>proteins</w:t>
      </w:r>
      <w:r>
        <w:rPr>
          <w:rFonts w:ascii="Times New Roman" w:hAnsi="Times New Roman" w:cs="Times New Roman"/>
          <w:color w:val="000000" w:themeColor="text1"/>
          <w:lang w:val="en-US"/>
          <w14:textFill>
            <w14:solidFill>
              <w14:schemeClr w14:val="tx1"/>
            </w14:solidFill>
          </w14:textFill>
        </w:rPr>
        <w:t xml:space="preserve"> were extracted from beads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SDT buffer (4% SDS, 100 mM Tris-HCl), reduced (TCEP/CAA, 100°C, 5 min), alkylated (8 M urea, 150 mM Tris-HCl, pH 8.0), and digested with trypsin (20 ng/μL, 37°C, </w:t>
      </w:r>
      <w:r>
        <w:rPr>
          <w:rFonts w:ascii="Times New Roman" w:hAnsi="Times New Roman" w:eastAsia="宋体" w:cs="Times New Roman"/>
          <w:color w:val="000000" w:themeColor="text1"/>
          <w:lang w:val="en-US"/>
          <w14:textFill>
            <w14:solidFill>
              <w14:schemeClr w14:val="tx1"/>
            </w14:solidFill>
          </w14:textFill>
        </w:rPr>
        <w:t>16–18</w:t>
      </w:r>
      <w:r>
        <w:rPr>
          <w:rFonts w:ascii="Times New Roman" w:hAnsi="Times New Roman" w:cs="Times New Roman"/>
          <w:color w:val="000000" w:themeColor="text1"/>
          <w:lang w:val="en-US"/>
          <w14:textFill>
            <w14:solidFill>
              <w14:schemeClr w14:val="tx1"/>
            </w14:solidFill>
          </w14:textFill>
        </w:rPr>
        <w:t xml:space="preserve"> h). </w:t>
      </w:r>
      <w:r>
        <w:rPr>
          <w:rFonts w:ascii="Times New Roman" w:hAnsi="Times New Roman" w:eastAsia="宋体" w:cs="Times New Roman"/>
          <w:color w:val="000000" w:themeColor="text1"/>
          <w:lang w:val="en-US"/>
          <w14:textFill>
            <w14:solidFill>
              <w14:schemeClr w14:val="tx1"/>
            </w14:solidFill>
          </w14:textFill>
        </w:rPr>
        <w:t>The peptides</w:t>
      </w:r>
      <w:r>
        <w:rPr>
          <w:rFonts w:ascii="Times New Roman" w:hAnsi="Times New Roman" w:cs="Times New Roman"/>
          <w:color w:val="000000" w:themeColor="text1"/>
          <w:lang w:val="en-US"/>
          <w14:textFill>
            <w14:solidFill>
              <w14:schemeClr w14:val="tx1"/>
            </w14:solidFill>
          </w14:textFill>
        </w:rPr>
        <w:t xml:space="preserve"> were desalted (C18 StageTips) and analyzed </w:t>
      </w:r>
      <w:r>
        <w:rPr>
          <w:rFonts w:ascii="Times New Roman" w:hAnsi="Times New Roman" w:eastAsia="宋体" w:cs="Times New Roman"/>
          <w:color w:val="000000" w:themeColor="text1"/>
          <w:lang w:val="en-US"/>
          <w14:textFill>
            <w14:solidFill>
              <w14:schemeClr w14:val="tx1"/>
            </w14:solidFill>
          </w14:textFill>
        </w:rPr>
        <w:t>via LC‒MS</w:t>
      </w:r>
      <w:r>
        <w:rPr>
          <w:rFonts w:ascii="Times New Roman" w:hAnsi="Times New Roman" w:cs="Times New Roman"/>
          <w:color w:val="000000" w:themeColor="text1"/>
          <w:lang w:val="en-US"/>
          <w14:textFill>
            <w14:solidFill>
              <w14:schemeClr w14:val="tx1"/>
            </w14:solidFill>
          </w14:textFill>
        </w:rPr>
        <w:t xml:space="preserve">/MS (Q Exactive HF; Easy nLC; 60-min gradient: </w:t>
      </w:r>
      <w:r>
        <w:rPr>
          <w:rFonts w:ascii="Times New Roman" w:hAnsi="Times New Roman" w:eastAsia="宋体" w:cs="Times New Roman"/>
          <w:color w:val="000000" w:themeColor="text1"/>
          <w:lang w:val="en-US"/>
          <w14:textFill>
            <w14:solidFill>
              <w14:schemeClr w14:val="tx1"/>
            </w14:solidFill>
          </w14:textFill>
        </w:rPr>
        <w:t>5‒100%</w:t>
      </w:r>
      <w:r>
        <w:rPr>
          <w:rFonts w:ascii="Times New Roman" w:hAnsi="Times New Roman" w:cs="Times New Roman"/>
          <w:color w:val="000000" w:themeColor="text1"/>
          <w:lang w:val="en-US"/>
          <w14:textFill>
            <w14:solidFill>
              <w14:schemeClr w14:val="tx1"/>
            </w14:solidFill>
          </w14:textFill>
        </w:rPr>
        <w:t xml:space="preserve"> acetonitrile/0.1% formic acid). </w:t>
      </w:r>
      <w:r>
        <w:rPr>
          <w:rFonts w:ascii="Times New Roman" w:hAnsi="Times New Roman" w:eastAsia="宋体" w:cs="Times New Roman"/>
          <w:color w:val="000000" w:themeColor="text1"/>
          <w:lang w:val="en-US"/>
          <w14:textFill>
            <w14:solidFill>
              <w14:schemeClr w14:val="tx1"/>
            </w14:solidFill>
          </w14:textFill>
        </w:rPr>
        <w:t>The data</w:t>
      </w:r>
      <w:r>
        <w:rPr>
          <w:rFonts w:ascii="Times New Roman" w:hAnsi="Times New Roman" w:cs="Times New Roman"/>
          <w:color w:val="000000" w:themeColor="text1"/>
          <w:lang w:val="en-US"/>
          <w14:textFill>
            <w14:solidFill>
              <w14:schemeClr w14:val="tx1"/>
            </w14:solidFill>
          </w14:textFill>
        </w:rPr>
        <w:t xml:space="preserve"> were processed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MaxQuant (v1.5.8.3) against UniProtKB Human (2017) with </w:t>
      </w:r>
      <w:r>
        <w:rPr>
          <w:rFonts w:ascii="Times New Roman" w:hAnsi="Times New Roman" w:eastAsia="宋体" w:cs="Times New Roman"/>
          <w:color w:val="000000" w:themeColor="text1"/>
          <w:lang w:val="en-US"/>
          <w14:textFill>
            <w14:solidFill>
              <w14:schemeClr w14:val="tx1"/>
            </w14:solidFill>
          </w14:textFill>
        </w:rPr>
        <w:t xml:space="preserve">a </w:t>
      </w:r>
      <w:r>
        <w:rPr>
          <w:rFonts w:ascii="Times New Roman" w:hAnsi="Times New Roman" w:cs="Times New Roman"/>
          <w:color w:val="000000" w:themeColor="text1"/>
          <w:lang w:val="en-US"/>
          <w14:textFill>
            <w14:solidFill>
              <w14:schemeClr w14:val="tx1"/>
            </w14:solidFill>
          </w14:textFill>
        </w:rPr>
        <w:t>1% FDR.</w:t>
      </w:r>
    </w:p>
    <w:p w14:paraId="7CE8F2AA">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lang w:val="en-US"/>
          <w14:textFill>
            <w14:solidFill>
              <w14:schemeClr w14:val="tx1"/>
            </w14:solidFill>
          </w14:textFill>
        </w:rPr>
        <w:t xml:space="preserve">3) </w:t>
      </w:r>
      <w:r>
        <w:rPr>
          <w:rFonts w:ascii="Times New Roman" w:hAnsi="Times New Roman" w:eastAsia="宋体" w:cs="Times New Roman"/>
          <w:b/>
          <w:bCs/>
          <w:color w:val="000000" w:themeColor="text1"/>
          <w:lang w:val="en-US"/>
          <w14:textFill>
            <w14:solidFill>
              <w14:schemeClr w14:val="tx1"/>
            </w14:solidFill>
          </w14:textFill>
        </w:rPr>
        <w:t>miRNA analysis</w:t>
      </w:r>
    </w:p>
    <w:p w14:paraId="2E85D8DF">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Total RNA was extracted </w:t>
      </w:r>
      <w:r>
        <w:rPr>
          <w:rFonts w:ascii="Times New Roman" w:hAnsi="Times New Roman" w:eastAsia="宋体" w:cs="Times New Roman"/>
          <w:color w:val="000000" w:themeColor="text1"/>
          <w:lang w:val="en-US"/>
          <w14:textFill>
            <w14:solidFill>
              <w14:schemeClr w14:val="tx1"/>
            </w14:solidFill>
          </w14:textFill>
        </w:rPr>
        <w:t>via TRIzol</w:t>
      </w:r>
      <w:r>
        <w:rPr>
          <w:rFonts w:ascii="Times New Roman" w:hAnsi="Times New Roman" w:cs="Times New Roman"/>
          <w:color w:val="000000" w:themeColor="text1"/>
          <w:lang w:val="en-US"/>
          <w14:textFill>
            <w14:solidFill>
              <w14:schemeClr w14:val="tx1"/>
            </w14:solidFill>
          </w14:textFill>
        </w:rPr>
        <w:t xml:space="preserve"> (Invitrogen) and quality-checked with </w:t>
      </w:r>
      <w:r>
        <w:rPr>
          <w:rFonts w:ascii="Times New Roman" w:hAnsi="Times New Roman" w:eastAsia="宋体" w:cs="Times New Roman"/>
          <w:color w:val="000000" w:themeColor="text1"/>
          <w:lang w:val="en-US"/>
          <w14:textFill>
            <w14:solidFill>
              <w14:schemeClr w14:val="tx1"/>
            </w14:solidFill>
          </w14:textFill>
        </w:rPr>
        <w:t xml:space="preserve">a </w:t>
      </w:r>
      <w:r>
        <w:rPr>
          <w:rFonts w:ascii="Times New Roman" w:hAnsi="Times New Roman" w:cs="Times New Roman"/>
          <w:color w:val="000000" w:themeColor="text1"/>
          <w:lang w:val="en-US"/>
          <w14:textFill>
            <w14:solidFill>
              <w14:schemeClr w14:val="tx1"/>
            </w14:solidFill>
          </w14:textFill>
        </w:rPr>
        <w:t xml:space="preserve">NanoDrop. </w:t>
      </w:r>
      <w:r>
        <w:rPr>
          <w:rFonts w:ascii="Times New Roman" w:hAnsi="Times New Roman" w:eastAsia="宋体" w:cs="Times New Roman"/>
          <w:color w:val="000000" w:themeColor="text1"/>
          <w:lang w:val="en-US"/>
          <w14:textFill>
            <w14:solidFill>
              <w14:schemeClr w14:val="tx1"/>
            </w14:solidFill>
          </w14:textFill>
        </w:rPr>
        <w:t>For</w:t>
      </w:r>
      <w:r>
        <w:rPr>
          <w:rFonts w:ascii="Times New Roman" w:hAnsi="Times New Roman" w:cs="Times New Roman"/>
          <w:color w:val="000000" w:themeColor="text1"/>
          <w:lang w:val="en-US"/>
          <w14:textFill>
            <w14:solidFill>
              <w14:schemeClr w14:val="tx1"/>
            </w14:solidFill>
          </w14:textFill>
        </w:rPr>
        <w:t xml:space="preserve"> 3 μg </w:t>
      </w:r>
      <w:r>
        <w:rPr>
          <w:rFonts w:ascii="Times New Roman" w:hAnsi="Times New Roman" w:eastAsia="宋体" w:cs="Times New Roman"/>
          <w:color w:val="000000" w:themeColor="text1"/>
          <w:lang w:val="en-US"/>
          <w14:textFill>
            <w14:solidFill>
              <w14:schemeClr w14:val="tx1"/>
            </w14:solidFill>
          </w14:textFill>
        </w:rPr>
        <w:t xml:space="preserve">of </w:t>
      </w:r>
      <w:r>
        <w:rPr>
          <w:rFonts w:ascii="Times New Roman" w:hAnsi="Times New Roman" w:cs="Times New Roman"/>
          <w:color w:val="000000" w:themeColor="text1"/>
          <w:lang w:val="en-US"/>
          <w14:textFill>
            <w14:solidFill>
              <w14:schemeClr w14:val="tx1"/>
            </w14:solidFill>
          </w14:textFill>
        </w:rPr>
        <w:t>RNA, sequencing libraries were prepared through mRNA enrichment (poly-T beads), fragmentation (Illumina buffer with divalent cations), cDNA synthesis (SuperScript II/DNA Polymerase I), end repair/adapter ligation, size selection (400-</w:t>
      </w:r>
      <w:r>
        <w:rPr>
          <w:rFonts w:ascii="Times New Roman" w:hAnsi="Times New Roman" w:eastAsia="宋体" w:cs="Times New Roman"/>
          <w:color w:val="000000" w:themeColor="text1"/>
          <w:lang w:val="en-US"/>
          <w14:textFill>
            <w14:solidFill>
              <w14:schemeClr w14:val="tx1"/>
            </w14:solidFill>
          </w14:textFill>
        </w:rPr>
        <w:t>-</w:t>
      </w:r>
      <w:r>
        <w:rPr>
          <w:rFonts w:ascii="Times New Roman" w:hAnsi="Times New Roman" w:cs="Times New Roman"/>
          <w:color w:val="000000" w:themeColor="text1"/>
          <w:lang w:val="en-US"/>
          <w14:textFill>
            <w14:solidFill>
              <w14:schemeClr w14:val="tx1"/>
            </w14:solidFill>
          </w14:textFill>
        </w:rPr>
        <w:t xml:space="preserve">500 bp, AMPure XP), and PCR enrichment (15 cycles). Library quality was verified </w:t>
      </w:r>
      <w:r>
        <w:rPr>
          <w:rFonts w:ascii="Times New Roman" w:hAnsi="Times New Roman" w:eastAsia="宋体" w:cs="Times New Roman"/>
          <w:color w:val="000000" w:themeColor="text1"/>
          <w:lang w:val="en-US"/>
          <w14:textFill>
            <w14:solidFill>
              <w14:schemeClr w14:val="tx1"/>
            </w14:solidFill>
          </w14:textFill>
        </w:rPr>
        <w:t>via a</w:t>
      </w:r>
      <w:r>
        <w:rPr>
          <w:rFonts w:ascii="Times New Roman" w:hAnsi="Times New Roman" w:cs="Times New Roman"/>
          <w:color w:val="000000" w:themeColor="text1"/>
          <w:lang w:val="en-US"/>
          <w14:textFill>
            <w14:solidFill>
              <w14:schemeClr w14:val="tx1"/>
            </w14:solidFill>
          </w14:textFill>
        </w:rPr>
        <w:t xml:space="preserve"> Bioanalyzer 2100 (Agilent) before 150-bp paired-end sequencing on </w:t>
      </w:r>
      <w:r>
        <w:rPr>
          <w:rFonts w:ascii="Times New Roman" w:hAnsi="Times New Roman" w:eastAsia="宋体" w:cs="Times New Roman"/>
          <w:color w:val="000000" w:themeColor="text1"/>
          <w:lang w:val="en-US"/>
          <w14:textFill>
            <w14:solidFill>
              <w14:schemeClr w14:val="tx1"/>
            </w14:solidFill>
          </w14:textFill>
        </w:rPr>
        <w:t xml:space="preserve">a </w:t>
      </w:r>
      <w:r>
        <w:rPr>
          <w:rFonts w:ascii="Times New Roman" w:hAnsi="Times New Roman" w:cs="Times New Roman"/>
          <w:color w:val="000000" w:themeColor="text1"/>
          <w:lang w:val="en-US"/>
          <w14:textFill>
            <w14:solidFill>
              <w14:schemeClr w14:val="tx1"/>
            </w14:solidFill>
          </w14:textFill>
        </w:rPr>
        <w:t xml:space="preserve">NovaSeq Xplus </w:t>
      </w:r>
      <w:r>
        <w:rPr>
          <w:rFonts w:ascii="Times New Roman" w:hAnsi="Times New Roman" w:eastAsia="宋体" w:cs="Times New Roman"/>
          <w:color w:val="000000" w:themeColor="text1"/>
          <w:lang w:val="en-US"/>
          <w14:textFill>
            <w14:solidFill>
              <w14:schemeClr w14:val="tx1"/>
            </w14:solidFill>
          </w14:textFill>
        </w:rPr>
        <w:t xml:space="preserve">instrument </w:t>
      </w:r>
      <w:r>
        <w:rPr>
          <w:rFonts w:ascii="Times New Roman" w:hAnsi="Times New Roman" w:cs="Times New Roman"/>
          <w:color w:val="000000" w:themeColor="text1"/>
          <w:lang w:val="en-US"/>
          <w14:textFill>
            <w14:solidFill>
              <w14:schemeClr w14:val="tx1"/>
            </w14:solidFill>
          </w14:textFill>
        </w:rPr>
        <w:t>(Illumina).</w:t>
      </w:r>
    </w:p>
    <w:p w14:paraId="718CB56F">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lang w:val="en-US"/>
          <w14:textFill>
            <w14:solidFill>
              <w14:schemeClr w14:val="tx1"/>
            </w14:solidFill>
          </w14:textFill>
        </w:rPr>
        <w:t xml:space="preserve">Synthesis and </w:t>
      </w:r>
      <w:r>
        <w:rPr>
          <w:rFonts w:ascii="Times New Roman" w:hAnsi="Times New Roman" w:eastAsia="宋体" w:cs="Times New Roman"/>
          <w:b/>
          <w:bCs/>
          <w:color w:val="000000" w:themeColor="text1"/>
          <w:lang w:val="en-US"/>
          <w14:textFill>
            <w14:solidFill>
              <w14:schemeClr w14:val="tx1"/>
            </w14:solidFill>
          </w14:textFill>
        </w:rPr>
        <w:t>characterization of the PDA@PEG nanoparticles</w:t>
      </w:r>
    </w:p>
    <w:p w14:paraId="0440A31C">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PDA was synthesized by vigorously stirring 360 mg </w:t>
      </w:r>
      <w:r>
        <w:rPr>
          <w:rFonts w:ascii="Times New Roman" w:hAnsi="Times New Roman" w:eastAsia="宋体" w:cs="Times New Roman"/>
          <w:color w:val="000000" w:themeColor="text1"/>
          <w:lang w:val="en-US"/>
          <w14:textFill>
            <w14:solidFill>
              <w14:schemeClr w14:val="tx1"/>
            </w14:solidFill>
          </w14:textFill>
        </w:rPr>
        <w:t xml:space="preserve">of </w:t>
      </w:r>
      <w:r>
        <w:rPr>
          <w:rFonts w:ascii="Times New Roman" w:hAnsi="Times New Roman" w:cs="Times New Roman"/>
          <w:color w:val="000000" w:themeColor="text1"/>
          <w:lang w:val="en-US"/>
          <w14:textFill>
            <w14:solidFill>
              <w14:schemeClr w14:val="tx1"/>
            </w14:solidFill>
          </w14:textFill>
        </w:rPr>
        <w:t xml:space="preserve">dopamine hydrochloride in 180 mL </w:t>
      </w:r>
      <w:r>
        <w:rPr>
          <w:rFonts w:ascii="Times New Roman" w:hAnsi="Times New Roman" w:eastAsia="宋体" w:cs="Times New Roman"/>
          <w:color w:val="000000" w:themeColor="text1"/>
          <w:lang w:val="en-US"/>
          <w14:textFill>
            <w14:solidFill>
              <w14:schemeClr w14:val="tx1"/>
            </w14:solidFill>
          </w14:textFill>
        </w:rPr>
        <w:t xml:space="preserve">of </w:t>
      </w:r>
      <w:r>
        <w:rPr>
          <w:rFonts w:ascii="Times New Roman" w:hAnsi="Times New Roman" w:cs="Times New Roman"/>
          <w:color w:val="000000" w:themeColor="text1"/>
          <w:lang w:val="en-US"/>
          <w14:textFill>
            <w14:solidFill>
              <w14:schemeClr w14:val="tx1"/>
            </w14:solidFill>
          </w14:textFill>
        </w:rPr>
        <w:t xml:space="preserve">deionized water at 50°C, followed by </w:t>
      </w:r>
      <w:r>
        <w:rPr>
          <w:rFonts w:ascii="Times New Roman" w:hAnsi="Times New Roman" w:eastAsia="宋体" w:cs="Times New Roman"/>
          <w:color w:val="000000" w:themeColor="text1"/>
          <w:lang w:val="en-US"/>
          <w14:textFill>
            <w14:solidFill>
              <w14:schemeClr w14:val="tx1"/>
            </w14:solidFill>
          </w14:textFill>
        </w:rPr>
        <w:t>the addition of</w:t>
      </w:r>
      <w:r>
        <w:rPr>
          <w:rFonts w:ascii="Times New Roman" w:hAnsi="Times New Roman" w:cs="Times New Roman"/>
          <w:color w:val="000000" w:themeColor="text1"/>
          <w:lang w:val="en-US"/>
          <w14:textFill>
            <w14:solidFill>
              <w14:schemeClr w14:val="tx1"/>
            </w14:solidFill>
          </w14:textFill>
        </w:rPr>
        <w:t xml:space="preserve"> 1520 μL </w:t>
      </w:r>
      <w:r>
        <w:rPr>
          <w:rFonts w:ascii="Times New Roman" w:hAnsi="Times New Roman" w:eastAsia="宋体" w:cs="Times New Roman"/>
          <w:color w:val="000000" w:themeColor="text1"/>
          <w:lang w:val="en-US"/>
          <w14:textFill>
            <w14:solidFill>
              <w14:schemeClr w14:val="tx1"/>
            </w14:solidFill>
          </w14:textFill>
        </w:rPr>
        <w:t xml:space="preserve">of </w:t>
      </w:r>
      <w:r>
        <w:rPr>
          <w:rFonts w:ascii="Times New Roman" w:hAnsi="Times New Roman" w:cs="Times New Roman"/>
          <w:color w:val="000000" w:themeColor="text1"/>
          <w:lang w:val="en-US"/>
          <w14:textFill>
            <w14:solidFill>
              <w14:schemeClr w14:val="tx1"/>
            </w14:solidFill>
          </w14:textFill>
        </w:rPr>
        <w:t xml:space="preserve">NaOH (1 M) and </w:t>
      </w:r>
      <w:r>
        <w:rPr>
          <w:rFonts w:ascii="Times New Roman" w:hAnsi="Times New Roman" w:eastAsia="宋体" w:cs="Times New Roman"/>
          <w:color w:val="000000" w:themeColor="text1"/>
          <w:lang w:val="en-US"/>
          <w14:textFill>
            <w14:solidFill>
              <w14:schemeClr w14:val="tx1"/>
            </w14:solidFill>
          </w14:textFill>
        </w:rPr>
        <w:t>reaction</w:t>
      </w:r>
      <w:r>
        <w:rPr>
          <w:rFonts w:ascii="Times New Roman" w:hAnsi="Times New Roman" w:cs="Times New Roman"/>
          <w:color w:val="000000" w:themeColor="text1"/>
          <w:lang w:val="en-US"/>
          <w14:textFill>
            <w14:solidFill>
              <w14:schemeClr w14:val="tx1"/>
            </w14:solidFill>
          </w14:textFill>
        </w:rPr>
        <w:t xml:space="preserve"> for 5 h. The resulting suspension was purified via repeated centrifugation (12,000 rpm, 10 min)</w:t>
      </w:r>
      <w:r>
        <w:rPr>
          <w:rFonts w:ascii="Times New Roman" w:hAnsi="Times New Roman" w:eastAsia="宋体" w:cs="Times New Roman"/>
          <w:color w:val="000000" w:themeColor="text1"/>
          <w:lang w:val="en-US"/>
          <w14:textFill>
            <w14:solidFill>
              <w14:schemeClr w14:val="tx1"/>
            </w14:solidFill>
          </w14:textFill>
        </w:rPr>
        <w:t>, rinsed with water, and</w:t>
      </w:r>
      <w:r>
        <w:rPr>
          <w:rFonts w:ascii="Times New Roman" w:hAnsi="Times New Roman" w:cs="Times New Roman"/>
          <w:color w:val="000000" w:themeColor="text1"/>
          <w:lang w:val="en-US"/>
          <w14:textFill>
            <w14:solidFill>
              <w14:schemeClr w14:val="tx1"/>
            </w14:solidFill>
          </w14:textFill>
        </w:rPr>
        <w:t xml:space="preserve"> then lyophilized. For PEGylation, 10 mg </w:t>
      </w:r>
      <w:r>
        <w:rPr>
          <w:rFonts w:ascii="Times New Roman" w:hAnsi="Times New Roman" w:eastAsia="宋体" w:cs="Times New Roman"/>
          <w:color w:val="000000" w:themeColor="text1"/>
          <w:lang w:val="en-US"/>
          <w14:textFill>
            <w14:solidFill>
              <w14:schemeClr w14:val="tx1"/>
            </w14:solidFill>
          </w14:textFill>
        </w:rPr>
        <w:t xml:space="preserve">of </w:t>
      </w:r>
      <w:r>
        <w:rPr>
          <w:rFonts w:ascii="Times New Roman" w:hAnsi="Times New Roman" w:cs="Times New Roman"/>
          <w:color w:val="000000" w:themeColor="text1"/>
          <w:lang w:val="en-US"/>
          <w14:textFill>
            <w14:solidFill>
              <w14:schemeClr w14:val="tx1"/>
            </w14:solidFill>
          </w14:textFill>
        </w:rPr>
        <w:t xml:space="preserve">PDA was dissolved in 5 mL </w:t>
      </w:r>
      <w:r>
        <w:rPr>
          <w:rFonts w:ascii="Times New Roman" w:hAnsi="Times New Roman" w:eastAsia="宋体" w:cs="Times New Roman"/>
          <w:color w:val="000000" w:themeColor="text1"/>
          <w:lang w:val="en-US"/>
          <w14:textFill>
            <w14:solidFill>
              <w14:schemeClr w14:val="tx1"/>
            </w14:solidFill>
          </w14:textFill>
        </w:rPr>
        <w:t xml:space="preserve">of </w:t>
      </w:r>
      <w:r>
        <w:rPr>
          <w:rFonts w:ascii="Times New Roman" w:hAnsi="Times New Roman" w:cs="Times New Roman"/>
          <w:color w:val="000000" w:themeColor="text1"/>
          <w:lang w:val="en-US"/>
          <w14:textFill>
            <w14:solidFill>
              <w14:schemeClr w14:val="tx1"/>
            </w14:solidFill>
          </w14:textFill>
        </w:rPr>
        <w:t xml:space="preserve">water, mixed with 100 mg </w:t>
      </w:r>
      <w:r>
        <w:rPr>
          <w:rFonts w:ascii="Times New Roman" w:hAnsi="Times New Roman" w:eastAsia="宋体" w:cs="Times New Roman"/>
          <w:color w:val="000000" w:themeColor="text1"/>
          <w:lang w:val="en-US"/>
          <w14:textFill>
            <w14:solidFill>
              <w14:schemeClr w14:val="tx1"/>
            </w14:solidFill>
          </w14:textFill>
        </w:rPr>
        <w:t xml:space="preserve">of </w:t>
      </w:r>
      <w:r>
        <w:rPr>
          <w:rFonts w:ascii="Times New Roman" w:hAnsi="Times New Roman" w:cs="Times New Roman"/>
          <w:color w:val="000000" w:themeColor="text1"/>
          <w:lang w:val="en-US"/>
          <w14:textFill>
            <w14:solidFill>
              <w14:schemeClr w14:val="tx1"/>
            </w14:solidFill>
          </w14:textFill>
        </w:rPr>
        <w:t xml:space="preserve">mPEG5000-NH₂ in 500 μL </w:t>
      </w:r>
      <w:r>
        <w:rPr>
          <w:rFonts w:ascii="Times New Roman" w:hAnsi="Times New Roman" w:eastAsia="宋体" w:cs="Times New Roman"/>
          <w:color w:val="000000" w:themeColor="text1"/>
          <w:lang w:val="en-US"/>
          <w14:textFill>
            <w14:solidFill>
              <w14:schemeClr w14:val="tx1"/>
            </w14:solidFill>
          </w14:textFill>
        </w:rPr>
        <w:t xml:space="preserve">of </w:t>
      </w:r>
      <w:r>
        <w:rPr>
          <w:rFonts w:ascii="Times New Roman" w:hAnsi="Times New Roman" w:cs="Times New Roman"/>
          <w:color w:val="000000" w:themeColor="text1"/>
          <w:lang w:val="en-US"/>
          <w14:textFill>
            <w14:solidFill>
              <w14:schemeClr w14:val="tx1"/>
            </w14:solidFill>
          </w14:textFill>
        </w:rPr>
        <w:t xml:space="preserve">water under ice-bath sonication (40 min, pulsed mode: 2 s on/3 s off), and stirred at RT for 12 h. The product was dialyzed (MWCO: </w:t>
      </w:r>
      <w:r>
        <w:rPr>
          <w:rFonts w:ascii="Times New Roman" w:hAnsi="Times New Roman" w:eastAsia="宋体" w:cs="Times New Roman"/>
          <w:color w:val="000000" w:themeColor="text1"/>
          <w:lang w:val="en-US"/>
          <w14:textFill>
            <w14:solidFill>
              <w14:schemeClr w14:val="tx1"/>
            </w14:solidFill>
          </w14:textFill>
        </w:rPr>
        <w:t>8–14</w:t>
      </w:r>
      <w:r>
        <w:rPr>
          <w:rFonts w:ascii="Times New Roman" w:hAnsi="Times New Roman" w:cs="Times New Roman"/>
          <w:color w:val="000000" w:themeColor="text1"/>
          <w:lang w:val="en-US"/>
          <w14:textFill>
            <w14:solidFill>
              <w14:schemeClr w14:val="tx1"/>
            </w14:solidFill>
          </w14:textFill>
        </w:rPr>
        <w:t xml:space="preserve"> kDa, 48 h) with frequent water replacement. The nanoparticles were characterized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dynamic light scattering (DLS, Zetasizer), transmission electron microscopy (TEM, carbon-coated copper grid), scanning electron microscopy (SEM), Fourier</w:t>
      </w:r>
      <w:r>
        <w:rPr>
          <w:rFonts w:ascii="Times New Roman" w:hAnsi="Times New Roman" w:eastAsia="宋体" w:cs="Times New Roman"/>
          <w:color w:val="000000" w:themeColor="text1"/>
          <w:lang w:val="en-US"/>
          <w14:textFill>
            <w14:solidFill>
              <w14:schemeClr w14:val="tx1"/>
            </w14:solidFill>
          </w14:textFill>
        </w:rPr>
        <w:t xml:space="preserve"> </w:t>
      </w:r>
      <w:r>
        <w:rPr>
          <w:rFonts w:ascii="Times New Roman" w:hAnsi="Times New Roman" w:cs="Times New Roman"/>
          <w:color w:val="000000" w:themeColor="text1"/>
          <w:lang w:val="en-US"/>
          <w14:textFill>
            <w14:solidFill>
              <w14:schemeClr w14:val="tx1"/>
            </w14:solidFill>
          </w14:textFill>
        </w:rPr>
        <w:t xml:space="preserve">transform infrared spectroscopy (FT-IR, Nicolet iS10, KBr pellets, </w:t>
      </w:r>
      <w:r>
        <w:rPr>
          <w:rFonts w:ascii="Times New Roman" w:hAnsi="Times New Roman" w:eastAsia="宋体" w:cs="Times New Roman"/>
          <w:color w:val="000000" w:themeColor="text1"/>
          <w:lang w:val="en-US"/>
          <w14:textFill>
            <w14:solidFill>
              <w14:schemeClr w14:val="tx1"/>
            </w14:solidFill>
          </w14:textFill>
        </w:rPr>
        <w:t>500–4000</w:t>
      </w:r>
      <w:r>
        <w:rPr>
          <w:rFonts w:ascii="Times New Roman" w:hAnsi="Times New Roman" w:cs="Times New Roman"/>
          <w:color w:val="000000" w:themeColor="text1"/>
          <w:lang w:val="en-US"/>
          <w14:textFill>
            <w14:solidFill>
              <w14:schemeClr w14:val="tx1"/>
            </w14:solidFill>
          </w14:textFill>
        </w:rPr>
        <w:t xml:space="preserve"> cm</w:t>
      </w:r>
      <w:r>
        <w:rPr>
          <w:rFonts w:ascii="Times New Roman" w:hAnsi="Times New Roman" w:cs="Times New Roman"/>
          <w:color w:val="000000" w:themeColor="text1"/>
          <w:vertAlign w:val="superscript"/>
          <w:lang w:val="en-US"/>
          <w14:textFill>
            <w14:solidFill>
              <w14:schemeClr w14:val="tx1"/>
            </w14:solidFill>
          </w14:textFill>
        </w:rPr>
        <w:t>-1</w:t>
      </w:r>
      <w:r>
        <w:rPr>
          <w:rFonts w:ascii="Times New Roman" w:hAnsi="Times New Roman" w:cs="Times New Roman"/>
          <w:color w:val="000000" w:themeColor="text1"/>
          <w:lang w:val="en-US"/>
          <w14:textFill>
            <w14:solidFill>
              <w14:schemeClr w14:val="tx1"/>
            </w14:solidFill>
          </w14:textFill>
        </w:rPr>
        <w:t>), and X-ray photoelectron spectroscopy (XPS). Colloidal stability was evaluated by monitoring particle size over 8 weeks at 25°C.</w:t>
      </w:r>
    </w:p>
    <w:p w14:paraId="7D1718DB">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lang w:val="en-US"/>
          <w14:textFill>
            <w14:solidFill>
              <w14:schemeClr w14:val="tx1"/>
            </w14:solidFill>
          </w14:textFill>
        </w:rPr>
        <w:t xml:space="preserve">Preparation and </w:t>
      </w:r>
      <w:r>
        <w:rPr>
          <w:rFonts w:ascii="Times New Roman" w:hAnsi="Times New Roman" w:eastAsia="宋体" w:cs="Times New Roman"/>
          <w:b/>
          <w:bCs/>
          <w:color w:val="000000" w:themeColor="text1"/>
          <w:lang w:val="en-US"/>
          <w14:textFill>
            <w14:solidFill>
              <w14:schemeClr w14:val="tx1"/>
            </w14:solidFill>
          </w14:textFill>
        </w:rPr>
        <w:t>characterization</w:t>
      </w:r>
      <w:r>
        <w:rPr>
          <w:rFonts w:ascii="Times New Roman" w:hAnsi="Times New Roman" w:cs="Times New Roman"/>
          <w:b/>
          <w:bCs/>
          <w:color w:val="000000" w:themeColor="text1"/>
          <w:lang w:val="en-US"/>
          <w14:textFill>
            <w14:solidFill>
              <w14:schemeClr w14:val="tx1"/>
            </w14:solidFill>
          </w14:textFill>
        </w:rPr>
        <w:t xml:space="preserve"> of G-Exos@TM</w:t>
      </w:r>
    </w:p>
    <w:p w14:paraId="11628995">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A solution of TM (10 mg/mL) was prepared in ultrapure water by gentle heating in a water bath at 50–60°C followed by sonication to ensure complete dissolution. </w:t>
      </w:r>
      <w:r>
        <w:rPr>
          <w:rFonts w:ascii="Times New Roman" w:hAnsi="Times New Roman" w:eastAsia="宋体" w:cs="Times New Roman"/>
          <w:color w:val="000000" w:themeColor="text1"/>
          <w:lang w:val="en-US"/>
          <w14:textFill>
            <w14:solidFill>
              <w14:schemeClr w14:val="tx1"/>
            </w14:solidFill>
          </w14:textFill>
        </w:rPr>
        <w:t>The</w:t>
      </w:r>
      <w:r>
        <w:rPr>
          <w:rFonts w:ascii="Times New Roman" w:hAnsi="Times New Roman" w:cs="Times New Roman"/>
          <w:color w:val="000000" w:themeColor="text1"/>
          <w:lang w:val="en-US"/>
          <w14:textFill>
            <w14:solidFill>
              <w14:schemeClr w14:val="tx1"/>
            </w14:solidFill>
          </w14:textFill>
        </w:rPr>
        <w:t xml:space="preserve"> G-Exos solution was </w:t>
      </w:r>
      <w:r>
        <w:rPr>
          <w:rFonts w:ascii="Times New Roman" w:hAnsi="Times New Roman" w:eastAsia="宋体" w:cs="Times New Roman"/>
          <w:color w:val="000000" w:themeColor="text1"/>
          <w:lang w:val="en-US"/>
          <w14:textFill>
            <w14:solidFill>
              <w14:schemeClr w14:val="tx1"/>
            </w14:solidFill>
          </w14:textFill>
        </w:rPr>
        <w:t xml:space="preserve">subsequently </w:t>
      </w:r>
      <w:r>
        <w:rPr>
          <w:rFonts w:ascii="Times New Roman" w:hAnsi="Times New Roman" w:cs="Times New Roman"/>
          <w:color w:val="000000" w:themeColor="text1"/>
          <w:lang w:val="en-US"/>
          <w14:textFill>
            <w14:solidFill>
              <w14:schemeClr w14:val="tx1"/>
            </w14:solidFill>
          </w14:textFill>
        </w:rPr>
        <w:t xml:space="preserve">added dropwise to the TM solution at a mass ratio of 1:5 (G-Exos:TM) under constant magnetic stirring. The mixture was allowed to react for 30 minutes at room temperature to facilitate initial self-assembly. To promote the formation of stable TM micelles encapsulating the exosomes while minimizing structural damage, the mixture was then subjected to probe sonication in an ice bath for 5 minutes. Following sonication, the resulting G-Exos@TM complex was dialyzed against PBS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a dialysis membrane (MWCO = 3,500 Da) to remove any organic solvent and unencapsulated free TM. The PBS buffer was replaced at least three times at 4-hour intervals. The morphological characteristics and size </w:t>
      </w:r>
      <w:r>
        <w:rPr>
          <w:rFonts w:ascii="Times New Roman" w:hAnsi="Times New Roman" w:eastAsia="宋体" w:cs="Times New Roman"/>
          <w:color w:val="000000" w:themeColor="text1"/>
          <w:lang w:val="en-US"/>
          <w14:textFill>
            <w14:solidFill>
              <w14:schemeClr w14:val="tx1"/>
            </w14:solidFill>
          </w14:textFill>
        </w:rPr>
        <w:t>distributions</w:t>
      </w:r>
      <w:r>
        <w:rPr>
          <w:rFonts w:ascii="Times New Roman" w:hAnsi="Times New Roman" w:cs="Times New Roman"/>
          <w:color w:val="000000" w:themeColor="text1"/>
          <w:lang w:val="en-US"/>
          <w14:textFill>
            <w14:solidFill>
              <w14:schemeClr w14:val="tx1"/>
            </w14:solidFill>
          </w14:textFill>
        </w:rPr>
        <w:t xml:space="preserve"> of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 xml:space="preserve">G-Exos, TM micelles, and final G-Exos@TM complex were analyzed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TEM and DLS.</w:t>
      </w:r>
    </w:p>
    <w:p w14:paraId="1ECD5677">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lang w:val="en-US"/>
          <w14:textFill>
            <w14:solidFill>
              <w14:schemeClr w14:val="tx1"/>
            </w14:solidFill>
          </w14:textFill>
        </w:rPr>
        <w:t>Fabrication of HAMA/G-</w:t>
      </w:r>
      <w:r>
        <w:rPr>
          <w:rFonts w:ascii="Times New Roman" w:hAnsi="Times New Roman" w:eastAsia="宋体" w:cs="Times New Roman"/>
          <w:b/>
          <w:bCs/>
          <w:color w:val="000000" w:themeColor="text1"/>
          <w:lang w:val="en-US"/>
          <w14:textFill>
            <w14:solidFill>
              <w14:schemeClr w14:val="tx1"/>
            </w14:solidFill>
          </w14:textFill>
        </w:rPr>
        <w:t>Exo@TM</w:t>
      </w:r>
      <w:r>
        <w:rPr>
          <w:rFonts w:ascii="Times New Roman" w:hAnsi="Times New Roman" w:cs="Times New Roman"/>
          <w:b/>
          <w:bCs/>
          <w:color w:val="000000" w:themeColor="text1"/>
          <w:lang w:val="en-US"/>
          <w14:textFill>
            <w14:solidFill>
              <w14:schemeClr w14:val="tx1"/>
            </w14:solidFill>
          </w14:textFill>
        </w:rPr>
        <w:t>/PDA@PEG MNs</w:t>
      </w:r>
    </w:p>
    <w:p w14:paraId="748EDAC1">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The tip precursor solution was prepared by mixing HAMA (5 mg/mL), PVA (1 mg/mL), LAP (10 mg/mL), PDA@PEG (0.2 mg), and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 xml:space="preserve">as-prepared G-Exos@TM (0.2 mg) in deionized water. The mixture was poured into a plasma-cleaned PDMS mold and degassed under vacuum. The mold was then dried at 37°C for 2 h to </w:t>
      </w:r>
      <w:r>
        <w:rPr>
          <w:rFonts w:ascii="Times New Roman" w:hAnsi="Times New Roman" w:eastAsia="宋体" w:cs="Times New Roman"/>
          <w:color w:val="000000" w:themeColor="text1"/>
          <w:lang w:val="en-US"/>
          <w14:textFill>
            <w14:solidFill>
              <w14:schemeClr w14:val="tx1"/>
            </w14:solidFill>
          </w14:textFill>
        </w:rPr>
        <w:t>presolidify</w:t>
      </w:r>
      <w:r>
        <w:rPr>
          <w:rFonts w:ascii="Times New Roman" w:hAnsi="Times New Roman" w:cs="Times New Roman"/>
          <w:color w:val="000000" w:themeColor="text1"/>
          <w:lang w:val="en-US"/>
          <w14:textFill>
            <w14:solidFill>
              <w14:schemeClr w14:val="tx1"/>
            </w14:solidFill>
          </w14:textFill>
        </w:rPr>
        <w:t xml:space="preserve"> the MN tips in a dust-free environment. Subsequently, photocrosslinking was performed under 405 nm UV light (10–20 mW cm⁻²) for 60–120 s to </w:t>
      </w:r>
      <w:r>
        <w:rPr>
          <w:rFonts w:ascii="Times New Roman" w:hAnsi="Times New Roman" w:eastAsia="宋体" w:cs="Times New Roman"/>
          <w:color w:val="000000" w:themeColor="text1"/>
          <w:lang w:val="en-US"/>
          <w14:textFill>
            <w14:solidFill>
              <w14:schemeClr w14:val="tx1"/>
            </w14:solidFill>
          </w14:textFill>
        </w:rPr>
        <w:t xml:space="preserve">form </w:t>
      </w:r>
      <w:r>
        <w:rPr>
          <w:rFonts w:ascii="Times New Roman" w:hAnsi="Times New Roman" w:cs="Times New Roman"/>
          <w:color w:val="000000" w:themeColor="text1"/>
          <w:lang w:val="en-US"/>
          <w14:textFill>
            <w14:solidFill>
              <w14:schemeClr w14:val="tx1"/>
            </w14:solidFill>
          </w14:textFill>
        </w:rPr>
        <w:t xml:space="preserve">methacryloyl groups. For the backing layer, a 20% (w/v) PVA solution was cast onto the base of the needle array, scraped flat, and dried in an oven at 37–45°C for 48 h. The fully dried MN patch was carefully demolded from the PDMS mold, sealed, and stored at 4°C </w:t>
      </w:r>
      <w:r>
        <w:rPr>
          <w:rFonts w:ascii="Times New Roman" w:hAnsi="Times New Roman" w:eastAsia="宋体" w:cs="Times New Roman"/>
          <w:color w:val="000000" w:themeColor="text1"/>
          <w:lang w:val="en-US"/>
          <w14:textFill>
            <w14:solidFill>
              <w14:schemeClr w14:val="tx1"/>
            </w14:solidFill>
          </w14:textFill>
        </w:rPr>
        <w:t>in the dark</w:t>
      </w:r>
      <w:r>
        <w:rPr>
          <w:rFonts w:ascii="Times New Roman" w:hAnsi="Times New Roman" w:cs="Times New Roman"/>
          <w:color w:val="000000" w:themeColor="text1"/>
          <w:lang w:val="en-US"/>
          <w14:textFill>
            <w14:solidFill>
              <w14:schemeClr w14:val="tx1"/>
            </w14:solidFill>
          </w14:textFill>
        </w:rPr>
        <w:t xml:space="preserve"> until use.</w:t>
      </w:r>
    </w:p>
    <w:p w14:paraId="24420FF7">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lang w:val="en-US"/>
          <w14:textFill>
            <w14:solidFill>
              <w14:schemeClr w14:val="tx1"/>
            </w14:solidFill>
          </w14:textFill>
        </w:rPr>
        <w:t>Evaluation of Mechanical Strength and Skin Penetration</w:t>
      </w:r>
    </w:p>
    <w:p w14:paraId="16A36044">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The mechanical strength of the MN patch was evaluated </w:t>
      </w:r>
      <w:r>
        <w:rPr>
          <w:rFonts w:ascii="Times New Roman" w:hAnsi="Times New Roman" w:eastAsia="宋体" w:cs="Times New Roman"/>
          <w:color w:val="000000" w:themeColor="text1"/>
          <w:lang w:val="en-US"/>
          <w14:textFill>
            <w14:solidFill>
              <w14:schemeClr w14:val="tx1"/>
            </w14:solidFill>
          </w14:textFill>
        </w:rPr>
        <w:t>via a displacement‒force</w:t>
      </w:r>
      <w:r>
        <w:rPr>
          <w:rFonts w:ascii="Times New Roman" w:hAnsi="Times New Roman" w:cs="Times New Roman"/>
          <w:color w:val="000000" w:themeColor="text1"/>
          <w:lang w:val="en-US"/>
          <w14:textFill>
            <w14:solidFill>
              <w14:schemeClr w14:val="tx1"/>
            </w14:solidFill>
          </w14:textFill>
        </w:rPr>
        <w:t xml:space="preserve"> testing system (Hengyi, China) equipped with a 50 kg load cell. The microneedle tip was positioned vertically on a rigid stainless-steel platform. The sensor descended at a speed of 0.1 mm/s, starting from an initial distance of 1 cm above the tip. Once contact was established between the sensor and the microneedle tip, the displacement and force data </w:t>
      </w:r>
      <w:r>
        <w:rPr>
          <w:rFonts w:ascii="Times New Roman" w:hAnsi="Times New Roman" w:eastAsia="宋体" w:cs="Times New Roman"/>
          <w:color w:val="000000" w:themeColor="text1"/>
          <w:lang w:val="en-US"/>
          <w14:textFill>
            <w14:solidFill>
              <w14:schemeClr w14:val="tx1"/>
            </w14:solidFill>
          </w14:textFill>
        </w:rPr>
        <w:t>were recorded</w:t>
      </w:r>
      <w:r>
        <w:rPr>
          <w:rFonts w:ascii="Times New Roman" w:hAnsi="Times New Roman" w:cs="Times New Roman"/>
          <w:color w:val="000000" w:themeColor="text1"/>
          <w:lang w:val="en-US"/>
          <w14:textFill>
            <w14:solidFill>
              <w14:schemeClr w14:val="tx1"/>
            </w14:solidFill>
          </w14:textFill>
        </w:rPr>
        <w:t>. The speed was then reduced to 0.01 mm/s, and loading continued until the sensor had moved 800 μm.</w:t>
      </w:r>
    </w:p>
    <w:p w14:paraId="487E9015">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hint="eastAsia" w:ascii="Times New Roman" w:hAnsi="Times New Roman" w:cs="Times New Roman"/>
          <w:color w:val="000000" w:themeColor="text1"/>
          <w:lang w:val="en-US"/>
          <w14:textFill>
            <w14:solidFill>
              <w14:schemeClr w14:val="tx1"/>
            </w14:solidFill>
          </w14:textFill>
        </w:rPr>
      </w:pPr>
      <w:r>
        <w:rPr>
          <w:rFonts w:hint="eastAsia" w:ascii="Times New Roman" w:hAnsi="Times New Roman" w:cs="Times New Roman"/>
          <w:color w:val="000000" w:themeColor="text1"/>
          <w:lang w:val="en-US"/>
          <w14:textFill>
            <w14:solidFill>
              <w14:schemeClr w14:val="tx1"/>
            </w14:solidFill>
          </w14:textFill>
        </w:rPr>
        <w:t>To assess the skin penetration capability ex vivo, full-thickness mouse skin was collected. The MN patch was applied to the skin via thumb pressure for 10 mins. After removal, the skin was stained with trypan blue to allow for clear visualization of the penetration sites under a digital microscope. Following this, the skin was fixed with 4% paraformaldehyde, embedded in paraffin, sectioned, and subjected to H&amp;E staining. The resulting sections were observed under a microscope to visualize the micropores created by the MNs.</w:t>
      </w:r>
    </w:p>
    <w:p w14:paraId="6ACBD6B0">
      <w:pPr>
        <w:keepNext w:val="0"/>
        <w:keepLines w:val="0"/>
        <w:pageBreakBefore w:val="0"/>
        <w:widowControl/>
        <w:kinsoku/>
        <w:wordWrap/>
        <w:overflowPunct/>
        <w:topLinePunct w:val="0"/>
        <w:autoSpaceDE/>
        <w:autoSpaceDN/>
        <w:bidi w:val="0"/>
        <w:adjustRightInd/>
        <w:snapToGrid/>
        <w:spacing w:line="480" w:lineRule="auto"/>
        <w:jc w:val="both"/>
        <w:textAlignment w:val="auto"/>
        <w:rPr>
          <w:rFonts w:ascii="Segoe UI" w:hAnsi="Segoe UI" w:cs="Segoe UI"/>
          <w:color w:val="000000" w:themeColor="text1"/>
          <w14:textFill>
            <w14:solidFill>
              <w14:schemeClr w14:val="tx1"/>
            </w14:solidFill>
          </w14:textFill>
        </w:rPr>
      </w:pPr>
      <w:r>
        <w:rPr>
          <w:rFonts w:ascii="Times New Roman" w:hAnsi="Times New Roman" w:cs="Times New Roman"/>
          <w:b/>
          <w:bCs/>
          <w:color w:val="000000" w:themeColor="text1"/>
          <w:lang w:val="en-US"/>
          <w14:textFill>
            <w14:solidFill>
              <w14:schemeClr w14:val="tx1"/>
            </w14:solidFill>
          </w14:textFill>
        </w:rPr>
        <w:t xml:space="preserve">Morphological </w:t>
      </w:r>
      <w:r>
        <w:rPr>
          <w:rFonts w:ascii="Times New Roman" w:hAnsi="Times New Roman" w:eastAsia="宋体" w:cs="Times New Roman"/>
          <w:b/>
          <w:bCs/>
          <w:color w:val="000000" w:themeColor="text1"/>
          <w:lang w:val="en-US"/>
          <w14:textFill>
            <w14:solidFill>
              <w14:schemeClr w14:val="tx1"/>
            </w14:solidFill>
          </w14:textFill>
        </w:rPr>
        <w:t>characterization of microneedles</w:t>
      </w:r>
    </w:p>
    <w:p w14:paraId="298405D4">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The </w:t>
      </w:r>
      <w:r>
        <w:rPr>
          <w:rFonts w:ascii="Times New Roman" w:hAnsi="Times New Roman" w:eastAsia="宋体" w:cs="Times New Roman"/>
          <w:color w:val="000000" w:themeColor="text1"/>
          <w:lang w:val="en-US"/>
          <w14:textFill>
            <w14:solidFill>
              <w14:schemeClr w14:val="tx1"/>
            </w14:solidFill>
          </w14:textFill>
        </w:rPr>
        <w:t>MNs</w:t>
      </w:r>
      <w:r>
        <w:rPr>
          <w:rFonts w:ascii="Times New Roman" w:hAnsi="Times New Roman" w:cs="Times New Roman"/>
          <w:color w:val="000000" w:themeColor="text1"/>
          <w:lang w:val="en-US"/>
          <w14:textFill>
            <w14:solidFill>
              <w14:schemeClr w14:val="tx1"/>
            </w14:solidFill>
          </w14:textFill>
        </w:rPr>
        <w:t xml:space="preserve"> were thoroughly dried in a drying oven prior to characterization. The surface morphology and overall structure of the </w:t>
      </w:r>
      <w:r>
        <w:rPr>
          <w:rFonts w:ascii="Times New Roman" w:hAnsi="Times New Roman" w:eastAsia="宋体" w:cs="Times New Roman"/>
          <w:color w:val="000000" w:themeColor="text1"/>
          <w:lang w:val="en-US"/>
          <w14:textFill>
            <w14:solidFill>
              <w14:schemeClr w14:val="tx1"/>
            </w14:solidFill>
          </w14:textFill>
        </w:rPr>
        <w:t>MNs</w:t>
      </w:r>
      <w:r>
        <w:rPr>
          <w:rFonts w:ascii="Times New Roman" w:hAnsi="Times New Roman" w:cs="Times New Roman"/>
          <w:color w:val="000000" w:themeColor="text1"/>
          <w:lang w:val="en-US"/>
          <w14:textFill>
            <w14:solidFill>
              <w14:schemeClr w14:val="tx1"/>
            </w14:solidFill>
          </w14:textFill>
        </w:rPr>
        <w:t xml:space="preserve"> were then examined and imaged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SEM.</w:t>
      </w:r>
    </w:p>
    <w:p w14:paraId="74EB8EDD">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lang w:val="en-US"/>
          <w14:textFill>
            <w14:solidFill>
              <w14:schemeClr w14:val="tx1"/>
            </w14:solidFill>
          </w14:textFill>
        </w:rPr>
        <w:t>Dissolution of Microneedles</w:t>
      </w:r>
    </w:p>
    <w:p w14:paraId="4157D3CB">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The prepared </w:t>
      </w:r>
      <w:r>
        <w:rPr>
          <w:rFonts w:ascii="Times New Roman" w:hAnsi="Times New Roman" w:eastAsia="宋体" w:cs="Times New Roman"/>
          <w:color w:val="000000" w:themeColor="text1"/>
          <w:lang w:val="en-US"/>
          <w14:textFill>
            <w14:solidFill>
              <w14:schemeClr w14:val="tx1"/>
            </w14:solidFill>
          </w14:textFill>
        </w:rPr>
        <w:t>MNs</w:t>
      </w:r>
      <w:r>
        <w:rPr>
          <w:rFonts w:ascii="Times New Roman" w:hAnsi="Times New Roman" w:cs="Times New Roman"/>
          <w:color w:val="000000" w:themeColor="text1"/>
          <w:lang w:val="en-US"/>
          <w14:textFill>
            <w14:solidFill>
              <w14:schemeClr w14:val="tx1"/>
            </w14:solidFill>
          </w14:textFill>
        </w:rPr>
        <w:t xml:space="preserve"> were immersed in phosphate-buffered saline (PBS, pH 7.4) at 37 °C to evaluate their morphological changes. After immersion for 1, 2, 5, 10, </w:t>
      </w:r>
      <w:r>
        <w:rPr>
          <w:rFonts w:ascii="Times New Roman" w:hAnsi="Times New Roman" w:eastAsia="宋体" w:cs="Times New Roman"/>
          <w:color w:val="000000" w:themeColor="text1"/>
          <w:lang w:val="en-US"/>
          <w14:textFill>
            <w14:solidFill>
              <w14:schemeClr w14:val="tx1"/>
            </w14:solidFill>
          </w14:textFill>
        </w:rPr>
        <w:t>or</w:t>
      </w:r>
      <w:r>
        <w:rPr>
          <w:rFonts w:ascii="Times New Roman" w:hAnsi="Times New Roman" w:cs="Times New Roman"/>
          <w:color w:val="000000" w:themeColor="text1"/>
          <w:lang w:val="en-US"/>
          <w14:textFill>
            <w14:solidFill>
              <w14:schemeClr w14:val="tx1"/>
            </w14:solidFill>
          </w14:textFill>
        </w:rPr>
        <w:t xml:space="preserve"> 15 </w:t>
      </w:r>
      <w:r>
        <w:rPr>
          <w:rFonts w:ascii="Times New Roman" w:hAnsi="Times New Roman" w:eastAsia="宋体" w:cs="Times New Roman"/>
          <w:color w:val="000000" w:themeColor="text1"/>
          <w:lang w:val="en-US"/>
          <w14:textFill>
            <w14:solidFill>
              <w14:schemeClr w14:val="tx1"/>
            </w14:solidFill>
          </w14:textFill>
        </w:rPr>
        <w:t>min</w:t>
      </w:r>
      <w:r>
        <w:rPr>
          <w:rFonts w:ascii="Times New Roman" w:hAnsi="Times New Roman" w:cs="Times New Roman"/>
          <w:color w:val="000000" w:themeColor="text1"/>
          <w:lang w:val="en-US"/>
          <w14:textFill>
            <w14:solidFill>
              <w14:schemeClr w14:val="tx1"/>
            </w14:solidFill>
          </w14:textFill>
        </w:rPr>
        <w:t xml:space="preserve">, the surface morphology of the </w:t>
      </w:r>
      <w:r>
        <w:rPr>
          <w:rFonts w:ascii="Times New Roman" w:hAnsi="Times New Roman" w:eastAsia="宋体" w:cs="Times New Roman"/>
          <w:color w:val="000000" w:themeColor="text1"/>
          <w:lang w:val="en-US"/>
          <w14:textFill>
            <w14:solidFill>
              <w14:schemeClr w14:val="tx1"/>
            </w14:solidFill>
          </w14:textFill>
        </w:rPr>
        <w:t>MNs</w:t>
      </w:r>
      <w:r>
        <w:rPr>
          <w:rFonts w:ascii="Times New Roman" w:hAnsi="Times New Roman" w:cs="Times New Roman"/>
          <w:color w:val="000000" w:themeColor="text1"/>
          <w:lang w:val="en-US"/>
          <w14:textFill>
            <w14:solidFill>
              <w14:schemeClr w14:val="tx1"/>
            </w14:solidFill>
          </w14:textFill>
        </w:rPr>
        <w:t xml:space="preserve"> was examined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a digital optical microscope.</w:t>
      </w:r>
    </w:p>
    <w:p w14:paraId="59EA766B">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14:textFill>
            <w14:solidFill>
              <w14:schemeClr w14:val="tx1"/>
            </w14:solidFill>
          </w14:textFill>
        </w:rPr>
      </w:pPr>
      <w:r>
        <w:rPr>
          <w:rFonts w:hint="default" w:ascii="Times New Roman Bold Italic" w:hAnsi="Times New Roman Bold Italic" w:cs="Times New Roman Bold Italic"/>
          <w:b/>
          <w:bCs/>
          <w:i/>
          <w:iCs/>
          <w:color w:val="000000" w:themeColor="text1"/>
          <w:lang w:val="en-US"/>
          <w14:textFill>
            <w14:solidFill>
              <w14:schemeClr w14:val="tx1"/>
            </w14:solidFill>
          </w14:textFill>
        </w:rPr>
        <w:t xml:space="preserve">In </w:t>
      </w:r>
      <w:r>
        <w:rPr>
          <w:rFonts w:hint="default" w:ascii="Times New Roman Bold Italic" w:hAnsi="Times New Roman Bold Italic" w:eastAsia="宋体" w:cs="Times New Roman Bold Italic"/>
          <w:b/>
          <w:bCs/>
          <w:i/>
          <w:iCs/>
          <w:color w:val="000000" w:themeColor="text1"/>
          <w:lang w:val="en-US"/>
          <w14:textFill>
            <w14:solidFill>
              <w14:schemeClr w14:val="tx1"/>
            </w14:solidFill>
          </w14:textFill>
        </w:rPr>
        <w:t xml:space="preserve">vitro </w:t>
      </w:r>
      <w:r>
        <w:rPr>
          <w:rFonts w:ascii="Times New Roman" w:hAnsi="Times New Roman" w:eastAsia="宋体" w:cs="Times New Roman"/>
          <w:b/>
          <w:bCs/>
          <w:color w:val="000000" w:themeColor="text1"/>
          <w:lang w:val="en-US"/>
          <w14:textFill>
            <w14:solidFill>
              <w14:schemeClr w14:val="tx1"/>
            </w14:solidFill>
          </w14:textFill>
        </w:rPr>
        <w:t>drug release profile</w:t>
      </w:r>
    </w:p>
    <w:p w14:paraId="58D54775">
      <w:pPr>
        <w:keepNext w:val="0"/>
        <w:keepLines w:val="0"/>
        <w:pageBreakBefore w:val="0"/>
        <w:widowControl/>
        <w:kinsoku/>
        <w:wordWrap/>
        <w:overflowPunct/>
        <w:topLinePunct w:val="0"/>
        <w:autoSpaceDE/>
        <w:autoSpaceDN/>
        <w:bidi w:val="0"/>
        <w:adjustRightInd/>
        <w:snapToGrid/>
        <w:spacing w:before="156" w:beforeLines="50" w:after="156" w:afterLines="50" w:line="480" w:lineRule="auto"/>
        <w:ind w:firstLine="480" w:firstLineChars="200"/>
        <w:jc w:val="both"/>
        <w:textAlignment w:val="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lang w:val="en-US"/>
          <w14:textFill>
            <w14:solidFill>
              <w14:schemeClr w14:val="tx1"/>
            </w14:solidFill>
          </w14:textFill>
        </w:rPr>
        <w:t>1) Release from G-Exos@TM Complexes</w:t>
      </w:r>
    </w:p>
    <w:p w14:paraId="6A7AEF32">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lang w:val="en-US"/>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The enzyme-responsive release profile of G-Exos from the G-Exos@TM complexes was investigated. Freshly prepared G-Exos@TM </w:t>
      </w:r>
      <w:r>
        <w:rPr>
          <w:rFonts w:ascii="Times New Roman" w:hAnsi="Times New Roman" w:eastAsia="宋体" w:cs="Times New Roman"/>
          <w:color w:val="000000" w:themeColor="text1"/>
          <w:lang w:val="en-US"/>
          <w14:textFill>
            <w14:solidFill>
              <w14:schemeClr w14:val="tx1"/>
            </w14:solidFill>
          </w14:textFill>
        </w:rPr>
        <w:t>were</w:t>
      </w:r>
      <w:r>
        <w:rPr>
          <w:rFonts w:ascii="Times New Roman" w:hAnsi="Times New Roman" w:cs="Times New Roman"/>
          <w:color w:val="000000" w:themeColor="text1"/>
          <w:lang w:val="en-US"/>
          <w14:textFill>
            <w14:solidFill>
              <w14:schemeClr w14:val="tx1"/>
            </w14:solidFill>
          </w14:textFill>
        </w:rPr>
        <w:t xml:space="preserve"> diluted in either PBS (pH 7.4) or PBS containing 1 ng/mL MMP-9. The mixtures were incubated at 37°C under constant agitation at 600 rpm. </w:t>
      </w:r>
      <w:r>
        <w:rPr>
          <w:rFonts w:hint="eastAsia" w:ascii="Times New Roman" w:hAnsi="Times New Roman" w:cs="Times New Roman"/>
          <w:color w:val="000000" w:themeColor="text1"/>
          <w:lang w:val="en-US"/>
          <w14:textFill>
            <w14:solidFill>
              <w14:schemeClr w14:val="tx1"/>
            </w14:solidFill>
          </w14:textFill>
        </w:rPr>
        <w:t>To directly visualize the micelle disassembly and exosome release, the morphological changes of the complexes after</w:t>
      </w:r>
      <w:r>
        <w:rPr>
          <w:rFonts w:hint="eastAsia" w:ascii="Times New Roman" w:hAnsi="Times New Roman" w:cs="Times New Roman"/>
          <w:color w:val="000000" w:themeColor="text1"/>
          <w:lang w:val="en-US" w:eastAsia="zh-CN"/>
          <w14:textFill>
            <w14:solidFill>
              <w14:schemeClr w14:val="tx1"/>
            </w14:solidFill>
          </w14:textFill>
        </w:rPr>
        <w:t xml:space="preserve"> </w:t>
      </w:r>
      <w:r>
        <w:rPr>
          <w:rFonts w:hint="eastAsia" w:ascii="Times New Roman" w:hAnsi="Times New Roman" w:cs="Times New Roman"/>
          <w:color w:val="000000" w:themeColor="text1"/>
          <w:lang w:val="en-US"/>
          <w14:textFill>
            <w14:solidFill>
              <w14:schemeClr w14:val="tx1"/>
            </w14:solidFill>
          </w14:textFill>
        </w:rPr>
        <w:t xml:space="preserve">incubation with MMP-9 were examined using TEM. Concurrently, </w:t>
      </w:r>
      <w:r>
        <w:rPr>
          <w:rFonts w:hint="eastAsia" w:ascii="Times New Roman" w:hAnsi="Times New Roman" w:cs="Times New Roman"/>
          <w:color w:val="000000" w:themeColor="text1"/>
          <w:lang w:val="en-US" w:eastAsia="zh-CN"/>
          <w14:textFill>
            <w14:solidFill>
              <w14:schemeClr w14:val="tx1"/>
            </w14:solidFill>
          </w14:textFill>
        </w:rPr>
        <w:t>t</w:t>
      </w:r>
      <w:r>
        <w:rPr>
          <w:rFonts w:ascii="Times New Roman" w:hAnsi="Times New Roman" w:cs="Times New Roman"/>
          <w:color w:val="000000" w:themeColor="text1"/>
          <w:lang w:val="en-US"/>
          <w14:textFill>
            <w14:solidFill>
              <w14:schemeClr w14:val="tx1"/>
            </w14:solidFill>
          </w14:textFill>
        </w:rPr>
        <w:t xml:space="preserve">he hydrodynamic diameter of the particles in each group was monitored daily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DLS. For quantitative analysis, samples from both groups were centrifuged and resuspended at designated time points (days 1, 3, and 7). The amount of released exosomes was determined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a TINGO Exosome ELISA Kit, which measures the exposure of the exosome surface marker CD63, according to the manufacturer's instructions.</w:t>
      </w:r>
    </w:p>
    <w:p w14:paraId="5FBA19CD">
      <w:pPr>
        <w:keepNext w:val="0"/>
        <w:keepLines w:val="0"/>
        <w:pageBreakBefore w:val="0"/>
        <w:widowControl/>
        <w:kinsoku/>
        <w:wordWrap/>
        <w:overflowPunct/>
        <w:topLinePunct w:val="0"/>
        <w:autoSpaceDE/>
        <w:autoSpaceDN/>
        <w:bidi w:val="0"/>
        <w:adjustRightInd/>
        <w:snapToGrid/>
        <w:spacing w:before="156" w:beforeLines="50" w:after="156" w:afterLines="50" w:line="480" w:lineRule="auto"/>
        <w:ind w:firstLine="480" w:firstLineChars="200"/>
        <w:jc w:val="both"/>
        <w:textAlignment w:val="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lang w:val="en-US"/>
          <w14:textFill>
            <w14:solidFill>
              <w14:schemeClr w14:val="tx1"/>
            </w14:solidFill>
          </w14:textFill>
        </w:rPr>
        <w:t>2) Release from MN Patches</w:t>
      </w:r>
    </w:p>
    <w:p w14:paraId="406781FD">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The release profiles of PDA@PEG and G-Exos@TM from the MN patches were evaluated separately. MNs were placed in release media (PBS, pH 7.4, with or without 1 ng/mL MMP-9) at 37°C under gentle agitation. The supernatant was collected at predetermined time intervals. The cumulative release of PDA@PEG was quantified by measuring its characteristic absorbance at 280 nm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a microplate reader. The concentration of released G-Exos in the supernatant was determined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the TINGO Exosome ELISA Kit. After each collection, an equal volume of fresh </w:t>
      </w:r>
      <w:r>
        <w:rPr>
          <w:rFonts w:ascii="Times New Roman" w:hAnsi="Times New Roman" w:eastAsia="宋体" w:cs="Times New Roman"/>
          <w:color w:val="000000" w:themeColor="text1"/>
          <w:lang w:val="en-US"/>
          <w14:textFill>
            <w14:solidFill>
              <w14:schemeClr w14:val="tx1"/>
            </w14:solidFill>
          </w14:textFill>
        </w:rPr>
        <w:t>prewarmed</w:t>
      </w:r>
      <w:r>
        <w:rPr>
          <w:rFonts w:ascii="Times New Roman" w:hAnsi="Times New Roman" w:cs="Times New Roman"/>
          <w:color w:val="000000" w:themeColor="text1"/>
          <w:lang w:val="en-US"/>
          <w14:textFill>
            <w14:solidFill>
              <w14:schemeClr w14:val="tx1"/>
            </w14:solidFill>
          </w14:textFill>
        </w:rPr>
        <w:t xml:space="preserve"> release medium (PBS or MMP-9 solution) was added to maintain sink conditions.</w:t>
      </w:r>
    </w:p>
    <w:p w14:paraId="3820C42D">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lang w:val="en-US"/>
          <w14:textFill>
            <w14:solidFill>
              <w14:schemeClr w14:val="tx1"/>
            </w14:solidFill>
          </w14:textFill>
        </w:rPr>
        <w:t>Cell Culture, Treatment, and Cytotoxicity Assessment</w:t>
      </w:r>
    </w:p>
    <w:p w14:paraId="762C4D0B">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HaCaT cells were cultured in DMEM (Gibco) supplemented with 10% FBS (BI) and 1% penicillin/streptomycin (100 U/mL), while PIG1 cells were maintained in Medium 254 (Gibco) containing 5% FBS, 1% penicillin/streptomycin, and 10% HMGS-2 (Gibco). All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cells were incubated at 37°C under 5% CO₂.</w:t>
      </w:r>
    </w:p>
    <w:p w14:paraId="4E978F37">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To establish an oxidative stress model, both cell types were treated with H₂O₂ (0–2.4 mM) for 4 hours. Cell viability was assessed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the CCK-8 assay by adding 10 μL of reagent per well, incubating for 1 hour, and measuring the absorbance at 450 nm.</w:t>
      </w:r>
    </w:p>
    <w:p w14:paraId="3AE1438B">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For </w:t>
      </w:r>
      <w:r>
        <w:rPr>
          <w:rFonts w:ascii="Times New Roman" w:hAnsi="Times New Roman" w:eastAsia="宋体" w:cs="Times New Roman"/>
          <w:color w:val="000000" w:themeColor="text1"/>
          <w:lang w:val="en-US"/>
          <w14:textFill>
            <w14:solidFill>
              <w14:schemeClr w14:val="tx1"/>
            </w14:solidFill>
          </w14:textFill>
        </w:rPr>
        <w:t xml:space="preserve">the evaluation of </w:t>
      </w:r>
      <w:r>
        <w:rPr>
          <w:rFonts w:ascii="Times New Roman" w:hAnsi="Times New Roman" w:cs="Times New Roman"/>
          <w:color w:val="000000" w:themeColor="text1"/>
          <w:lang w:val="en-US"/>
          <w14:textFill>
            <w14:solidFill>
              <w14:schemeClr w14:val="tx1"/>
            </w14:solidFill>
          </w14:textFill>
        </w:rPr>
        <w:t xml:space="preserve">nanomaterial cytotoxicity, oxidative stress-injured PIG1 or HaCaT cells (1×10⁴ cells/well) were exposed to G-Exos, PDA@PEG, or their combination for 24 hours. Cell viability was again evaluated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the CCK-8 assay. Live/dead staining was performed </w:t>
      </w:r>
      <w:r>
        <w:rPr>
          <w:rFonts w:ascii="Times New Roman" w:hAnsi="Times New Roman" w:eastAsia="宋体" w:cs="Times New Roman"/>
          <w:color w:val="000000" w:themeColor="text1"/>
          <w:lang w:val="en-US"/>
          <w14:textFill>
            <w14:solidFill>
              <w14:schemeClr w14:val="tx1"/>
            </w14:solidFill>
          </w14:textFill>
        </w:rPr>
        <w:t>via calcein</w:t>
      </w:r>
      <w:r>
        <w:rPr>
          <w:rFonts w:ascii="Times New Roman" w:hAnsi="Times New Roman" w:cs="Times New Roman"/>
          <w:color w:val="000000" w:themeColor="text1"/>
          <w:lang w:val="en-US"/>
          <w14:textFill>
            <w14:solidFill>
              <w14:schemeClr w14:val="tx1"/>
            </w14:solidFill>
          </w14:textFill>
        </w:rPr>
        <w:t xml:space="preserve"> AM and propidium iodide (PI</w:t>
      </w:r>
      <w:r>
        <w:rPr>
          <w:rFonts w:ascii="Times New Roman" w:hAnsi="Times New Roman" w:eastAsia="宋体" w:cs="Times New Roman"/>
          <w:color w:val="000000" w:themeColor="text1"/>
          <w:lang w:val="en-US"/>
          <w14:textFill>
            <w14:solidFill>
              <w14:schemeClr w14:val="tx1"/>
            </w14:solidFill>
          </w14:textFill>
        </w:rPr>
        <w:t>;</w:t>
      </w:r>
      <w:r>
        <w:rPr>
          <w:rFonts w:ascii="Times New Roman" w:hAnsi="Times New Roman" w:cs="Times New Roman"/>
          <w:color w:val="000000" w:themeColor="text1"/>
          <w:lang w:val="en-US"/>
          <w14:textFill>
            <w14:solidFill>
              <w14:schemeClr w14:val="tx1"/>
            </w14:solidFill>
          </w14:textFill>
        </w:rPr>
        <w:t xml:space="preserve"> KeyGEN) according to the manufacturer's instructions, with imaging conducted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an inverted microscope.</w:t>
      </w:r>
    </w:p>
    <w:p w14:paraId="2B7E5563">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To evaluate the biocompatibility of the hydrogel composite, extracts of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 xml:space="preserve">HAMA hydrogel were prepared by immersing a predetermined amount of hydrogel in culture medium at a mass ratio of 1:10 (hydrogel to medium) followed by incubation at 37°C for 24 hours. After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 xml:space="preserve">cells </w:t>
      </w:r>
      <w:r>
        <w:rPr>
          <w:rFonts w:ascii="Times New Roman" w:hAnsi="Times New Roman" w:eastAsia="宋体" w:cs="Times New Roman"/>
          <w:color w:val="000000" w:themeColor="text1"/>
          <w:lang w:val="en-US"/>
          <w14:textFill>
            <w14:solidFill>
              <w14:schemeClr w14:val="tx1"/>
            </w14:solidFill>
          </w14:textFill>
        </w:rPr>
        <w:t xml:space="preserve">were </w:t>
      </w:r>
      <w:r>
        <w:rPr>
          <w:rFonts w:ascii="Times New Roman" w:hAnsi="Times New Roman" w:cs="Times New Roman"/>
          <w:color w:val="000000" w:themeColor="text1"/>
          <w:lang w:val="en-US"/>
          <w14:textFill>
            <w14:solidFill>
              <w14:schemeClr w14:val="tx1"/>
            </w14:solidFill>
          </w14:textFill>
        </w:rPr>
        <w:t xml:space="preserve">seeded in 48-well plates </w:t>
      </w:r>
      <w:r>
        <w:rPr>
          <w:rFonts w:ascii="Times New Roman" w:hAnsi="Times New Roman" w:eastAsia="宋体" w:cs="Times New Roman"/>
          <w:color w:val="000000" w:themeColor="text1"/>
          <w:lang w:val="en-US"/>
          <w14:textFill>
            <w14:solidFill>
              <w14:schemeClr w14:val="tx1"/>
            </w14:solidFill>
          </w14:textFill>
        </w:rPr>
        <w:t>and allowed to adhere</w:t>
      </w:r>
      <w:r>
        <w:rPr>
          <w:rFonts w:ascii="Times New Roman" w:hAnsi="Times New Roman" w:cs="Times New Roman"/>
          <w:color w:val="000000" w:themeColor="text1"/>
          <w:lang w:val="en-US"/>
          <w14:textFill>
            <w14:solidFill>
              <w14:schemeClr w14:val="tx1"/>
            </w14:solidFill>
          </w14:textFill>
        </w:rPr>
        <w:t xml:space="preserve"> for 24 hours, the culture medium was replaced with hydrogel extract. After another 24 hours of incubation, cell viability was measured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the CCK-8 assay.</w:t>
      </w:r>
    </w:p>
    <w:p w14:paraId="7BED6AA6">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i/>
          <w:iCs/>
          <w:color w:val="000000" w:themeColor="text1"/>
          <w:lang w:val="en-US"/>
          <w14:textFill>
            <w14:solidFill>
              <w14:schemeClr w14:val="tx1"/>
            </w14:solidFill>
          </w14:textFill>
        </w:rPr>
        <w:t>In Vitro</w:t>
      </w:r>
      <w:r>
        <w:rPr>
          <w:rFonts w:ascii="Times New Roman" w:hAnsi="Times New Roman" w:cs="Times New Roman"/>
          <w:b/>
          <w:bCs/>
          <w:color w:val="000000" w:themeColor="text1"/>
          <w:lang w:val="en-US"/>
          <w14:textFill>
            <w14:solidFill>
              <w14:schemeClr w14:val="tx1"/>
            </w14:solidFill>
          </w14:textFill>
        </w:rPr>
        <w:t xml:space="preserve"> Antioxidant and Anti-inflammatory Assessment</w:t>
      </w:r>
    </w:p>
    <w:p w14:paraId="1DB4A73C">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For intracellular ROS detection and H₂O₂ catalytic evaluation in PIG1 melanocytes, cells (1×10⁵/well) were treated with H₂O₂ (0.8 μmol/mL) alone or combined with PDA@PEG (50 μg/mL), G-Exos (10 μg/mL), or both for 4 h, followed by DCFH-DA staining and flow cytometry/fluorescence microscopy analysis; parallel H₂O₂ catalytic capacity was measured in H₂O₂-pretreated cells incubated </w:t>
      </w:r>
      <w:r>
        <w:rPr>
          <w:rFonts w:ascii="Times New Roman" w:hAnsi="Times New Roman" w:eastAsia="宋体" w:cs="Times New Roman"/>
          <w:color w:val="000000" w:themeColor="text1"/>
          <w:lang w:val="en-US"/>
          <w14:textFill>
            <w14:solidFill>
              <w14:schemeClr w14:val="tx1"/>
            </w14:solidFill>
          </w14:textFill>
        </w:rPr>
        <w:t xml:space="preserve">for </w:t>
      </w:r>
      <w:r>
        <w:rPr>
          <w:rFonts w:ascii="Times New Roman" w:hAnsi="Times New Roman" w:cs="Times New Roman"/>
          <w:color w:val="000000" w:themeColor="text1"/>
          <w:lang w:val="en-US"/>
          <w14:textFill>
            <w14:solidFill>
              <w14:schemeClr w14:val="tx1"/>
            </w14:solidFill>
          </w14:textFill>
        </w:rPr>
        <w:t xml:space="preserve">24 h with the same preparations via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 xml:space="preserve">Amplex™ Red assay. For antioxidant and anti-inflammatory assessment in HaCaT keratinocytes, cells pretreated with H₂O₂ (0.8 μmol/mL, 4 h) were incubated </w:t>
      </w:r>
      <w:r>
        <w:rPr>
          <w:rFonts w:ascii="Times New Roman" w:hAnsi="Times New Roman" w:eastAsia="宋体" w:cs="Times New Roman"/>
          <w:color w:val="000000" w:themeColor="text1"/>
          <w:lang w:val="en-US"/>
          <w14:textFill>
            <w14:solidFill>
              <w14:schemeClr w14:val="tx1"/>
            </w14:solidFill>
          </w14:textFill>
        </w:rPr>
        <w:t xml:space="preserve">for </w:t>
      </w:r>
      <w:r>
        <w:rPr>
          <w:rFonts w:ascii="Times New Roman" w:hAnsi="Times New Roman" w:cs="Times New Roman"/>
          <w:color w:val="000000" w:themeColor="text1"/>
          <w:lang w:val="en-US"/>
          <w14:textFill>
            <w14:solidFill>
              <w14:schemeClr w14:val="tx1"/>
            </w14:solidFill>
          </w14:textFill>
        </w:rPr>
        <w:t>24 h with identical nanomaterials for quantification of malondialdehyde (MDA), superoxide dismutase (SOD), and catalase (CAT) activities, while LPS-stimulated cells (0.1 ng/mL, 24 h) were similarly treated with TNF-α and IL-6 secretion</w:t>
      </w:r>
      <w:r>
        <w:rPr>
          <w:rFonts w:ascii="Times New Roman" w:hAnsi="Times New Roman" w:eastAsia="宋体" w:cs="Times New Roman"/>
          <w:color w:val="000000" w:themeColor="text1"/>
          <w:lang w:val="en-US"/>
          <w14:textFill>
            <w14:solidFill>
              <w14:schemeClr w14:val="tx1"/>
            </w14:solidFill>
          </w14:textFill>
        </w:rPr>
        <w:t>,</w:t>
      </w:r>
      <w:r>
        <w:rPr>
          <w:rFonts w:ascii="Times New Roman" w:hAnsi="Times New Roman" w:cs="Times New Roman"/>
          <w:color w:val="000000" w:themeColor="text1"/>
          <w:lang w:val="en-US"/>
          <w14:textFill>
            <w14:solidFill>
              <w14:schemeClr w14:val="tx1"/>
            </w14:solidFill>
          </w14:textFill>
        </w:rPr>
        <w:t xml:space="preserve"> </w:t>
      </w:r>
      <w:r>
        <w:rPr>
          <w:rFonts w:ascii="Times New Roman" w:hAnsi="Times New Roman" w:eastAsia="宋体" w:cs="Times New Roman"/>
          <w:color w:val="000000" w:themeColor="text1"/>
          <w:lang w:val="en-US"/>
          <w14:textFill>
            <w14:solidFill>
              <w14:schemeClr w14:val="tx1"/>
            </w14:solidFill>
          </w14:textFill>
        </w:rPr>
        <w:t xml:space="preserve">as </w:t>
      </w:r>
      <w:r>
        <w:rPr>
          <w:rFonts w:ascii="Times New Roman" w:hAnsi="Times New Roman" w:cs="Times New Roman"/>
          <w:color w:val="000000" w:themeColor="text1"/>
          <w:lang w:val="en-US"/>
          <w14:textFill>
            <w14:solidFill>
              <w14:schemeClr w14:val="tx1"/>
            </w14:solidFill>
          </w14:textFill>
        </w:rPr>
        <w:t>measured by ELISA.</w:t>
      </w:r>
    </w:p>
    <w:p w14:paraId="2A4BCAC1">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lang w:val="en-US"/>
          <w14:textFill>
            <w14:solidFill>
              <w14:schemeClr w14:val="tx1"/>
            </w14:solidFill>
          </w14:textFill>
        </w:rPr>
        <w:t xml:space="preserve">Melanin </w:t>
      </w:r>
      <w:r>
        <w:rPr>
          <w:rFonts w:ascii="Times New Roman" w:hAnsi="Times New Roman" w:eastAsia="宋体" w:cs="Times New Roman"/>
          <w:b/>
          <w:bCs/>
          <w:color w:val="000000" w:themeColor="text1"/>
          <w:lang w:val="en-US"/>
          <w14:textFill>
            <w14:solidFill>
              <w14:schemeClr w14:val="tx1"/>
            </w14:solidFill>
          </w14:textFill>
        </w:rPr>
        <w:t>quantification</w:t>
      </w:r>
    </w:p>
    <w:p w14:paraId="6718BB78">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eastAsia="宋体" w:cs="Times New Roman"/>
          <w:color w:val="000000" w:themeColor="text1"/>
          <w:lang w:val="en-US"/>
          <w14:textFill>
            <w14:solidFill>
              <w14:schemeClr w14:val="tx1"/>
            </w14:solidFill>
          </w14:textFill>
        </w:rPr>
        <w:t>The melanin</w:t>
      </w:r>
      <w:r>
        <w:rPr>
          <w:rFonts w:ascii="Times New Roman" w:hAnsi="Times New Roman" w:cs="Times New Roman"/>
          <w:color w:val="000000" w:themeColor="text1"/>
          <w:lang w:val="en-US"/>
          <w14:textFill>
            <w14:solidFill>
              <w14:schemeClr w14:val="tx1"/>
            </w14:solidFill>
          </w14:textFill>
        </w:rPr>
        <w:t xml:space="preserve"> content was quantified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a modified colorimetric method based on NaOH solubilization. Briefly, PIG1 cells were seeded in 6-well plates. After overnight incubation,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 xml:space="preserve">cells were treated with the indicated preparations (G-Exos, PDA@PEG, </w:t>
      </w:r>
      <w:r>
        <w:rPr>
          <w:rFonts w:ascii="Times New Roman" w:hAnsi="Times New Roman" w:eastAsia="宋体" w:cs="Times New Roman"/>
          <w:color w:val="000000" w:themeColor="text1"/>
          <w:lang w:val="en-US"/>
          <w14:textFill>
            <w14:solidFill>
              <w14:schemeClr w14:val="tx1"/>
            </w14:solidFill>
          </w14:textFill>
        </w:rPr>
        <w:t xml:space="preserve">or </w:t>
      </w:r>
      <w:r>
        <w:rPr>
          <w:rFonts w:ascii="Times New Roman" w:hAnsi="Times New Roman" w:cs="Times New Roman"/>
          <w:color w:val="000000" w:themeColor="text1"/>
          <w:lang w:val="en-US"/>
          <w14:textFill>
            <w14:solidFill>
              <w14:schemeClr w14:val="tx1"/>
            </w14:solidFill>
          </w14:textFill>
        </w:rPr>
        <w:t xml:space="preserve">G-Exos+PDA@PEG) for 24 h. </w:t>
      </w:r>
      <w:r>
        <w:rPr>
          <w:rFonts w:ascii="Times New Roman" w:hAnsi="Times New Roman" w:eastAsia="宋体" w:cs="Times New Roman"/>
          <w:color w:val="000000" w:themeColor="text1"/>
          <w:lang w:val="en-US"/>
          <w14:textFill>
            <w14:solidFill>
              <w14:schemeClr w14:val="tx1"/>
            </w14:solidFill>
          </w14:textFill>
        </w:rPr>
        <w:t>The cells</w:t>
      </w:r>
      <w:r>
        <w:rPr>
          <w:rFonts w:ascii="Times New Roman" w:hAnsi="Times New Roman" w:cs="Times New Roman"/>
          <w:color w:val="000000" w:themeColor="text1"/>
          <w:lang w:val="en-US"/>
          <w14:textFill>
            <w14:solidFill>
              <w14:schemeClr w14:val="tx1"/>
            </w14:solidFill>
          </w14:textFill>
        </w:rPr>
        <w:t xml:space="preserve"> were then washed </w:t>
      </w:r>
      <w:r>
        <w:rPr>
          <w:rFonts w:ascii="Times New Roman" w:hAnsi="Times New Roman" w:eastAsia="宋体" w:cs="Times New Roman"/>
          <w:color w:val="000000" w:themeColor="text1"/>
          <w:lang w:val="en-US"/>
          <w14:textFill>
            <w14:solidFill>
              <w14:schemeClr w14:val="tx1"/>
            </w14:solidFill>
          </w14:textFill>
        </w:rPr>
        <w:t xml:space="preserve">and </w:t>
      </w:r>
      <w:r>
        <w:rPr>
          <w:rFonts w:ascii="Times New Roman" w:hAnsi="Times New Roman" w:cs="Times New Roman"/>
          <w:color w:val="000000" w:themeColor="text1"/>
          <w:lang w:val="en-US"/>
          <w14:textFill>
            <w14:solidFill>
              <w14:schemeClr w14:val="tx1"/>
            </w14:solidFill>
          </w14:textFill>
        </w:rPr>
        <w:t xml:space="preserve">lysed, and melanin was solubilized by adding 100 μL of 1 M NaOH. </w:t>
      </w:r>
      <w:r>
        <w:rPr>
          <w:rFonts w:ascii="Times New Roman" w:hAnsi="Times New Roman" w:eastAsia="宋体" w:cs="Times New Roman"/>
          <w:color w:val="000000" w:themeColor="text1"/>
          <w:lang w:val="en-US"/>
          <w14:textFill>
            <w14:solidFill>
              <w14:schemeClr w14:val="tx1"/>
            </w14:solidFill>
          </w14:textFill>
        </w:rPr>
        <w:t>The absorbance</w:t>
      </w:r>
      <w:r>
        <w:rPr>
          <w:rFonts w:ascii="Times New Roman" w:hAnsi="Times New Roman" w:cs="Times New Roman"/>
          <w:color w:val="000000" w:themeColor="text1"/>
          <w:lang w:val="en-US"/>
          <w14:textFill>
            <w14:solidFill>
              <w14:schemeClr w14:val="tx1"/>
            </w14:solidFill>
          </w14:textFill>
        </w:rPr>
        <w:t xml:space="preserve"> of the solubilized melanin was measured at 490 nm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a microplate reader.</w:t>
      </w:r>
    </w:p>
    <w:p w14:paraId="7755EC57">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14:textFill>
            <w14:solidFill>
              <w14:schemeClr w14:val="tx1"/>
            </w14:solidFill>
          </w14:textFill>
        </w:rPr>
      </w:pPr>
      <w:bookmarkStart w:id="4" w:name="OLE_LINK17"/>
      <w:r>
        <w:rPr>
          <w:rFonts w:ascii="Times New Roman" w:hAnsi="Times New Roman" w:cs="Times New Roman"/>
          <w:b/>
          <w:bCs/>
          <w:color w:val="000000" w:themeColor="text1"/>
          <w:lang w:val="en-US"/>
          <w14:textFill>
            <w14:solidFill>
              <w14:schemeClr w14:val="tx1"/>
            </w14:solidFill>
          </w14:textFill>
        </w:rPr>
        <w:t>Cellular Uptake and Ultrastructural Analysis of PDA@PEG</w:t>
      </w:r>
    </w:p>
    <w:p w14:paraId="25A2479F">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PIG1 cells were seeded on 15-mm glass-bottom dishes and treated with 50 μg/mL PDA@PEG for 24 h. For confocal microscopy analysis, </w:t>
      </w:r>
      <w:r>
        <w:rPr>
          <w:rFonts w:ascii="Times New Roman" w:hAnsi="Times New Roman" w:eastAsia="宋体" w:cs="Times New Roman"/>
          <w:color w:val="000000" w:themeColor="text1"/>
          <w:lang w:val="en-US"/>
          <w14:textFill>
            <w14:solidFill>
              <w14:schemeClr w14:val="tx1"/>
            </w14:solidFill>
          </w14:textFill>
        </w:rPr>
        <w:t xml:space="preserve">the </w:t>
      </w:r>
      <w:bookmarkEnd w:id="4"/>
      <w:r>
        <w:rPr>
          <w:rFonts w:ascii="Times New Roman" w:hAnsi="Times New Roman" w:cs="Times New Roman"/>
          <w:color w:val="000000" w:themeColor="text1"/>
          <w:lang w:val="en-US"/>
          <w14:textFill>
            <w14:solidFill>
              <w14:schemeClr w14:val="tx1"/>
            </w14:solidFill>
          </w14:textFill>
        </w:rPr>
        <w:t xml:space="preserve">cells were stained with rhodamine-phalloidin (KeyGEN) to visualize the cytoskeleton while simultaneously tracking PDA@PEG internalization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transmitted light detection mode. For electron microscopy analysis,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 xml:space="preserve">cells were fixed in 2.5% glutaraldehyde (4°C, overnight), </w:t>
      </w:r>
      <w:r>
        <w:rPr>
          <w:rFonts w:ascii="Times New Roman" w:hAnsi="Times New Roman" w:eastAsia="宋体" w:cs="Times New Roman"/>
          <w:color w:val="000000" w:themeColor="text1"/>
          <w:lang w:val="en-US"/>
          <w14:textFill>
            <w14:solidFill>
              <w14:schemeClr w14:val="tx1"/>
            </w14:solidFill>
          </w14:textFill>
        </w:rPr>
        <w:t>postfixed</w:t>
      </w:r>
      <w:r>
        <w:rPr>
          <w:rFonts w:ascii="Times New Roman" w:hAnsi="Times New Roman" w:cs="Times New Roman"/>
          <w:color w:val="000000" w:themeColor="text1"/>
          <w:lang w:val="en-US"/>
          <w14:textFill>
            <w14:solidFill>
              <w14:schemeClr w14:val="tx1"/>
            </w14:solidFill>
          </w14:textFill>
        </w:rPr>
        <w:t xml:space="preserve"> with 1% OsO₄, and dehydrated through an </w:t>
      </w:r>
      <w:r>
        <w:rPr>
          <w:rFonts w:ascii="Times New Roman" w:hAnsi="Times New Roman" w:eastAsia="宋体" w:cs="Times New Roman"/>
          <w:color w:val="000000" w:themeColor="text1"/>
          <w:lang w:val="en-US"/>
          <w14:textFill>
            <w14:solidFill>
              <w14:schemeClr w14:val="tx1"/>
            </w14:solidFill>
          </w14:textFill>
        </w:rPr>
        <w:t>ethanol‒acetone</w:t>
      </w:r>
      <w:r>
        <w:rPr>
          <w:rFonts w:ascii="Times New Roman" w:hAnsi="Times New Roman" w:cs="Times New Roman"/>
          <w:color w:val="000000" w:themeColor="text1"/>
          <w:lang w:val="en-US"/>
          <w14:textFill>
            <w14:solidFill>
              <w14:schemeClr w14:val="tx1"/>
            </w14:solidFill>
          </w14:textFill>
        </w:rPr>
        <w:t xml:space="preserve"> gradient. Following resin infiltration (</w:t>
      </w:r>
      <w:r>
        <w:rPr>
          <w:rFonts w:ascii="Times New Roman" w:hAnsi="Times New Roman" w:eastAsia="宋体" w:cs="Times New Roman"/>
          <w:color w:val="000000" w:themeColor="text1"/>
          <w:lang w:val="en-US"/>
          <w14:textFill>
            <w14:solidFill>
              <w14:schemeClr w14:val="tx1"/>
            </w14:solidFill>
          </w14:textFill>
        </w:rPr>
        <w:t>acetone‒epoxy</w:t>
      </w:r>
      <w:r>
        <w:rPr>
          <w:rFonts w:ascii="Times New Roman" w:hAnsi="Times New Roman" w:cs="Times New Roman"/>
          <w:color w:val="000000" w:themeColor="text1"/>
          <w:lang w:val="en-US"/>
          <w14:textFill>
            <w14:solidFill>
              <w14:schemeClr w14:val="tx1"/>
            </w14:solidFill>
          </w14:textFill>
        </w:rPr>
        <w:t xml:space="preserve"> mixtures) and thermal polymerization (</w:t>
      </w:r>
      <w:r>
        <w:rPr>
          <w:rFonts w:ascii="Times New Roman" w:hAnsi="Times New Roman" w:eastAsia="宋体" w:cs="Times New Roman"/>
          <w:color w:val="000000" w:themeColor="text1"/>
          <w:lang w:val="en-US"/>
          <w14:textFill>
            <w14:solidFill>
              <w14:schemeClr w14:val="tx1"/>
            </w14:solidFill>
          </w14:textFill>
        </w:rPr>
        <w:t>35‒80°C</w:t>
      </w:r>
      <w:r>
        <w:rPr>
          <w:rFonts w:ascii="Times New Roman" w:hAnsi="Times New Roman" w:cs="Times New Roman"/>
          <w:color w:val="000000" w:themeColor="text1"/>
          <w:lang w:val="en-US"/>
          <w14:textFill>
            <w14:solidFill>
              <w14:schemeClr w14:val="tx1"/>
            </w14:solidFill>
          </w14:textFill>
        </w:rPr>
        <w:t>), ultrathin sections (</w:t>
      </w:r>
      <w:r>
        <w:rPr>
          <w:rFonts w:ascii="Times New Roman" w:hAnsi="Times New Roman" w:eastAsia="宋体" w:cs="Times New Roman"/>
          <w:color w:val="000000" w:themeColor="text1"/>
          <w:lang w:val="en-US"/>
          <w14:textFill>
            <w14:solidFill>
              <w14:schemeClr w14:val="tx1"/>
            </w14:solidFill>
          </w14:textFill>
        </w:rPr>
        <w:t>70‒90</w:t>
      </w:r>
      <w:r>
        <w:rPr>
          <w:rFonts w:ascii="Times New Roman" w:hAnsi="Times New Roman" w:cs="Times New Roman"/>
          <w:color w:val="000000" w:themeColor="text1"/>
          <w:lang w:val="en-US"/>
          <w14:textFill>
            <w14:solidFill>
              <w14:schemeClr w14:val="tx1"/>
            </w14:solidFill>
          </w14:textFill>
        </w:rPr>
        <w:t xml:space="preserve"> nm) were prepared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a Leica EM UC7 ultramicrotome </w:t>
      </w:r>
      <w:r>
        <w:rPr>
          <w:rFonts w:ascii="Times New Roman" w:hAnsi="Times New Roman" w:eastAsia="宋体" w:cs="Times New Roman"/>
          <w:color w:val="000000" w:themeColor="text1"/>
          <w:lang w:val="en-US"/>
          <w14:textFill>
            <w14:solidFill>
              <w14:schemeClr w14:val="tx1"/>
            </w14:solidFill>
          </w14:textFill>
        </w:rPr>
        <w:t xml:space="preserve">and </w:t>
      </w:r>
      <w:r>
        <w:rPr>
          <w:rFonts w:ascii="Times New Roman" w:hAnsi="Times New Roman" w:cs="Times New Roman"/>
          <w:color w:val="000000" w:themeColor="text1"/>
          <w:lang w:val="en-US"/>
          <w14:textFill>
            <w14:solidFill>
              <w14:schemeClr w14:val="tx1"/>
            </w14:solidFill>
          </w14:textFill>
        </w:rPr>
        <w:t xml:space="preserve">then stained with uranyl acetate and lead citrate for TEM observation of </w:t>
      </w:r>
      <w:r>
        <w:rPr>
          <w:rFonts w:ascii="Times New Roman" w:hAnsi="Times New Roman" w:eastAsia="宋体" w:cs="Times New Roman"/>
          <w:color w:val="000000" w:themeColor="text1"/>
          <w:lang w:val="en-US"/>
          <w14:textFill>
            <w14:solidFill>
              <w14:schemeClr w14:val="tx1"/>
            </w14:solidFill>
          </w14:textFill>
        </w:rPr>
        <w:t>PDA@PEG–melanosome</w:t>
      </w:r>
      <w:r>
        <w:rPr>
          <w:rFonts w:ascii="Times New Roman" w:hAnsi="Times New Roman" w:cs="Times New Roman"/>
          <w:color w:val="000000" w:themeColor="text1"/>
          <w:lang w:val="en-US"/>
          <w14:textFill>
            <w14:solidFill>
              <w14:schemeClr w14:val="tx1"/>
            </w14:solidFill>
          </w14:textFill>
        </w:rPr>
        <w:t xml:space="preserve"> interactions at subcellular resolution.</w:t>
      </w:r>
    </w:p>
    <w:p w14:paraId="72A2E74D">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lang w:val="en-US"/>
          <w14:textFill>
            <w14:solidFill>
              <w14:schemeClr w14:val="tx1"/>
            </w14:solidFill>
          </w14:textFill>
        </w:rPr>
        <w:t>Animal Model and Treatment Protocol</w:t>
      </w:r>
    </w:p>
    <w:p w14:paraId="288EFD7C">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All animal procedures complied with the NIH Guide for the Care and Use of Laboratory Animals and were approved by the Animal Care and Use Committee of Chongqing Medical University (Approval No: IACUC-CQMU-2025-03045). A vitiligo mouse model was established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a validated depigmentation protocol. Female C57BL/6 mice (</w:t>
      </w:r>
      <w:r>
        <w:rPr>
          <w:rFonts w:ascii="Times New Roman" w:hAnsi="Times New Roman" w:eastAsia="宋体" w:cs="Times New Roman"/>
          <w:color w:val="000000" w:themeColor="text1"/>
          <w:lang w:val="en-US"/>
          <w14:textFill>
            <w14:solidFill>
              <w14:schemeClr w14:val="tx1"/>
            </w14:solidFill>
          </w14:textFill>
        </w:rPr>
        <w:t>4–6</w:t>
      </w:r>
      <w:r>
        <w:rPr>
          <w:rFonts w:ascii="Times New Roman" w:hAnsi="Times New Roman" w:cs="Times New Roman"/>
          <w:color w:val="000000" w:themeColor="text1"/>
          <w:lang w:val="en-US"/>
          <w14:textFill>
            <w14:solidFill>
              <w14:schemeClr w14:val="tx1"/>
            </w14:solidFill>
          </w14:textFill>
        </w:rPr>
        <w:t xml:space="preserve"> weeks old, 16–20 g) were anesthetized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intraperitoneal injection of 5% chloral hydrate (350 mg/kg). A topical emulsion containing 33.3% (w/w) Vaseline (4 g), 50% (w/w) 4-benzyloxyphenol (6 g), and 16.7% (w/w) tretinoin (2 g) was applied uniformly to the depilated area every other day for 30 days </w:t>
      </w:r>
      <w:r>
        <w:rPr>
          <w:rFonts w:ascii="Times New Roman" w:hAnsi="Times New Roman" w:cs="Times New Roman"/>
          <w:color w:val="000000" w:themeColor="text1"/>
          <w14:textFill>
            <w14:solidFill>
              <w14:schemeClr w14:val="tx1"/>
            </w14:solidFill>
          </w14:textFill>
        </w:rPr>
        <w:fldChar w:fldCharType="begin">
          <w:fldData xml:space="preserve">PEVuZE5vdGU+PENpdGU+PEF1dGhvcj5HaXJpPC9BdXRob3I+PFllYXI+MjAyNDwvWWVhcj48UmVj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</w:fldData>
        </w:fldChar>
      </w:r>
      <w:r>
        <w:rPr>
          <w:rFonts w:ascii="Times New Roman" w:hAnsi="Times New Roman" w:cs="Times New Roman"/>
          <w:color w:val="000000" w:themeColor="text1"/>
          <w:lang w:val="en-US"/>
          <w14:textFill>
            <w14:solidFill>
              <w14:schemeClr w14:val="tx1"/>
            </w14:solidFill>
          </w14:textFill>
        </w:rPr>
        <w:instrText xml:space="preserve"> ADDIN EN.CITE </w:instrText>
      </w:r>
      <w:r>
        <w:rPr>
          <w:rFonts w:ascii="Times New Roman" w:hAnsi="Times New Roman" w:cs="Times New Roman"/>
          <w:color w:val="000000" w:themeColor="text1"/>
          <w14:textFill>
            <w14:solidFill>
              <w14:schemeClr w14:val="tx1"/>
            </w14:solidFill>
          </w14:textFill>
        </w:rPr>
        <w:fldChar w:fldCharType="begin">
          <w:fldData xml:space="preserve">PEVuZE5vdGU+PENpdGU+PEF1dGhvcj5HaXJpPC9BdXRob3I+PFllYXI+MjAyNDwvWWVhcj48UmVj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</w:fldData>
        </w:fldChar>
      </w:r>
      <w:r>
        <w:rPr>
          <w:rFonts w:ascii="Times New Roman" w:hAnsi="Times New Roman" w:cs="Times New Roman"/>
          <w:color w:val="000000" w:themeColor="text1"/>
          <w:lang w:val="en-US"/>
          <w14:textFill>
            <w14:solidFill>
              <w14:schemeClr w14:val="tx1"/>
            </w14:solidFill>
          </w14:textFill>
        </w:rPr>
        <w:instrText xml:space="preserve"> ADDIN EN.CITE.DATA </w:instrText>
      </w:r>
      <w:r>
        <w:rPr>
          <w:rFonts w:ascii="Times New Roman" w:hAnsi="Times New Roman" w:cs="Times New Roman"/>
          <w:color w:val="000000" w:themeColor="text1"/>
          <w14:textFill>
            <w14:solidFill>
              <w14:schemeClr w14:val="tx1"/>
            </w14:solidFill>
          </w14:textFill>
        </w:rPr>
        <w:fldChar w:fldCharType="separate"/>
      </w:r>
      <w:r>
        <w:rPr>
          <w:rFonts w:ascii="Times New Roman" w:hAnsi="Times New Roman" w:cs="Times New Roman"/>
          <w:color w:val="000000" w:themeColor="text1"/>
          <w14:textFill>
            <w14:solidFill>
              <w14:schemeClr w14:val="tx1"/>
            </w14:solidFill>
          </w14:textFill>
        </w:rPr>
        <w:fldChar w:fldCharType="end"/>
      </w:r>
      <w:r>
        <w:rPr>
          <w:rFonts w:ascii="Times New Roman" w:hAnsi="Times New Roman" w:cs="Times New Roman"/>
          <w:color w:val="000000" w:themeColor="text1"/>
          <w14:textFill>
            <w14:solidFill>
              <w14:schemeClr w14:val="tx1"/>
            </w14:solidFill>
          </w14:textFill>
        </w:rPr>
        <w:fldChar w:fldCharType="separate"/>
      </w:r>
      <w:r>
        <w:rPr>
          <w:rFonts w:ascii="Times New Roman" w:hAnsi="Times New Roman" w:cs="Times New Roman"/>
          <w:color w:val="000000" w:themeColor="text1"/>
          <w:lang w:val="en-US"/>
          <w14:textFill>
            <w14:solidFill>
              <w14:schemeClr w14:val="tx1"/>
            </w14:solidFill>
          </w14:textFill>
        </w:rPr>
        <w:t>[1]</w:t>
      </w:r>
      <w:r>
        <w:rPr>
          <w:rFonts w:ascii="Times New Roman" w:hAnsi="Times New Roman" w:cs="Times New Roman"/>
          <w:color w:val="000000" w:themeColor="text1"/>
          <w14:textFill>
            <w14:solidFill>
              <w14:schemeClr w14:val="tx1"/>
            </w14:solidFill>
          </w14:textFill>
        </w:rPr>
        <w:fldChar w:fldCharType="end"/>
      </w:r>
      <w:r>
        <w:rPr>
          <w:rFonts w:ascii="Times New Roman" w:hAnsi="Times New Roman" w:cs="Times New Roman"/>
          <w:color w:val="000000" w:themeColor="text1"/>
          <w:lang w:val="en-US"/>
          <w14:textFill>
            <w14:solidFill>
              <w14:schemeClr w14:val="tx1"/>
            </w14:solidFill>
          </w14:textFill>
        </w:rPr>
        <w:t xml:space="preserve">. </w:t>
      </w:r>
      <w:r>
        <w:rPr>
          <w:rFonts w:ascii="Times New Roman" w:hAnsi="Times New Roman" w:eastAsia="宋体" w:cs="Times New Roman"/>
          <w:color w:val="000000" w:themeColor="text1"/>
          <w:lang w:val="en-US"/>
          <w14:textFill>
            <w14:solidFill>
              <w14:schemeClr w14:val="tx1"/>
            </w14:solidFill>
          </w14:textFill>
        </w:rPr>
        <w:t>The mice</w:t>
      </w:r>
      <w:r>
        <w:rPr>
          <w:rFonts w:ascii="Times New Roman" w:hAnsi="Times New Roman" w:cs="Times New Roman"/>
          <w:color w:val="000000" w:themeColor="text1"/>
          <w:lang w:val="en-US"/>
          <w14:textFill>
            <w14:solidFill>
              <w14:schemeClr w14:val="tx1"/>
            </w14:solidFill>
          </w14:textFill>
        </w:rPr>
        <w:t xml:space="preserve"> were housed under standard conditions with ad libitum access to food and water throughout the study.</w:t>
      </w:r>
    </w:p>
    <w:p w14:paraId="05C06A1B">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Following successful establishment of the vitiligo mouse model,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 xml:space="preserve">mice were randomly divided into five groups (n=5 per group): </w:t>
      </w:r>
      <w:r>
        <w:rPr>
          <w:rFonts w:hint="eastAsia" w:ascii="Times New Roman" w:hAnsi="Times New Roman" w:cs="Times New Roman"/>
          <w:color w:val="000000" w:themeColor="text1"/>
          <w:lang w:val="en-US" w:eastAsia="zh-CN"/>
          <w14:textFill>
            <w14:solidFill>
              <w14:schemeClr w14:val="tx1"/>
            </w14:solidFill>
          </w14:textFill>
        </w:rPr>
        <w:t>C</w:t>
      </w:r>
      <w:r>
        <w:rPr>
          <w:rFonts w:ascii="Times New Roman" w:hAnsi="Times New Roman" w:eastAsia="宋体" w:cs="Times New Roman"/>
          <w:color w:val="000000" w:themeColor="text1"/>
          <w:lang w:val="en-US"/>
          <w14:textFill>
            <w14:solidFill>
              <w14:schemeClr w14:val="tx1"/>
            </w14:solidFill>
          </w14:textFill>
        </w:rPr>
        <w:t>ontrol</w:t>
      </w:r>
      <w:r>
        <w:rPr>
          <w:rFonts w:ascii="Times New Roman" w:hAnsi="Times New Roman" w:cs="Times New Roman"/>
          <w:color w:val="000000" w:themeColor="text1"/>
          <w:lang w:val="en-US"/>
          <w14:textFill>
            <w14:solidFill>
              <w14:schemeClr w14:val="tx1"/>
            </w14:solidFill>
          </w14:textFill>
        </w:rPr>
        <w:t>, HAMA MNs, HAMA/G-</w:t>
      </w:r>
      <w:r>
        <w:rPr>
          <w:rFonts w:ascii="Times New Roman" w:hAnsi="Times New Roman" w:eastAsia="宋体" w:cs="Times New Roman"/>
          <w:color w:val="000000" w:themeColor="text1"/>
          <w:lang w:val="en-US"/>
          <w14:textFill>
            <w14:solidFill>
              <w14:schemeClr w14:val="tx1"/>
            </w14:solidFill>
          </w14:textFill>
        </w:rPr>
        <w:t>Exo@TM</w:t>
      </w:r>
      <w:r>
        <w:rPr>
          <w:rFonts w:ascii="Times New Roman" w:hAnsi="Times New Roman" w:cs="Times New Roman"/>
          <w:color w:val="000000" w:themeColor="text1"/>
          <w:lang w:val="en-US"/>
          <w14:textFill>
            <w14:solidFill>
              <w14:schemeClr w14:val="tx1"/>
            </w14:solidFill>
          </w14:textFill>
        </w:rPr>
        <w:t xml:space="preserve"> MNs, HAMA/PDA@PEG MNs, and HAMA/G-</w:t>
      </w:r>
      <w:r>
        <w:rPr>
          <w:rFonts w:ascii="Times New Roman" w:hAnsi="Times New Roman" w:eastAsia="宋体" w:cs="Times New Roman"/>
          <w:color w:val="000000" w:themeColor="text1"/>
          <w:lang w:val="en-US"/>
          <w14:textFill>
            <w14:solidFill>
              <w14:schemeClr w14:val="tx1"/>
            </w14:solidFill>
          </w14:textFill>
        </w:rPr>
        <w:t>Exo@TM</w:t>
      </w:r>
      <w:r>
        <w:rPr>
          <w:rFonts w:ascii="Times New Roman" w:hAnsi="Times New Roman" w:cs="Times New Roman"/>
          <w:color w:val="000000" w:themeColor="text1"/>
          <w:lang w:val="en-US"/>
          <w14:textFill>
            <w14:solidFill>
              <w14:schemeClr w14:val="tx1"/>
            </w14:solidFill>
          </w14:textFill>
        </w:rPr>
        <w:t xml:space="preserve">/PDA@PEG MNs. Dry MNs were inserted into the dorsal vitiliginous area (two patches per mouse). Treatments were administered every 3 </w:t>
      </w:r>
      <w:r>
        <w:rPr>
          <w:rFonts w:ascii="Times New Roman" w:hAnsi="Times New Roman" w:eastAsia="宋体" w:cs="Times New Roman"/>
          <w:color w:val="000000" w:themeColor="text1"/>
          <w:lang w:val="en-US"/>
          <w14:textFill>
            <w14:solidFill>
              <w14:schemeClr w14:val="tx1"/>
            </w14:solidFill>
          </w14:textFill>
        </w:rPr>
        <w:t>days</w:t>
      </w:r>
      <w:r>
        <w:rPr>
          <w:rFonts w:ascii="Times New Roman" w:hAnsi="Times New Roman" w:cs="Times New Roman"/>
          <w:color w:val="000000" w:themeColor="text1"/>
          <w:lang w:val="en-US"/>
          <w14:textFill>
            <w14:solidFill>
              <w14:schemeClr w14:val="tx1"/>
            </w14:solidFill>
          </w14:textFill>
        </w:rPr>
        <w:t xml:space="preserve"> for 3 weeks. Depigmentation severity was scored on the </w:t>
      </w:r>
      <w:r>
        <w:rPr>
          <w:rFonts w:ascii="Times New Roman" w:hAnsi="Times New Roman" w:eastAsia="宋体" w:cs="Times New Roman"/>
          <w:color w:val="000000" w:themeColor="text1"/>
          <w:lang w:val="en-US"/>
          <w14:textFill>
            <w14:solidFill>
              <w14:schemeClr w14:val="tx1"/>
            </w14:solidFill>
          </w14:textFill>
        </w:rPr>
        <w:t xml:space="preserve">basis of the </w:t>
      </w:r>
      <w:r>
        <w:rPr>
          <w:rFonts w:ascii="Times New Roman" w:hAnsi="Times New Roman" w:cs="Times New Roman"/>
          <w:color w:val="000000" w:themeColor="text1"/>
          <w:lang w:val="en-US"/>
          <w14:textFill>
            <w14:solidFill>
              <w14:schemeClr w14:val="tx1"/>
            </w14:solidFill>
          </w14:textFill>
        </w:rPr>
        <w:t xml:space="preserve">percentage of depigmented area in the exposed dorsal skin: 0% = 0 points; &gt;5% = 1 point; &gt;5–25% = 2 points; &gt;25–50% = 3 points; &gt;50–75% = 4 points; </w:t>
      </w:r>
      <w:r>
        <w:rPr>
          <w:rFonts w:ascii="Times New Roman" w:hAnsi="Times New Roman" w:eastAsia="宋体" w:cs="Times New Roman"/>
          <w:color w:val="000000" w:themeColor="text1"/>
          <w:lang w:val="en-US"/>
          <w14:textFill>
            <w14:solidFill>
              <w14:schemeClr w14:val="tx1"/>
            </w14:solidFill>
          </w14:textFill>
        </w:rPr>
        <w:t xml:space="preserve">and </w:t>
      </w:r>
      <w:r>
        <w:rPr>
          <w:rFonts w:ascii="Times New Roman" w:hAnsi="Times New Roman" w:cs="Times New Roman"/>
          <w:color w:val="000000" w:themeColor="text1"/>
          <w:lang w:val="en-US"/>
          <w14:textFill>
            <w14:solidFill>
              <w14:schemeClr w14:val="tx1"/>
            </w14:solidFill>
          </w14:textFill>
        </w:rPr>
        <w:t xml:space="preserve">&gt;75–100% = 5 points </w:t>
      </w:r>
      <w:r>
        <w:rPr>
          <w:rFonts w:ascii="Times New Roman" w:hAnsi="Times New Roman" w:cs="Times New Roman"/>
          <w:color w:val="000000" w:themeColor="text1"/>
          <w14:textFill>
            <w14:solidFill>
              <w14:schemeClr w14:val="tx1"/>
            </w14:solidFill>
          </w14:textFill>
        </w:rPr>
        <w:fldChar w:fldCharType="begin"/>
      </w:r>
      <w:r>
        <w:rPr>
          <w:rFonts w:ascii="Times New Roman" w:hAnsi="Times New Roman" w:cs="Times New Roman"/>
          <w:color w:val="000000" w:themeColor="text1"/>
          <w:lang w:val="en-US"/>
          <w14:textFill>
            <w14:solidFill>
              <w14:schemeClr w14:val="tx1"/>
            </w14:solidFill>
          </w14:textFill>
        </w:rPr>
        <w:instrText xml:space="preserve"> ADDIN EN.CITE &lt;EndNote&gt;&lt;Cite&gt;&lt;Author&gt;Zhu&lt;/Author&gt;&lt;Year&gt;2013&lt;/Year&gt;&lt;RecNum&gt;60&lt;/RecNum&gt;&lt;DisplayText&gt;[2]&lt;/DisplayText&gt;&lt;record&gt;&lt;rec-number&gt;60&lt;/rec-number&gt;&lt;foreign-keys&gt;&lt;key app="EN" db-id="2a55et0d4twrv1exawb5afp10svazv9xtfsr" timestamp="1755332462"&gt;60&lt;/key&gt;&lt;/foreign-keys&gt;&lt;ref-type name="Journal Article"&gt;17&lt;/ref-type&gt;&lt;contributors&gt;&lt;authors&gt;&lt;author&gt;Zhu, Y.&lt;/author&gt;&lt;author&gt;Wang, S.&lt;/author&gt;&lt;author&gt;Xu, A.&lt;/author&gt;&lt;/authors&gt;&lt;/contributors&gt;&lt;titles&gt;&lt;title&gt;A mouse model of vitiligo induced by monobenzone&lt;/title&gt;&lt;secondary-title&gt;Exp Dermatol&lt;/secondary-title&gt;&lt;/titles&gt;&lt;periodical&gt;&lt;full-title&gt;Exp Dermatol&lt;/full-title&gt;&lt;/periodical&gt;&lt;pages&gt;499-501&lt;/pages&gt;&lt;volume&gt;22&lt;/volume&gt;&lt;number&gt;7&lt;/number&gt;&lt;keywords&gt;&lt;keyword&gt;Animals&lt;/keyword&gt;&lt;keyword&gt;Autoimmunity&lt;/keyword&gt;&lt;keyword&gt;CD8-Positive T-Lymphocytes/drug effects&lt;/keyword&gt;&lt;keyword&gt;*Disease Models, Animal&lt;/keyword&gt;&lt;keyword&gt;Dose-Response Relationship, Drug&lt;/keyword&gt;&lt;keyword&gt;Hydroquinones/*chemistry&lt;/keyword&gt;&lt;keyword&gt;Hypopigmentation/drug therapy&lt;/keyword&gt;&lt;keyword&gt;Melanocytes/drug effects&lt;/keyword&gt;&lt;keyword&gt;Mice&lt;/keyword&gt;&lt;keyword&gt;Mice, Inbred C57BL&lt;/keyword&gt;&lt;keyword&gt;Skin/drug effects&lt;/keyword&gt;&lt;keyword&gt;Vitiligo/*chemically induced&lt;/keyword&gt;&lt;/keywords&gt;&lt;dates&gt;&lt;year&gt;2013&lt;/year&gt;&lt;pub-dates&gt;&lt;date&gt;Jul&lt;/date&gt;&lt;/pub-dates&gt;&lt;/dates&gt;&lt;isbn&gt;1600-0625 (Electronic)&amp;#xD;0906-6705 (Linking)&lt;/isbn&gt;&lt;accession-num&gt;23800067&lt;/accession-num&gt;&lt;urls&gt;&lt;related-urls&gt;&lt;url&gt;https://www.ncbi.nlm.nih.gov/pubmed/23800067&lt;/url&gt;&lt;/related-urls&gt;&lt;/urls&gt;&lt;electronic-resource-num&gt;10.1111/exd.12184&lt;/electronic-resource-num&gt;&lt;remote-database-name&gt;Medline&lt;/remote-database-name&gt;&lt;remote-database-provider&gt;NLM&lt;/remote-database-provider&gt;&lt;/record&gt;&lt;/Cite&gt;&lt;/EndNote&gt;</w:instrText>
      </w:r>
      <w:r>
        <w:rPr>
          <w:rFonts w:ascii="Times New Roman" w:hAnsi="Times New Roman" w:cs="Times New Roman"/>
          <w:color w:val="000000" w:themeColor="text1"/>
          <w14:textFill>
            <w14:solidFill>
              <w14:schemeClr w14:val="tx1"/>
            </w14:solidFill>
          </w14:textFill>
        </w:rPr>
        <w:fldChar w:fldCharType="separate"/>
      </w:r>
      <w:r>
        <w:rPr>
          <w:rFonts w:ascii="Times New Roman" w:hAnsi="Times New Roman" w:cs="Times New Roman"/>
          <w:color w:val="000000" w:themeColor="text1"/>
          <w:lang w:val="en-US"/>
          <w14:textFill>
            <w14:solidFill>
              <w14:schemeClr w14:val="tx1"/>
            </w14:solidFill>
          </w14:textFill>
        </w:rPr>
        <w:t>[2]</w:t>
      </w:r>
      <w:r>
        <w:rPr>
          <w:rFonts w:ascii="Times New Roman" w:hAnsi="Times New Roman" w:cs="Times New Roman"/>
          <w:color w:val="000000" w:themeColor="text1"/>
          <w14:textFill>
            <w14:solidFill>
              <w14:schemeClr w14:val="tx1"/>
            </w14:solidFill>
          </w14:textFill>
        </w:rPr>
        <w:fldChar w:fldCharType="end"/>
      </w:r>
      <w:r>
        <w:rPr>
          <w:rFonts w:ascii="Times New Roman" w:hAnsi="Times New Roman" w:cs="Times New Roman"/>
          <w:color w:val="000000" w:themeColor="text1"/>
          <w:lang w:val="en-US"/>
          <w14:textFill>
            <w14:solidFill>
              <w14:schemeClr w14:val="tx1"/>
            </w14:solidFill>
          </w14:textFill>
        </w:rPr>
        <w:t>.</w:t>
      </w:r>
    </w:p>
    <w:p w14:paraId="47EC109C">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14:textFill>
            <w14:solidFill>
              <w14:schemeClr w14:val="tx1"/>
            </w14:solidFill>
          </w14:textFill>
        </w:rPr>
      </w:pPr>
      <w:bookmarkStart w:id="5" w:name="OLE_LINK21"/>
      <w:r>
        <w:rPr>
          <w:rFonts w:ascii="Times New Roman" w:hAnsi="Times New Roman" w:cs="Times New Roman"/>
          <w:b/>
          <w:bCs/>
          <w:color w:val="000000" w:themeColor="text1"/>
          <w:lang w:val="en-US"/>
          <w14:textFill>
            <w14:solidFill>
              <w14:schemeClr w14:val="tx1"/>
            </w14:solidFill>
          </w14:textFill>
        </w:rPr>
        <w:t xml:space="preserve">Histological </w:t>
      </w:r>
      <w:r>
        <w:rPr>
          <w:rFonts w:ascii="Times New Roman" w:hAnsi="Times New Roman" w:eastAsia="宋体" w:cs="Times New Roman"/>
          <w:b/>
          <w:bCs/>
          <w:color w:val="000000" w:themeColor="text1"/>
          <w:lang w:val="en-US"/>
          <w14:textFill>
            <w14:solidFill>
              <w14:schemeClr w14:val="tx1"/>
            </w14:solidFill>
          </w14:textFill>
        </w:rPr>
        <w:t>analysis</w:t>
      </w:r>
    </w:p>
    <w:p w14:paraId="74EBDD9A">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Skin tissues were harvested and fixed in 4% buffered paraformaldehyde. After fixation, </w:t>
      </w:r>
      <w:r>
        <w:rPr>
          <w:rFonts w:ascii="Times New Roman" w:hAnsi="Times New Roman" w:eastAsia="宋体" w:cs="Times New Roman"/>
          <w:color w:val="000000" w:themeColor="text1"/>
          <w:lang w:val="en-US"/>
          <w14:textFill>
            <w14:solidFill>
              <w14:schemeClr w14:val="tx1"/>
            </w14:solidFill>
          </w14:textFill>
        </w:rPr>
        <w:t xml:space="preserve">the </w:t>
      </w:r>
      <w:bookmarkStart w:id="6" w:name="OLE_LINK22"/>
      <w:r>
        <w:rPr>
          <w:rFonts w:ascii="Times New Roman" w:hAnsi="Times New Roman" w:cs="Times New Roman"/>
          <w:color w:val="000000" w:themeColor="text1"/>
          <w:lang w:val="en-US"/>
          <w14:textFill>
            <w14:solidFill>
              <w14:schemeClr w14:val="tx1"/>
            </w14:solidFill>
          </w14:textFill>
        </w:rPr>
        <w:t xml:space="preserve">tissues were dehydrated through a graded ethanol series (75%, 85%, 95%, and 100%), cleared in xylene, and embedded in paraffin. Sections </w:t>
      </w:r>
      <w:r>
        <w:rPr>
          <w:rFonts w:ascii="Times New Roman" w:hAnsi="Times New Roman" w:eastAsia="宋体" w:cs="Times New Roman"/>
          <w:color w:val="000000" w:themeColor="text1"/>
          <w:lang w:val="en-US"/>
          <w14:textFill>
            <w14:solidFill>
              <w14:schemeClr w14:val="tx1"/>
            </w14:solidFill>
          </w14:textFill>
        </w:rPr>
        <w:t>(</w:t>
      </w:r>
      <w:r>
        <w:rPr>
          <w:rFonts w:ascii="Times New Roman" w:hAnsi="Times New Roman" w:cs="Times New Roman"/>
          <w:color w:val="000000" w:themeColor="text1"/>
          <w:lang w:val="en-US"/>
          <w14:textFill>
            <w14:solidFill>
              <w14:schemeClr w14:val="tx1"/>
            </w14:solidFill>
          </w14:textFill>
        </w:rPr>
        <w:t>8 μm thickness</w:t>
      </w:r>
      <w:r>
        <w:rPr>
          <w:rFonts w:ascii="Times New Roman" w:hAnsi="Times New Roman" w:eastAsia="宋体" w:cs="Times New Roman"/>
          <w:color w:val="000000" w:themeColor="text1"/>
          <w:lang w:val="en-US"/>
          <w14:textFill>
            <w14:solidFill>
              <w14:schemeClr w14:val="tx1"/>
            </w14:solidFill>
          </w14:textFill>
        </w:rPr>
        <w:t>)</w:t>
      </w:r>
      <w:r>
        <w:rPr>
          <w:rFonts w:ascii="Times New Roman" w:hAnsi="Times New Roman" w:cs="Times New Roman"/>
          <w:color w:val="000000" w:themeColor="text1"/>
          <w:lang w:val="en-US"/>
          <w14:textFill>
            <w14:solidFill>
              <w14:schemeClr w14:val="tx1"/>
            </w14:solidFill>
          </w14:textFill>
        </w:rPr>
        <w:t xml:space="preserve"> were prepared for staining. Histochemical analyses included</w:t>
      </w:r>
      <w:r>
        <w:rPr>
          <w:rFonts w:ascii="Times New Roman" w:hAnsi="Times New Roman" w:cs="Times New Roman"/>
          <w:b/>
          <w:bCs/>
          <w:color w:val="000000" w:themeColor="text1"/>
          <w:lang w:val="en-US"/>
          <w14:textFill>
            <w14:solidFill>
              <w14:schemeClr w14:val="tx1"/>
            </w14:solidFill>
          </w14:textFill>
        </w:rPr>
        <w:t xml:space="preserve"> </w:t>
      </w:r>
      <w:r>
        <w:rPr>
          <w:rFonts w:ascii="Times New Roman" w:hAnsi="Times New Roman" w:cs="Times New Roman"/>
          <w:color w:val="000000" w:themeColor="text1"/>
          <w:lang w:val="en-US"/>
          <w14:textFill>
            <w14:solidFill>
              <w14:schemeClr w14:val="tx1"/>
            </w14:solidFill>
          </w14:textFill>
        </w:rPr>
        <w:t xml:space="preserve">H&amp;E for general histomorphology and Masson–Fontana staining to quantify melanin deposition. Immunofluorescence staining was performed to evaluate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 xml:space="preserve">ROS levels, assess </w:t>
      </w:r>
      <w:r>
        <w:rPr>
          <w:rFonts w:ascii="Times New Roman" w:hAnsi="Times New Roman" w:eastAsia="宋体" w:cs="Times New Roman"/>
          <w:color w:val="000000" w:themeColor="text1"/>
          <w:lang w:val="en-US"/>
          <w14:textFill>
            <w14:solidFill>
              <w14:schemeClr w14:val="tx1"/>
            </w14:solidFill>
          </w14:textFill>
        </w:rPr>
        <w:t>the co</w:t>
      </w:r>
      <w:r>
        <w:rPr>
          <w:rFonts w:hint="eastAsia" w:ascii="Times New Roman" w:hAnsi="Times New Roman" w:cs="Times New Roman"/>
          <w:color w:val="000000" w:themeColor="text1"/>
          <w:lang w:val="en-US" w:eastAsia="zh-CN"/>
          <w14:textFill>
            <w14:solidFill>
              <w14:schemeClr w14:val="tx1"/>
            </w14:solidFill>
          </w14:textFill>
        </w:rPr>
        <w:t>-</w:t>
      </w:r>
      <w:r>
        <w:rPr>
          <w:rFonts w:ascii="Times New Roman" w:hAnsi="Times New Roman" w:eastAsia="宋体" w:cs="Times New Roman"/>
          <w:color w:val="000000" w:themeColor="text1"/>
          <w:lang w:val="en-US"/>
          <w14:textFill>
            <w14:solidFill>
              <w14:schemeClr w14:val="tx1"/>
            </w14:solidFill>
          </w14:textFill>
        </w:rPr>
        <w:t>localization of</w:t>
      </w:r>
      <w:r>
        <w:rPr>
          <w:rFonts w:ascii="Times New Roman" w:hAnsi="Times New Roman" w:cs="Times New Roman"/>
          <w:b/>
          <w:bCs/>
          <w:color w:val="000000" w:themeColor="text1"/>
          <w:lang w:val="en-US"/>
          <w14:textFill>
            <w14:solidFill>
              <w14:schemeClr w14:val="tx1"/>
            </w14:solidFill>
          </w14:textFill>
        </w:rPr>
        <w:t xml:space="preserve"> </w:t>
      </w:r>
      <w:r>
        <w:rPr>
          <w:rFonts w:ascii="Times New Roman" w:hAnsi="Times New Roman" w:cs="Times New Roman"/>
          <w:color w:val="000000" w:themeColor="text1"/>
          <w:lang w:val="en-US"/>
          <w14:textFill>
            <w14:solidFill>
              <w14:schemeClr w14:val="tx1"/>
            </w14:solidFill>
          </w14:textFill>
        </w:rPr>
        <w:t>K19 and PCNA for hair follicle cell proliferation analysis, and determine the localization of TRP2</w:t>
      </w:r>
      <w:r>
        <w:rPr>
          <w:rFonts w:ascii="Times New Roman" w:hAnsi="Times New Roman" w:cs="Times New Roman"/>
          <w:b/>
          <w:bCs/>
          <w:color w:val="000000" w:themeColor="text1"/>
          <w:lang w:val="en-US"/>
          <w14:textFill>
            <w14:solidFill>
              <w14:schemeClr w14:val="tx1"/>
            </w14:solidFill>
          </w14:textFill>
        </w:rPr>
        <w:t xml:space="preserve"> </w:t>
      </w:r>
      <w:r>
        <w:rPr>
          <w:rFonts w:ascii="Times New Roman" w:hAnsi="Times New Roman" w:cs="Times New Roman"/>
          <w:color w:val="000000" w:themeColor="text1"/>
          <w:lang w:val="en-US"/>
          <w14:textFill>
            <w14:solidFill>
              <w14:schemeClr w14:val="tx1"/>
            </w14:solidFill>
          </w14:textFill>
        </w:rPr>
        <w:t xml:space="preserve">to identify melanocytes. Additionally, immunohistochemical staining was conducted to detect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protein expression levels of TNF-α, IL-17A, PIK3R3</w:t>
      </w:r>
      <w:bookmarkEnd w:id="6"/>
      <w:r>
        <w:rPr>
          <w:rFonts w:ascii="Times New Roman" w:hAnsi="Times New Roman" w:cs="Times New Roman"/>
          <w:color w:val="000000" w:themeColor="text1"/>
          <w:lang w:val="en-US"/>
          <w14:textFill>
            <w14:solidFill>
              <w14:schemeClr w14:val="tx1"/>
            </w14:solidFill>
          </w14:textFill>
        </w:rPr>
        <w:t>, and ApoE</w:t>
      </w:r>
      <w:r>
        <w:rPr>
          <w:rFonts w:ascii="Times New Roman" w:hAnsi="Times New Roman" w:cs="Times New Roman"/>
          <w:b/>
          <w:bCs/>
          <w:color w:val="000000" w:themeColor="text1"/>
          <w:lang w:val="en-US"/>
          <w14:textFill>
            <w14:solidFill>
              <w14:schemeClr w14:val="tx1"/>
            </w14:solidFill>
          </w14:textFill>
        </w:rPr>
        <w:t xml:space="preserve"> </w:t>
      </w:r>
      <w:r>
        <w:rPr>
          <w:rFonts w:ascii="Times New Roman" w:hAnsi="Times New Roman" w:cs="Times New Roman"/>
          <w:color w:val="000000" w:themeColor="text1"/>
          <w:lang w:val="en-US"/>
          <w14:textFill>
            <w14:solidFill>
              <w14:schemeClr w14:val="tx1"/>
            </w14:solidFill>
          </w14:textFill>
        </w:rPr>
        <w:t>in skin tissues.</w:t>
      </w:r>
    </w:p>
    <w:bookmarkEnd w:id="5"/>
    <w:p w14:paraId="1DED247D">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14:textFill>
            <w14:solidFill>
              <w14:schemeClr w14:val="tx1"/>
            </w14:solidFill>
          </w14:textFill>
        </w:rPr>
      </w:pPr>
      <w:bookmarkStart w:id="7" w:name="OLE_LINK23"/>
      <w:r>
        <w:rPr>
          <w:rFonts w:ascii="Times New Roman" w:hAnsi="Times New Roman" w:cs="Times New Roman"/>
          <w:b/>
          <w:bCs/>
          <w:color w:val="000000" w:themeColor="text1"/>
          <w:lang w:val="en-US"/>
          <w14:textFill>
            <w14:solidFill>
              <w14:schemeClr w14:val="tx1"/>
            </w14:solidFill>
          </w14:textFill>
        </w:rPr>
        <w:t xml:space="preserve">Antioxidant </w:t>
      </w:r>
      <w:r>
        <w:rPr>
          <w:rFonts w:ascii="Times New Roman" w:hAnsi="Times New Roman" w:eastAsia="宋体" w:cs="Times New Roman"/>
          <w:b/>
          <w:bCs/>
          <w:color w:val="000000" w:themeColor="text1"/>
          <w:lang w:val="en-US"/>
          <w14:textFill>
            <w14:solidFill>
              <w14:schemeClr w14:val="tx1"/>
            </w14:solidFill>
          </w14:textFill>
        </w:rPr>
        <w:t>stress</w:t>
      </w:r>
      <w:r>
        <w:rPr>
          <w:rFonts w:ascii="Times New Roman" w:hAnsi="Times New Roman" w:cs="Times New Roman"/>
          <w:b/>
          <w:bCs/>
          <w:color w:val="000000" w:themeColor="text1"/>
          <w:lang w:val="en-US"/>
          <w14:textFill>
            <w14:solidFill>
              <w14:schemeClr w14:val="tx1"/>
            </w14:solidFill>
          </w14:textFill>
        </w:rPr>
        <w:t xml:space="preserve"> and </w:t>
      </w:r>
      <w:r>
        <w:rPr>
          <w:rFonts w:ascii="Times New Roman" w:hAnsi="Times New Roman" w:eastAsia="宋体" w:cs="Times New Roman"/>
          <w:b/>
          <w:bCs/>
          <w:color w:val="000000" w:themeColor="text1"/>
          <w:lang w:val="en-US"/>
          <w14:textFill>
            <w14:solidFill>
              <w14:schemeClr w14:val="tx1"/>
            </w14:solidFill>
          </w14:textFill>
        </w:rPr>
        <w:t>anti</w:t>
      </w:r>
      <w:r>
        <w:rPr>
          <w:rFonts w:ascii="Times New Roman" w:hAnsi="Times New Roman" w:cs="Times New Roman"/>
          <w:b/>
          <w:bCs/>
          <w:color w:val="000000" w:themeColor="text1"/>
          <w:lang w:val="en-US"/>
          <w14:textFill>
            <w14:solidFill>
              <w14:schemeClr w14:val="tx1"/>
            </w14:solidFill>
          </w14:textFill>
        </w:rPr>
        <w:t xml:space="preserve">-inflammatory </w:t>
      </w:r>
      <w:r>
        <w:rPr>
          <w:rFonts w:hint="default" w:ascii="Times New Roman Bold" w:hAnsi="Times New Roman Bold" w:eastAsia="宋体" w:cs="Times New Roman Bold"/>
          <w:b/>
          <w:bCs/>
          <w:i w:val="0"/>
          <w:iCs w:val="0"/>
          <w:color w:val="000000" w:themeColor="text1"/>
          <w:lang w:val="en-US"/>
          <w14:textFill>
            <w14:solidFill>
              <w14:schemeClr w14:val="tx1"/>
            </w14:solidFill>
          </w14:textFill>
        </w:rPr>
        <w:t xml:space="preserve">activity analysis </w:t>
      </w:r>
      <w:r>
        <w:rPr>
          <w:rFonts w:ascii="Times New Roman" w:hAnsi="Times New Roman" w:eastAsia="宋体" w:cs="Times New Roman"/>
          <w:b/>
          <w:bCs/>
          <w:i/>
          <w:iCs/>
          <w:color w:val="000000" w:themeColor="text1"/>
          <w:lang w:val="en-US"/>
          <w14:textFill>
            <w14:solidFill>
              <w14:schemeClr w14:val="tx1"/>
            </w14:solidFill>
          </w14:textFill>
        </w:rPr>
        <w:t>in vivo</w:t>
      </w:r>
    </w:p>
    <w:p w14:paraId="334F5AB6">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After treatment,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 xml:space="preserve">skin tissues were harvested for biochemical analyses.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 xml:space="preserve">MDA concentration and the activities of SOD and CAT were measured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commercial assay kits according to the manufacturer’s protocols. For cytokine quantification, additional tissue samples were homogenized in RIPA lysis buffer on ice, followed by centrifugation at 12,000 × g for 15 minutes at 4°C. The resulting supernatants were collected, and TNF-α and IL-6 levels were determined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ELISA kits following the manufacturer's instructions.</w:t>
      </w:r>
    </w:p>
    <w:bookmarkEnd w:id="7"/>
    <w:p w14:paraId="21089A12">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lang w:val="en-US"/>
          <w14:textFill>
            <w14:solidFill>
              <w14:schemeClr w14:val="tx1"/>
            </w14:solidFill>
          </w14:textFill>
        </w:rPr>
        <w:t>Transcriptome Analysis of Skin Tissues</w:t>
      </w:r>
    </w:p>
    <w:p w14:paraId="668F0284">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lang w:val="en-US"/>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Skin tissues from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control and HAMA/G-</w:t>
      </w:r>
      <w:r>
        <w:rPr>
          <w:rFonts w:ascii="Times New Roman" w:hAnsi="Times New Roman" w:eastAsia="宋体" w:cs="Times New Roman"/>
          <w:color w:val="000000" w:themeColor="text1"/>
          <w:lang w:val="en-US"/>
          <w14:textFill>
            <w14:solidFill>
              <w14:schemeClr w14:val="tx1"/>
            </w14:solidFill>
          </w14:textFill>
        </w:rPr>
        <w:t>Exo@TM</w:t>
      </w:r>
      <w:r>
        <w:rPr>
          <w:rFonts w:ascii="Times New Roman" w:hAnsi="Times New Roman" w:cs="Times New Roman"/>
          <w:color w:val="000000" w:themeColor="text1"/>
          <w:lang w:val="en-US"/>
          <w14:textFill>
            <w14:solidFill>
              <w14:schemeClr w14:val="tx1"/>
            </w14:solidFill>
          </w14:textFill>
        </w:rPr>
        <w:t xml:space="preserve">/PDA@PEG </w:t>
      </w:r>
      <w:r>
        <w:rPr>
          <w:rFonts w:ascii="Times New Roman" w:hAnsi="Times New Roman" w:eastAsia="宋体" w:cs="Times New Roman"/>
          <w:color w:val="000000" w:themeColor="text1"/>
          <w:lang w:val="en-US"/>
          <w14:textFill>
            <w14:solidFill>
              <w14:schemeClr w14:val="tx1"/>
            </w14:solidFill>
          </w14:textFill>
        </w:rPr>
        <w:t>MN</w:t>
      </w:r>
      <w:r>
        <w:rPr>
          <w:rFonts w:ascii="Times New Roman" w:hAnsi="Times New Roman" w:cs="Times New Roman"/>
          <w:color w:val="000000" w:themeColor="text1"/>
          <w:lang w:val="en-US"/>
          <w14:textFill>
            <w14:solidFill>
              <w14:schemeClr w14:val="tx1"/>
            </w14:solidFill>
          </w14:textFill>
        </w:rPr>
        <w:t xml:space="preserve">-treated groups were harvested </w:t>
      </w:r>
      <w:r>
        <w:rPr>
          <w:rFonts w:ascii="Times New Roman" w:hAnsi="Times New Roman" w:eastAsia="宋体" w:cs="Times New Roman"/>
          <w:color w:val="000000" w:themeColor="text1"/>
          <w:lang w:val="en-US"/>
          <w14:textFill>
            <w14:solidFill>
              <w14:schemeClr w14:val="tx1"/>
            </w14:solidFill>
          </w14:textFill>
        </w:rPr>
        <w:t>post</w:t>
      </w:r>
      <w:r>
        <w:rPr>
          <w:rFonts w:hint="eastAsia" w:ascii="Times New Roman" w:hAnsi="Times New Roman" w:cs="Times New Roman"/>
          <w:color w:val="000000" w:themeColor="text1"/>
          <w:lang w:val="en-US" w:eastAsia="zh-CN"/>
          <w14:textFill>
            <w14:solidFill>
              <w14:schemeClr w14:val="tx1"/>
            </w14:solidFill>
          </w14:textFill>
        </w:rPr>
        <w:t>-</w:t>
      </w:r>
      <w:r>
        <w:rPr>
          <w:rFonts w:ascii="Times New Roman" w:hAnsi="Times New Roman" w:eastAsia="宋体" w:cs="Times New Roman"/>
          <w:color w:val="000000" w:themeColor="text1"/>
          <w:lang w:val="en-US"/>
          <w14:textFill>
            <w14:solidFill>
              <w14:schemeClr w14:val="tx1"/>
            </w14:solidFill>
          </w14:textFill>
        </w:rPr>
        <w:t>treatment</w:t>
      </w:r>
      <w:r>
        <w:rPr>
          <w:rFonts w:ascii="Times New Roman" w:hAnsi="Times New Roman" w:cs="Times New Roman"/>
          <w:color w:val="000000" w:themeColor="text1"/>
          <w:lang w:val="en-US"/>
          <w14:textFill>
            <w14:solidFill>
              <w14:schemeClr w14:val="tx1"/>
            </w14:solidFill>
          </w14:textFill>
        </w:rPr>
        <w:t xml:space="preserve"> for transcriptomic profiling. Total RNA was extracted with TRIzol® Reagent (Invitrogen), and its concentration, purity, and integrity (RIN &gt; 8.0, Agilent Bioanalyzer 2100) were verified. Using 1 μg of qualified RNA per sample, small RNA libraries were prepared with the NEBNext® Multiplex Small RNA Library Prep Kit (NEB #E7300) through adapter ligation (3’/5’), reverse transcription (SuperScript™ II), and PCR amplification. </w:t>
      </w:r>
      <w:r>
        <w:rPr>
          <w:rFonts w:ascii="Times New Roman" w:hAnsi="Times New Roman" w:eastAsia="宋体" w:cs="Times New Roman"/>
          <w:color w:val="000000" w:themeColor="text1"/>
          <w:lang w:val="en-US"/>
          <w14:textFill>
            <w14:solidFill>
              <w14:schemeClr w14:val="tx1"/>
            </w14:solidFill>
          </w14:textFill>
        </w:rPr>
        <w:t>The libraries met the following</w:t>
      </w:r>
      <w:r>
        <w:rPr>
          <w:rFonts w:ascii="Times New Roman" w:hAnsi="Times New Roman" w:cs="Times New Roman"/>
          <w:color w:val="000000" w:themeColor="text1"/>
          <w:lang w:val="en-US"/>
          <w14:textFill>
            <w14:solidFill>
              <w14:schemeClr w14:val="tx1"/>
            </w14:solidFill>
          </w14:textFill>
        </w:rPr>
        <w:t xml:space="preserve"> QC criteria: insert size 140–150 bp (Agilent 2100 Bioanalyzer) and sufficient concentration (Qubit® dsDNA HS Assay). Pooled libraries were sequenced on an Illumina NovaSeq 6000 system (150 bp PE, 20 M reads/sample) by Shanghai Bioprofile Biotechnology Co. Ltd.</w:t>
      </w:r>
    </w:p>
    <w:p w14:paraId="38E051FC">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lang w:val="en-US"/>
          <w14:textFill>
            <w14:solidFill>
              <w14:schemeClr w14:val="tx1"/>
            </w14:solidFill>
          </w14:textFill>
        </w:rPr>
      </w:pPr>
      <w:r>
        <w:rPr>
          <w:rFonts w:hint="eastAsia" w:ascii="Times New Roman" w:hAnsi="Times New Roman" w:cs="Times New Roman"/>
          <w:b/>
          <w:bCs/>
          <w:color w:val="000000" w:themeColor="text1"/>
          <w:lang w:val="en-US"/>
          <w14:textFill>
            <w14:solidFill>
              <w14:schemeClr w14:val="tx1"/>
            </w14:solidFill>
          </w14:textFill>
        </w:rPr>
        <w:t>Western Blotting</w:t>
      </w:r>
    </w:p>
    <w:p w14:paraId="280DF88F">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lang w:val="en-US"/>
          <w14:textFill>
            <w14:solidFill>
              <w14:schemeClr w14:val="tx1"/>
            </w14:solidFill>
          </w14:textFill>
        </w:rPr>
      </w:pPr>
      <w:r>
        <w:rPr>
          <w:rFonts w:hint="eastAsia" w:ascii="Times New Roman" w:hAnsi="Times New Roman" w:cs="Times New Roman"/>
          <w:color w:val="000000" w:themeColor="text1"/>
          <w:lang w:val="en-US"/>
          <w14:textFill>
            <w14:solidFill>
              <w14:schemeClr w14:val="tx1"/>
            </w14:solidFill>
          </w14:textFill>
        </w:rPr>
        <w:t xml:space="preserve">Protein samples were resolved by SDS-PAGE, transferred to PVDF membranes, and blocked with 5% non-fat milk. Membranes were probed with primary antibodies (IL-17A, PI3K, ApoE; all from Cell Signaling Technology) at 4°C overnight, followed by incubation with HRP-conjugated secondary antibodies at 37°C for 1 h. Signal detection was performed using an ECL system. GAPDH served as the loading control. </w:t>
      </w:r>
    </w:p>
    <w:p w14:paraId="3286C1A2">
      <w:pPr>
        <w:keepNext w:val="0"/>
        <w:keepLines w:val="0"/>
        <w:pageBreakBefore w:val="0"/>
        <w:widowControl/>
        <w:kinsoku/>
        <w:wordWrap/>
        <w:overflowPunct/>
        <w:topLinePunct w:val="0"/>
        <w:autoSpaceDE/>
        <w:autoSpaceDN/>
        <w:bidi w:val="0"/>
        <w:adjustRightInd/>
        <w:snapToGrid/>
        <w:spacing w:before="156" w:beforeLines="50" w:after="156" w:afterLines="50" w:line="480" w:lineRule="auto"/>
        <w:jc w:val="both"/>
        <w:textAlignment w:val="auto"/>
        <w:rPr>
          <w:rFonts w:ascii="Times New Roman" w:hAnsi="Times New Roman" w:cs="Times New Roman"/>
          <w:b/>
          <w:bCs/>
          <w:color w:val="000000" w:themeColor="text1"/>
          <w14:textFill>
            <w14:solidFill>
              <w14:schemeClr w14:val="tx1"/>
            </w14:solidFill>
          </w14:textFill>
        </w:rPr>
      </w:pPr>
      <w:r>
        <w:rPr>
          <w:rFonts w:ascii="Times New Roman" w:hAnsi="Times New Roman" w:cs="Times New Roman"/>
          <w:b/>
          <w:bCs/>
          <w:color w:val="000000" w:themeColor="text1"/>
          <w:lang w:val="en-US"/>
          <w14:textFill>
            <w14:solidFill>
              <w14:schemeClr w14:val="tx1"/>
            </w14:solidFill>
          </w14:textFill>
        </w:rPr>
        <w:t xml:space="preserve">Statistical </w:t>
      </w:r>
      <w:r>
        <w:rPr>
          <w:rFonts w:ascii="Times New Roman" w:hAnsi="Times New Roman" w:eastAsia="宋体" w:cs="Times New Roman"/>
          <w:b/>
          <w:bCs/>
          <w:color w:val="000000" w:themeColor="text1"/>
          <w:lang w:val="en-US"/>
          <w14:textFill>
            <w14:solidFill>
              <w14:schemeClr w14:val="tx1"/>
            </w14:solidFill>
          </w14:textFill>
        </w:rPr>
        <w:t>analysis</w:t>
      </w:r>
    </w:p>
    <w:p w14:paraId="41876C6B">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 xml:space="preserve">All </w:t>
      </w:r>
      <w:r>
        <w:rPr>
          <w:rFonts w:ascii="Times New Roman" w:hAnsi="Times New Roman" w:eastAsia="宋体" w:cs="Times New Roman"/>
          <w:color w:val="000000" w:themeColor="text1"/>
          <w:lang w:val="en-US"/>
          <w14:textFill>
            <w14:solidFill>
              <w14:schemeClr w14:val="tx1"/>
            </w14:solidFill>
          </w14:textFill>
        </w:rPr>
        <w:t xml:space="preserve">the </w:t>
      </w:r>
      <w:r>
        <w:rPr>
          <w:rFonts w:ascii="Times New Roman" w:hAnsi="Times New Roman" w:cs="Times New Roman"/>
          <w:color w:val="000000" w:themeColor="text1"/>
          <w:lang w:val="en-US"/>
          <w14:textFill>
            <w14:solidFill>
              <w14:schemeClr w14:val="tx1"/>
            </w14:solidFill>
          </w14:textFill>
        </w:rPr>
        <w:t xml:space="preserve">quantitative data are presented as </w:t>
      </w:r>
      <w:r>
        <w:rPr>
          <w:rFonts w:ascii="Times New Roman" w:hAnsi="Times New Roman" w:eastAsia="宋体" w:cs="Times New Roman"/>
          <w:color w:val="000000" w:themeColor="text1"/>
          <w:lang w:val="en-US"/>
          <w14:textFill>
            <w14:solidFill>
              <w14:schemeClr w14:val="tx1"/>
            </w14:solidFill>
          </w14:textFill>
        </w:rPr>
        <w:t>the means</w:t>
      </w:r>
      <w:r>
        <w:rPr>
          <w:rFonts w:ascii="Times New Roman" w:hAnsi="Times New Roman" w:cs="Times New Roman"/>
          <w:color w:val="000000" w:themeColor="text1"/>
          <w:lang w:val="en-US"/>
          <w14:textFill>
            <w14:solidFill>
              <w14:schemeClr w14:val="tx1"/>
            </w14:solidFill>
          </w14:textFill>
        </w:rPr>
        <w:t xml:space="preserve"> ± standard </w:t>
      </w:r>
      <w:r>
        <w:rPr>
          <w:rFonts w:ascii="Times New Roman" w:hAnsi="Times New Roman" w:eastAsia="宋体" w:cs="Times New Roman"/>
          <w:color w:val="000000" w:themeColor="text1"/>
          <w:lang w:val="en-US"/>
          <w14:textFill>
            <w14:solidFill>
              <w14:schemeClr w14:val="tx1"/>
            </w14:solidFill>
          </w14:textFill>
        </w:rPr>
        <w:t>deviation (SD</w:t>
      </w:r>
      <w:r>
        <w:rPr>
          <w:rFonts w:ascii="Times New Roman" w:hAnsi="Times New Roman" w:cs="Times New Roman"/>
          <w:color w:val="000000" w:themeColor="text1"/>
          <w:lang w:val="en-US"/>
          <w14:textFill>
            <w14:solidFill>
              <w14:schemeClr w14:val="tx1"/>
            </w14:solidFill>
          </w14:textFill>
        </w:rPr>
        <w:t xml:space="preserve">). Comparisons between two groups were analyzed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Student’s t</w:t>
      </w:r>
      <w:r>
        <w:rPr>
          <w:rFonts w:ascii="Times New Roman" w:hAnsi="Times New Roman" w:eastAsia="宋体" w:cs="Times New Roman"/>
          <w:color w:val="000000" w:themeColor="text1"/>
          <w:lang w:val="en-US"/>
          <w14:textFill>
            <w14:solidFill>
              <w14:schemeClr w14:val="tx1"/>
            </w14:solidFill>
          </w14:textFill>
        </w:rPr>
        <w:t xml:space="preserve"> </w:t>
      </w:r>
      <w:r>
        <w:rPr>
          <w:rFonts w:ascii="Times New Roman" w:hAnsi="Times New Roman" w:cs="Times New Roman"/>
          <w:color w:val="000000" w:themeColor="text1"/>
          <w:lang w:val="en-US"/>
          <w14:textFill>
            <w14:solidFill>
              <w14:schemeClr w14:val="tx1"/>
            </w14:solidFill>
          </w14:textFill>
        </w:rPr>
        <w:t xml:space="preserve">test. For </w:t>
      </w:r>
      <w:r>
        <w:rPr>
          <w:rFonts w:ascii="Times New Roman" w:hAnsi="Times New Roman" w:eastAsia="宋体" w:cs="Times New Roman"/>
          <w:color w:val="000000" w:themeColor="text1"/>
          <w:lang w:val="en-US"/>
          <w14:textFill>
            <w14:solidFill>
              <w14:schemeClr w14:val="tx1"/>
            </w14:solidFill>
          </w14:textFill>
        </w:rPr>
        <w:t>multigroup</w:t>
      </w:r>
      <w:r>
        <w:rPr>
          <w:rFonts w:ascii="Times New Roman" w:hAnsi="Times New Roman" w:cs="Times New Roman"/>
          <w:color w:val="000000" w:themeColor="text1"/>
          <w:lang w:val="en-US"/>
          <w14:textFill>
            <w14:solidFill>
              <w14:schemeClr w14:val="tx1"/>
            </w14:solidFill>
          </w14:textFill>
        </w:rPr>
        <w:t xml:space="preserve"> comparisons, one-way analysis of variance (ANOVA) followed by Tukey's post hoc test was performed </w:t>
      </w:r>
      <w:r>
        <w:rPr>
          <w:rFonts w:ascii="Times New Roman" w:hAnsi="Times New Roman" w:eastAsia="宋体" w:cs="Times New Roman"/>
          <w:color w:val="000000" w:themeColor="text1"/>
          <w:lang w:val="en-US"/>
          <w14:textFill>
            <w14:solidFill>
              <w14:schemeClr w14:val="tx1"/>
            </w14:solidFill>
          </w14:textFill>
        </w:rPr>
        <w:t>via</w:t>
      </w:r>
      <w:r>
        <w:rPr>
          <w:rFonts w:ascii="Times New Roman" w:hAnsi="Times New Roman" w:cs="Times New Roman"/>
          <w:color w:val="000000" w:themeColor="text1"/>
          <w:lang w:val="en-US"/>
          <w14:textFill>
            <w14:solidFill>
              <w14:schemeClr w14:val="tx1"/>
            </w14:solidFill>
          </w14:textFill>
        </w:rPr>
        <w:t xml:space="preserve"> GraphPad Prism software (version 10.0). Statistical significance was defined as *</w:t>
      </w:r>
      <w:r>
        <w:rPr>
          <w:rFonts w:ascii="Times New Roman" w:hAnsi="Times New Roman" w:cs="Times New Roman"/>
          <w:i/>
          <w:iCs/>
          <w:color w:val="000000" w:themeColor="text1"/>
          <w:lang w:val="en-US"/>
          <w14:textFill>
            <w14:solidFill>
              <w14:schemeClr w14:val="tx1"/>
            </w14:solidFill>
          </w14:textFill>
        </w:rPr>
        <w:t>p</w:t>
      </w:r>
      <w:r>
        <w:rPr>
          <w:rFonts w:ascii="Times New Roman" w:hAnsi="Times New Roman" w:cs="Times New Roman"/>
          <w:color w:val="000000" w:themeColor="text1"/>
          <w:lang w:val="en-US"/>
          <w14:textFill>
            <w14:solidFill>
              <w14:schemeClr w14:val="tx1"/>
            </w14:solidFill>
          </w14:textFill>
        </w:rPr>
        <w:t xml:space="preserve"> &lt; 0.05, **</w:t>
      </w:r>
      <w:r>
        <w:rPr>
          <w:rFonts w:ascii="Times New Roman" w:hAnsi="Times New Roman" w:cs="Times New Roman"/>
          <w:i/>
          <w:iCs/>
          <w:color w:val="000000" w:themeColor="text1"/>
          <w:lang w:val="en-US"/>
          <w14:textFill>
            <w14:solidFill>
              <w14:schemeClr w14:val="tx1"/>
            </w14:solidFill>
          </w14:textFill>
        </w:rPr>
        <w:t>p</w:t>
      </w:r>
      <w:r>
        <w:rPr>
          <w:rFonts w:ascii="Times New Roman" w:hAnsi="Times New Roman" w:cs="Times New Roman"/>
          <w:color w:val="000000" w:themeColor="text1"/>
          <w:lang w:val="en-US"/>
          <w14:textFill>
            <w14:solidFill>
              <w14:schemeClr w14:val="tx1"/>
            </w14:solidFill>
          </w14:textFill>
        </w:rPr>
        <w:t xml:space="preserve"> &lt; 0.01, and ***</w:t>
      </w:r>
      <w:r>
        <w:rPr>
          <w:rFonts w:ascii="Times New Roman" w:hAnsi="Times New Roman" w:cs="Times New Roman"/>
          <w:i/>
          <w:iCs/>
          <w:color w:val="000000" w:themeColor="text1"/>
          <w:lang w:val="en-US"/>
          <w14:textFill>
            <w14:solidFill>
              <w14:schemeClr w14:val="tx1"/>
            </w14:solidFill>
          </w14:textFill>
        </w:rPr>
        <w:t>p</w:t>
      </w:r>
      <w:r>
        <w:rPr>
          <w:rFonts w:ascii="Times New Roman" w:hAnsi="Times New Roman" w:cs="Times New Roman"/>
          <w:color w:val="000000" w:themeColor="text1"/>
          <w:lang w:val="en-US"/>
          <w14:textFill>
            <w14:solidFill>
              <w14:schemeClr w14:val="tx1"/>
            </w14:solidFill>
          </w14:textFill>
        </w:rPr>
        <w:t xml:space="preserve"> &lt; 0.001.</w:t>
      </w:r>
    </w:p>
    <w:p w14:paraId="51BCEB81">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5273040" cy="3026410"/>
            <wp:effectExtent l="0" t="0" r="10160" b="21590"/>
            <wp:docPr id="8" name="图片 8" descr="PDA文章 补充 脂质 生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PDA文章 补充 脂质 生信"/>
                    <pic:cNvPicPr>
                      <a:picLocks noChangeAspect="1"/>
                    </pic:cNvPicPr>
                  </pic:nvPicPr>
                  <pic:blipFill>
                    <a:blip r:embed="rId5"/>
                    <a:stretch>
                      <a:fillRect/>
                    </a:stretch>
                  </pic:blipFill>
                  <pic:spPr>
                    <a:xfrm>
                      <a:off x="0" y="0"/>
                      <a:ext cx="5273040" cy="3026410"/>
                    </a:xfrm>
                    <a:prstGeom prst="rect">
                      <a:avLst/>
                    </a:prstGeom>
                  </pic:spPr>
                </pic:pic>
              </a:graphicData>
            </a:graphic>
          </wp:inline>
        </w:drawing>
      </w:r>
    </w:p>
    <w:p w14:paraId="518F0F68">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Style w:val="7"/>
          <w:rFonts w:ascii="Times New Roman" w:hAnsi="Times New Roman" w:cs="Times New Roman"/>
          <w:b w:val="0"/>
          <w:bCs w:val="0"/>
          <w:color w:val="000000" w:themeColor="text1"/>
          <w:shd w:val="clear" w:color="auto" w:fill="FFFFFF"/>
          <w14:textFill>
            <w14:solidFill>
              <w14:schemeClr w14:val="tx1"/>
            </w14:solidFill>
          </w14:textFill>
        </w:rPr>
      </w:pPr>
      <w:r>
        <w:rPr>
          <w:rStyle w:val="7"/>
          <w:rFonts w:ascii="Times New Roman" w:hAnsi="Times New Roman" w:cs="Times New Roman"/>
          <w:color w:val="000000" w:themeColor="text1"/>
          <w:shd w:val="clear" w:color="auto" w:fill="FFFFFF"/>
          <w:lang w:val="en-US"/>
          <w14:textFill>
            <w14:solidFill>
              <w14:schemeClr w14:val="tx1"/>
            </w14:solidFill>
          </w14:textFill>
        </w:rPr>
        <w:t>Figure S1. (A) Total number of identified lipid species. (B) Relative abundance and (C) species number of each lipid class.</w:t>
      </w:r>
    </w:p>
    <w:p w14:paraId="44CD5F14">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drawing>
          <wp:inline distT="0" distB="0" distL="114300" distR="114300">
            <wp:extent cx="5267960" cy="4303395"/>
            <wp:effectExtent l="0" t="0" r="15240" b="14605"/>
            <wp:docPr id="9" name="图片 9" descr="PDA补充数据 测序 蛋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PDA补充数据 测序 蛋白"/>
                    <pic:cNvPicPr>
                      <a:picLocks noChangeAspect="1"/>
                    </pic:cNvPicPr>
                  </pic:nvPicPr>
                  <pic:blipFill>
                    <a:blip r:embed="rId6"/>
                    <a:stretch>
                      <a:fillRect/>
                    </a:stretch>
                  </pic:blipFill>
                  <pic:spPr>
                    <a:xfrm>
                      <a:off x="0" y="0"/>
                      <a:ext cx="5267960" cy="4303395"/>
                    </a:xfrm>
                    <a:prstGeom prst="rect">
                      <a:avLst/>
                    </a:prstGeom>
                  </pic:spPr>
                </pic:pic>
              </a:graphicData>
            </a:graphic>
          </wp:inline>
        </w:drawing>
      </w:r>
    </w:p>
    <w:p w14:paraId="7158CECE">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Style w:val="7"/>
          <w:rFonts w:ascii="Times New Roman" w:hAnsi="Times New Roman" w:cs="Times New Roman"/>
          <w:b w:val="0"/>
          <w:bCs w:val="0"/>
          <w:color w:val="000000" w:themeColor="text1"/>
          <w:shd w:val="clear" w:color="auto" w:fill="FFFFFF"/>
          <w14:textFill>
            <w14:solidFill>
              <w14:schemeClr w14:val="tx1"/>
            </w14:solidFill>
          </w14:textFill>
        </w:rPr>
      </w:pPr>
      <w:r>
        <w:rPr>
          <w:rStyle w:val="7"/>
          <w:rFonts w:ascii="Times New Roman" w:hAnsi="Times New Roman" w:cs="Times New Roman"/>
          <w:color w:val="000000" w:themeColor="text1"/>
          <w:shd w:val="clear" w:color="auto" w:fill="FFFFFF"/>
          <w:lang w:val="en-US"/>
          <w14:textFill>
            <w14:solidFill>
              <w14:schemeClr w14:val="tx1"/>
            </w14:solidFill>
          </w14:textFill>
        </w:rPr>
        <w:t>Figure S2. (A) Statistics of the identification and quantification results, showing the number of spectra, peptides, and proteins. (B) </w:t>
      </w:r>
      <w:r>
        <w:rPr>
          <w:rStyle w:val="7"/>
          <w:rFonts w:ascii="Times New Roman" w:hAnsi="Times New Roman" w:eastAsia="宋体" w:cs="Times New Roman"/>
          <w:b/>
          <w:bCs/>
          <w:color w:val="000000" w:themeColor="text1"/>
          <w:lang w:val="en-US"/>
          <w14:textFill>
            <w14:solidFill>
              <w14:schemeClr w14:val="tx1"/>
            </w14:solidFill>
          </w14:textFill>
        </w:rPr>
        <w:t>Protein‒protein</w:t>
      </w:r>
      <w:r>
        <w:rPr>
          <w:rStyle w:val="7"/>
          <w:rFonts w:ascii="Times New Roman" w:hAnsi="Times New Roman" w:cs="Times New Roman"/>
          <w:color w:val="000000" w:themeColor="text1"/>
          <w:shd w:val="clear" w:color="auto" w:fill="FFFFFF"/>
          <w:lang w:val="en-US"/>
          <w14:textFill>
            <w14:solidFill>
              <w14:schemeClr w14:val="tx1"/>
            </w14:solidFill>
          </w14:textFill>
        </w:rPr>
        <w:t xml:space="preserve"> interaction (PPI) network of the identified proteins.</w:t>
      </w:r>
    </w:p>
    <w:p w14:paraId="4E3F85E9">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lang w:eastAsia="zh-CN"/>
          <w14:textFill>
            <w14:solidFill>
              <w14:schemeClr w14:val="tx1"/>
            </w14:solidFill>
          </w14:textFill>
        </w:rPr>
        <w:drawing>
          <wp:inline distT="0" distB="0" distL="114300" distR="114300">
            <wp:extent cx="5267960" cy="3455035"/>
            <wp:effectExtent l="0" t="0" r="15240" b="24765"/>
            <wp:docPr id="6" name="图片 6" descr="pda文章 补充 mirna分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pda文章 补充 mirna分析"/>
                    <pic:cNvPicPr>
                      <a:picLocks noChangeAspect="1"/>
                    </pic:cNvPicPr>
                  </pic:nvPicPr>
                  <pic:blipFill>
                    <a:blip r:embed="rId7"/>
                    <a:stretch>
                      <a:fillRect/>
                    </a:stretch>
                  </pic:blipFill>
                  <pic:spPr>
                    <a:xfrm>
                      <a:off x="0" y="0"/>
                      <a:ext cx="5267960" cy="3455035"/>
                    </a:xfrm>
                    <a:prstGeom prst="rect">
                      <a:avLst/>
                    </a:prstGeom>
                  </pic:spPr>
                </pic:pic>
              </a:graphicData>
            </a:graphic>
          </wp:inline>
        </w:drawing>
      </w:r>
    </w:p>
    <w:p w14:paraId="5248915C">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ascii="Times New Roman" w:hAnsi="Times New Roman" w:cs="Times New Roman"/>
          <w:color w:val="000000" w:themeColor="text1"/>
          <w:shd w:val="clear" w:color="auto" w:fill="FFFFFF"/>
          <w14:textFill>
            <w14:solidFill>
              <w14:schemeClr w14:val="tx1"/>
            </w14:solidFill>
          </w14:textFill>
        </w:rPr>
      </w:pPr>
      <w:r>
        <w:rPr>
          <w:rStyle w:val="7"/>
          <w:rFonts w:ascii="Times New Roman" w:hAnsi="Times New Roman" w:cs="Times New Roman"/>
          <w:color w:val="000000" w:themeColor="text1"/>
          <w:shd w:val="clear" w:color="auto" w:fill="FFFFFF"/>
          <w:lang w:val="en-US"/>
          <w14:textFill>
            <w14:solidFill>
              <w14:schemeClr w14:val="tx1"/>
            </w14:solidFill>
          </w14:textFill>
        </w:rPr>
        <w:t xml:space="preserve">Figure S3. (A) Length distribution of </w:t>
      </w:r>
      <w:r>
        <w:rPr>
          <w:rStyle w:val="7"/>
          <w:rFonts w:ascii="Times New Roman" w:hAnsi="Times New Roman" w:eastAsia="宋体" w:cs="Times New Roman"/>
          <w:b/>
          <w:bCs/>
          <w:color w:val="000000" w:themeColor="text1"/>
          <w:lang w:val="en-US"/>
          <w14:textFill>
            <w14:solidFill>
              <w14:schemeClr w14:val="tx1"/>
            </w14:solidFill>
          </w14:textFill>
        </w:rPr>
        <w:t xml:space="preserve">the </w:t>
      </w:r>
      <w:r>
        <w:rPr>
          <w:rStyle w:val="7"/>
          <w:rFonts w:ascii="Times New Roman" w:hAnsi="Times New Roman" w:cs="Times New Roman"/>
          <w:color w:val="000000" w:themeColor="text1"/>
          <w:shd w:val="clear" w:color="auto" w:fill="FFFFFF"/>
          <w:lang w:val="en-US"/>
          <w14:textFill>
            <w14:solidFill>
              <w14:schemeClr w14:val="tx1"/>
            </w14:solidFill>
          </w14:textFill>
        </w:rPr>
        <w:t xml:space="preserve">clean reads. (B) Normalized expression levels of the top 20 most abundant miRNAs. (C) Proportion of the top 20 miRNAs (relative to all miRNAs). (D) </w:t>
      </w:r>
      <w:r>
        <w:rPr>
          <w:rStyle w:val="7"/>
          <w:rFonts w:hint="eastAsia" w:ascii="Times New Roman" w:hAnsi="Times New Roman" w:cs="Times New Roman"/>
          <w:color w:val="000000" w:themeColor="text1"/>
          <w:shd w:val="clear" w:color="auto" w:fill="FFFFFF"/>
          <w:lang w:val="en-US"/>
          <w14:textFill>
            <w14:solidFill>
              <w14:schemeClr w14:val="tx1"/>
            </w14:solidFill>
          </w14:textFill>
        </w:rPr>
        <w:t xml:space="preserve">Predicted secondary structure plot of a miRNA precursor (representative example). </w:t>
      </w:r>
    </w:p>
    <w:p w14:paraId="48169964">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eastAsia" w:ascii="Times New Roman" w:hAnsi="Times New Roman" w:eastAsia="宋体" w:cs="Times New Roman"/>
          <w:color w:val="000000" w:themeColor="text1"/>
          <w:shd w:val="clear" w:color="auto" w:fill="FFFFFF"/>
          <w:lang w:eastAsia="zh-CN"/>
          <w14:textFill>
            <w14:solidFill>
              <w14:schemeClr w14:val="tx1"/>
            </w14:solidFill>
          </w14:textFill>
        </w:rPr>
      </w:pPr>
      <w:r>
        <w:rPr>
          <w:rFonts w:hint="eastAsia" w:ascii="Times New Roman" w:hAnsi="Times New Roman" w:eastAsia="宋体" w:cs="Times New Roman"/>
          <w:color w:val="000000" w:themeColor="text1"/>
          <w:shd w:val="clear" w:color="auto" w:fill="FFFFFF"/>
          <w:lang w:eastAsia="zh-CN"/>
          <w14:textFill>
            <w14:solidFill>
              <w14:schemeClr w14:val="tx1"/>
            </w14:solidFill>
          </w14:textFill>
        </w:rPr>
        <w:drawing>
          <wp:inline distT="0" distB="0" distL="114300" distR="114300">
            <wp:extent cx="3642360" cy="1592580"/>
            <wp:effectExtent l="0" t="0" r="15240" b="7620"/>
            <wp:docPr id="11" name="图片 11" descr="人参外泌体 各种ncRNA上的去重后序列数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人参外泌体 各种ncRNA上的去重后序列数量"/>
                    <pic:cNvPicPr>
                      <a:picLocks noChangeAspect="1"/>
                    </pic:cNvPicPr>
                  </pic:nvPicPr>
                  <pic:blipFill>
                    <a:blip r:embed="rId8"/>
                    <a:stretch>
                      <a:fillRect/>
                    </a:stretch>
                  </pic:blipFill>
                  <pic:spPr>
                    <a:xfrm>
                      <a:off x="0" y="0"/>
                      <a:ext cx="3642360" cy="1592580"/>
                    </a:xfrm>
                    <a:prstGeom prst="rect">
                      <a:avLst/>
                    </a:prstGeom>
                  </pic:spPr>
                </pic:pic>
              </a:graphicData>
            </a:graphic>
          </wp:inline>
        </w:drawing>
      </w:r>
    </w:p>
    <w:p w14:paraId="5CA4B280">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Style w:val="7"/>
          <w:color w:val="000000" w:themeColor="text1"/>
          <w:shd w:val="clear" w:color="auto" w:fill="FFFFFF"/>
          <w14:textFill>
            <w14:solidFill>
              <w14:schemeClr w14:val="tx1"/>
            </w14:solidFill>
          </w14:textFill>
        </w:rPr>
      </w:pPr>
      <w:r>
        <w:rPr>
          <w:rStyle w:val="7"/>
          <w:rFonts w:ascii="Times New Roman" w:hAnsi="Times New Roman" w:cs="Times New Roman"/>
          <w:color w:val="000000" w:themeColor="text1"/>
          <w:shd w:val="clear" w:color="auto" w:fill="FFFFFF"/>
          <w:lang w:val="en-US"/>
          <w14:textFill>
            <w14:solidFill>
              <w14:schemeClr w14:val="tx1"/>
            </w14:solidFill>
          </w14:textFill>
        </w:rPr>
        <w:t xml:space="preserve">Figure S4. Classification and abundance of small RNA sequences in G-Exos </w:t>
      </w:r>
      <w:bookmarkStart w:id="8" w:name="OLE_LINK48"/>
      <w:r>
        <w:rPr>
          <w:rStyle w:val="7"/>
          <w:rFonts w:ascii="Times New Roman" w:hAnsi="Times New Roman" w:cs="Times New Roman"/>
          <w:color w:val="000000" w:themeColor="text1"/>
          <w:shd w:val="clear" w:color="auto" w:fill="FFFFFF"/>
          <w:lang w:val="en-US"/>
          <w14:textFill>
            <w14:solidFill>
              <w14:schemeClr w14:val="tx1"/>
            </w14:solidFill>
          </w14:textFill>
        </w:rPr>
        <w:t xml:space="preserve">on the </w:t>
      </w:r>
      <w:r>
        <w:rPr>
          <w:rStyle w:val="7"/>
          <w:rFonts w:ascii="Times New Roman" w:hAnsi="Times New Roman" w:eastAsia="宋体" w:cs="Times New Roman"/>
          <w:b/>
          <w:bCs/>
          <w:color w:val="000000" w:themeColor="text1"/>
          <w:lang w:val="en-US"/>
          <w14:textFill>
            <w14:solidFill>
              <w14:schemeClr w14:val="tx1"/>
            </w14:solidFill>
          </w14:textFill>
        </w:rPr>
        <w:t xml:space="preserve">basis of the </w:t>
      </w:r>
      <w:r>
        <w:rPr>
          <w:rStyle w:val="7"/>
          <w:rFonts w:ascii="Times New Roman" w:hAnsi="Times New Roman" w:cs="Times New Roman"/>
          <w:color w:val="000000" w:themeColor="text1"/>
          <w:shd w:val="clear" w:color="auto" w:fill="FFFFFF"/>
          <w:lang w:val="en-US"/>
          <w14:textFill>
            <w14:solidFill>
              <w14:schemeClr w14:val="tx1"/>
            </w14:solidFill>
          </w14:textFill>
        </w:rPr>
        <w:t>Rfam database.</w:t>
      </w:r>
      <w:bookmarkEnd w:id="8"/>
    </w:p>
    <w:p w14:paraId="7C2FBFAE">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Times New Roman" w:hAnsi="Times New Roman" w:eastAsia="宋体" w:cs="Times New Roman"/>
          <w:color w:val="000000" w:themeColor="text1"/>
          <w:shd w:val="clear" w:color="auto" w:fill="F4F6FC"/>
          <w:lang w:eastAsia="zh-CN"/>
          <w14:textFill>
            <w14:solidFill>
              <w14:schemeClr w14:val="tx1"/>
            </w14:solidFill>
          </w14:textFill>
        </w:rPr>
      </w:pPr>
      <w:r>
        <w:rPr>
          <w:rFonts w:hint="eastAsia" w:ascii="Times New Roman" w:hAnsi="Times New Roman" w:eastAsia="宋体" w:cs="Times New Roman"/>
          <w:color w:val="000000" w:themeColor="text1"/>
          <w:shd w:val="clear" w:color="auto" w:fill="F4F6FC"/>
          <w:lang w:eastAsia="zh-CN"/>
          <w14:textFill>
            <w14:solidFill>
              <w14:schemeClr w14:val="tx1"/>
            </w14:solidFill>
          </w14:textFill>
        </w:rPr>
        <w:drawing>
          <wp:inline distT="0" distB="0" distL="114300" distR="114300">
            <wp:extent cx="5268595" cy="1677670"/>
            <wp:effectExtent l="0" t="0" r="14605" b="24130"/>
            <wp:docPr id="12" name="图片 12" descr="miRNA 首位碱基偏好性\各位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miRNA 首位碱基偏好性\各位点"/>
                    <pic:cNvPicPr>
                      <a:picLocks noChangeAspect="1"/>
                    </pic:cNvPicPr>
                  </pic:nvPicPr>
                  <pic:blipFill>
                    <a:blip r:embed="rId9"/>
                    <a:stretch>
                      <a:fillRect/>
                    </a:stretch>
                  </pic:blipFill>
                  <pic:spPr>
                    <a:xfrm>
                      <a:off x="0" y="0"/>
                      <a:ext cx="5268595" cy="1677670"/>
                    </a:xfrm>
                    <a:prstGeom prst="rect">
                      <a:avLst/>
                    </a:prstGeom>
                  </pic:spPr>
                </pic:pic>
              </a:graphicData>
            </a:graphic>
          </wp:inline>
        </w:drawing>
      </w:r>
    </w:p>
    <w:p w14:paraId="328F10EA">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Style w:val="7"/>
          <w:color w:val="000000" w:themeColor="text1"/>
          <w:shd w:val="clear" w:color="auto" w:fill="FFFFFF"/>
          <w14:textFill>
            <w14:solidFill>
              <w14:schemeClr w14:val="tx1"/>
            </w14:solidFill>
          </w14:textFill>
        </w:rPr>
      </w:pPr>
      <w:r>
        <w:rPr>
          <w:rStyle w:val="7"/>
          <w:rFonts w:ascii="Times New Roman" w:hAnsi="Times New Roman" w:cs="Times New Roman"/>
          <w:color w:val="000000" w:themeColor="text1"/>
          <w:shd w:val="clear" w:color="auto" w:fill="FFFFFF"/>
          <w:lang w:val="en-US"/>
          <w14:textFill>
            <w14:solidFill>
              <w14:schemeClr w14:val="tx1"/>
            </w14:solidFill>
          </w14:textFill>
        </w:rPr>
        <w:t>Figure S5. Nucleotide preference analysis at the 5‘ terminus and each position of mature miRNAs from G-Exos.</w:t>
      </w:r>
    </w:p>
    <w:p w14:paraId="64206594">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eastAsia" w:ascii="Times New Roman" w:hAnsi="Times New Roman" w:eastAsia="宋体" w:cs="Times New Roman"/>
          <w:color w:val="000000" w:themeColor="text1"/>
          <w:shd w:val="clear" w:color="auto" w:fill="F4F6FC"/>
          <w:lang w:eastAsia="zh-CN"/>
          <w14:textFill>
            <w14:solidFill>
              <w14:schemeClr w14:val="tx1"/>
            </w14:solidFill>
          </w14:textFill>
        </w:rPr>
      </w:pPr>
      <w:r>
        <w:rPr>
          <w:rFonts w:hint="eastAsia" w:ascii="Times New Roman" w:hAnsi="Times New Roman" w:eastAsia="宋体" w:cs="Times New Roman"/>
          <w:color w:val="000000" w:themeColor="text1"/>
          <w:shd w:val="clear" w:color="auto" w:fill="F4F6FC"/>
          <w:lang w:eastAsia="zh-CN"/>
          <w14:textFill>
            <w14:solidFill>
              <w14:schemeClr w14:val="tx1"/>
            </w14:solidFill>
          </w14:textFill>
        </w:rPr>
        <w:drawing>
          <wp:inline distT="0" distB="0" distL="114300" distR="114300">
            <wp:extent cx="5269230" cy="2221230"/>
            <wp:effectExtent l="0" t="0" r="13970" b="13970"/>
            <wp:docPr id="13" name="图片 13" descr="补充图 h202细胞实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补充图 h202细胞实验"/>
                    <pic:cNvPicPr>
                      <a:picLocks noChangeAspect="1"/>
                    </pic:cNvPicPr>
                  </pic:nvPicPr>
                  <pic:blipFill>
                    <a:blip r:embed="rId10"/>
                    <a:stretch>
                      <a:fillRect/>
                    </a:stretch>
                  </pic:blipFill>
                  <pic:spPr>
                    <a:xfrm>
                      <a:off x="0" y="0"/>
                      <a:ext cx="5269230" cy="2221230"/>
                    </a:xfrm>
                    <a:prstGeom prst="rect">
                      <a:avLst/>
                    </a:prstGeom>
                  </pic:spPr>
                </pic:pic>
              </a:graphicData>
            </a:graphic>
          </wp:inline>
        </w:drawing>
      </w:r>
    </w:p>
    <w:p w14:paraId="2972420E">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ascii="Times New Roman" w:hAnsi="Times New Roman" w:cs="Times New Roman"/>
          <w:color w:val="000000" w:themeColor="text1"/>
          <w:shd w:val="clear" w:color="auto" w:fill="FFFFFF"/>
          <w14:textFill>
            <w14:solidFill>
              <w14:schemeClr w14:val="tx1"/>
            </w14:solidFill>
          </w14:textFill>
        </w:rPr>
      </w:pPr>
      <w:r>
        <w:rPr>
          <w:rStyle w:val="7"/>
          <w:rFonts w:ascii="Times New Roman" w:hAnsi="Times New Roman" w:cs="Times New Roman"/>
          <w:color w:val="000000" w:themeColor="text1"/>
          <w:shd w:val="clear" w:color="auto" w:fill="FFFFFF"/>
          <w:lang w:val="en-US"/>
          <w14:textFill>
            <w14:solidFill>
              <w14:schemeClr w14:val="tx1"/>
            </w14:solidFill>
          </w14:textFill>
        </w:rPr>
        <w:t>Figure S6. Viability of (A) HaCaT cells and (B) P1G1 cells after exposure to increasing concentrations of H₂O₂ (0.00 - 2.40 μmol/mL).</w:t>
      </w:r>
    </w:p>
    <w:p w14:paraId="22416DC0">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hint="eastAsia" w:ascii="Times New Roman" w:hAnsi="Times New Roman" w:eastAsia="宋体" w:cs="Times New Roman"/>
          <w:color w:val="000000" w:themeColor="text1"/>
          <w:shd w:val="clear" w:color="auto" w:fill="F4F6FC"/>
          <w:lang w:eastAsia="zh-CN"/>
          <w14:textFill>
            <w14:solidFill>
              <w14:schemeClr w14:val="tx1"/>
            </w14:solidFill>
          </w14:textFill>
        </w:rPr>
      </w:pPr>
      <w:r>
        <w:rPr>
          <w:color w:val="000000" w:themeColor="text1"/>
          <w14:textFill>
            <w14:solidFill>
              <w14:schemeClr w14:val="tx1"/>
            </w14:solidFill>
          </w14:textFill>
        </w:rPr>
        <w:drawing>
          <wp:inline distT="0" distB="0" distL="114300" distR="114300">
            <wp:extent cx="5272405" cy="2306955"/>
            <wp:effectExtent l="0" t="0" r="10795" b="4445"/>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11"/>
                    <a:stretch>
                      <a:fillRect/>
                    </a:stretch>
                  </pic:blipFill>
                  <pic:spPr>
                    <a:xfrm>
                      <a:off x="0" y="0"/>
                      <a:ext cx="5272405" cy="2306955"/>
                    </a:xfrm>
                    <a:prstGeom prst="rect">
                      <a:avLst/>
                    </a:prstGeom>
                    <a:noFill/>
                    <a:ln>
                      <a:noFill/>
                    </a:ln>
                  </pic:spPr>
                </pic:pic>
              </a:graphicData>
            </a:graphic>
          </wp:inline>
        </w:drawing>
      </w:r>
    </w:p>
    <w:p w14:paraId="0D76C47B">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ascii="Times New Roman" w:hAnsi="Times New Roman" w:cs="Times New Roman"/>
          <w:color w:val="000000" w:themeColor="text1"/>
          <w:shd w:val="clear" w:color="auto" w:fill="FFFFFF"/>
          <w14:textFill>
            <w14:solidFill>
              <w14:schemeClr w14:val="tx1"/>
            </w14:solidFill>
          </w14:textFill>
        </w:rPr>
      </w:pPr>
      <w:r>
        <w:rPr>
          <w:rStyle w:val="7"/>
          <w:rFonts w:ascii="Times New Roman" w:hAnsi="Times New Roman" w:cs="Times New Roman"/>
          <w:color w:val="000000" w:themeColor="text1"/>
          <w:shd w:val="clear" w:color="auto" w:fill="FFFFFF"/>
          <w:lang w:val="en-US"/>
          <w14:textFill>
            <w14:solidFill>
              <w14:schemeClr w14:val="tx1"/>
            </w14:solidFill>
          </w14:textFill>
        </w:rPr>
        <w:t xml:space="preserve">Figure S7. (A) Viability of HaCaT cells and (B) P1G1 cells after </w:t>
      </w:r>
      <w:r>
        <w:rPr>
          <w:rStyle w:val="7"/>
          <w:rFonts w:ascii="Times New Roman" w:hAnsi="Times New Roman" w:eastAsia="宋体" w:cs="Times New Roman"/>
          <w:b/>
          <w:bCs/>
          <w:color w:val="000000" w:themeColor="text1"/>
          <w:lang w:val="en-US"/>
          <w14:textFill>
            <w14:solidFill>
              <w14:schemeClr w14:val="tx1"/>
            </w14:solidFill>
          </w14:textFill>
        </w:rPr>
        <w:t>pre</w:t>
      </w:r>
      <w:r>
        <w:rPr>
          <w:rStyle w:val="7"/>
          <w:rFonts w:hint="eastAsia" w:ascii="Times New Roman" w:hAnsi="Times New Roman" w:cs="Times New Roman"/>
          <w:b/>
          <w:bCs/>
          <w:color w:val="000000" w:themeColor="text1"/>
          <w:lang w:val="en-US" w:eastAsia="zh-CN"/>
          <w14:textFill>
            <w14:solidFill>
              <w14:schemeClr w14:val="tx1"/>
            </w14:solidFill>
          </w14:textFill>
        </w:rPr>
        <w:t>-</w:t>
      </w:r>
      <w:r>
        <w:rPr>
          <w:rStyle w:val="7"/>
          <w:rFonts w:ascii="Times New Roman" w:hAnsi="Times New Roman" w:eastAsia="宋体" w:cs="Times New Roman"/>
          <w:b/>
          <w:bCs/>
          <w:color w:val="000000" w:themeColor="text1"/>
          <w:lang w:val="en-US"/>
          <w14:textFill>
            <w14:solidFill>
              <w14:schemeClr w14:val="tx1"/>
            </w14:solidFill>
          </w14:textFill>
        </w:rPr>
        <w:t>treatment</w:t>
      </w:r>
      <w:r>
        <w:rPr>
          <w:rStyle w:val="7"/>
          <w:rFonts w:ascii="Times New Roman" w:hAnsi="Times New Roman" w:cs="Times New Roman"/>
          <w:color w:val="000000" w:themeColor="text1"/>
          <w:shd w:val="clear" w:color="auto" w:fill="FFFFFF"/>
          <w:lang w:val="en-US"/>
          <w14:textFill>
            <w14:solidFill>
              <w14:schemeClr w14:val="tx1"/>
            </w14:solidFill>
          </w14:textFill>
        </w:rPr>
        <w:t xml:space="preserve"> with PBS or different concentrations of G-Exos for 24 h followed by exposure to 0.8 μmol/mL H₂O₂.</w:t>
      </w:r>
    </w:p>
    <w:p w14:paraId="0D503621">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Times New Roman" w:hAnsi="Times New Roman" w:eastAsia="宋体" w:cs="Times New Roman"/>
          <w:color w:val="000000" w:themeColor="text1"/>
          <w:shd w:val="clear" w:color="auto" w:fill="F4F6FC"/>
          <w:lang w:eastAsia="zh-CN"/>
          <w14:textFill>
            <w14:solidFill>
              <w14:schemeClr w14:val="tx1"/>
            </w14:solidFill>
          </w14:textFill>
        </w:rPr>
      </w:pPr>
      <w:r>
        <w:rPr>
          <w:rFonts w:hint="eastAsia" w:ascii="Times New Roman" w:hAnsi="Times New Roman" w:eastAsia="宋体" w:cs="Times New Roman"/>
          <w:color w:val="000000" w:themeColor="text1"/>
          <w:shd w:val="clear" w:color="auto" w:fill="F4F6FC"/>
          <w:lang w:eastAsia="zh-CN"/>
          <w14:textFill>
            <w14:solidFill>
              <w14:schemeClr w14:val="tx1"/>
            </w14:solidFill>
          </w14:textFill>
        </w:rPr>
        <w:drawing>
          <wp:inline distT="0" distB="0" distL="114300" distR="114300">
            <wp:extent cx="5267960" cy="1864360"/>
            <wp:effectExtent l="0" t="0" r="15240" b="15240"/>
            <wp:docPr id="14" name="图片 14" descr="补充图 h202 exo细胞实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补充图 h202 exo细胞实验"/>
                    <pic:cNvPicPr>
                      <a:picLocks noChangeAspect="1"/>
                    </pic:cNvPicPr>
                  </pic:nvPicPr>
                  <pic:blipFill>
                    <a:blip r:embed="rId12"/>
                    <a:stretch>
                      <a:fillRect/>
                    </a:stretch>
                  </pic:blipFill>
                  <pic:spPr>
                    <a:xfrm>
                      <a:off x="0" y="0"/>
                      <a:ext cx="5267960" cy="1864360"/>
                    </a:xfrm>
                    <a:prstGeom prst="rect">
                      <a:avLst/>
                    </a:prstGeom>
                  </pic:spPr>
                </pic:pic>
              </a:graphicData>
            </a:graphic>
          </wp:inline>
        </w:drawing>
      </w:r>
    </w:p>
    <w:p w14:paraId="775A9B41">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Style w:val="7"/>
          <w:rFonts w:ascii="Times New Roman" w:hAnsi="Times New Roman" w:cs="Times New Roman"/>
          <w:b w:val="0"/>
          <w:bCs w:val="0"/>
          <w:color w:val="000000" w:themeColor="text1"/>
          <w:shd w:val="clear" w:color="auto" w:fill="FFFFFF"/>
          <w14:textFill>
            <w14:solidFill>
              <w14:schemeClr w14:val="tx1"/>
            </w14:solidFill>
          </w14:textFill>
        </w:rPr>
      </w:pPr>
      <w:r>
        <w:rPr>
          <w:rStyle w:val="7"/>
          <w:rFonts w:ascii="Times New Roman" w:hAnsi="Times New Roman" w:cs="Times New Roman"/>
          <w:color w:val="000000" w:themeColor="text1"/>
          <w:shd w:val="clear" w:color="auto" w:fill="FFFFFF"/>
          <w:lang w:val="en-US"/>
          <w14:textFill>
            <w14:solidFill>
              <w14:schemeClr w14:val="tx1"/>
            </w14:solidFill>
          </w14:textFill>
        </w:rPr>
        <w:t>Figure S8. (A)</w:t>
      </w:r>
      <w:r>
        <w:rPr>
          <w:rStyle w:val="7"/>
          <w:rFonts w:ascii="Times New Roman" w:hAnsi="Times New Roman" w:cs="Times New Roman"/>
          <w:color w:val="000000" w:themeColor="text1"/>
          <w:lang w:val="en-US"/>
          <w14:textFill>
            <w14:solidFill>
              <w14:schemeClr w14:val="tx1"/>
            </w14:solidFill>
          </w14:textFill>
        </w:rPr>
        <w:t> SOD activity, </w:t>
      </w:r>
      <w:r>
        <w:rPr>
          <w:rStyle w:val="7"/>
          <w:rFonts w:ascii="Times New Roman" w:hAnsi="Times New Roman" w:cs="Times New Roman"/>
          <w:color w:val="000000" w:themeColor="text1"/>
          <w:shd w:val="clear" w:color="auto" w:fill="FFFFFF"/>
          <w:lang w:val="en-US"/>
          <w14:textFill>
            <w14:solidFill>
              <w14:schemeClr w14:val="tx1"/>
            </w14:solidFill>
          </w14:textFill>
        </w:rPr>
        <w:t>(B)</w:t>
      </w:r>
      <w:r>
        <w:rPr>
          <w:rStyle w:val="7"/>
          <w:rFonts w:ascii="Times New Roman" w:hAnsi="Times New Roman" w:cs="Times New Roman"/>
          <w:color w:val="000000" w:themeColor="text1"/>
          <w:lang w:val="en-US"/>
          <w14:textFill>
            <w14:solidFill>
              <w14:schemeClr w14:val="tx1"/>
            </w14:solidFill>
          </w14:textFill>
        </w:rPr>
        <w:t> CAT activity, and </w:t>
      </w:r>
      <w:r>
        <w:rPr>
          <w:rStyle w:val="7"/>
          <w:rFonts w:ascii="Times New Roman" w:hAnsi="Times New Roman" w:cs="Times New Roman"/>
          <w:color w:val="000000" w:themeColor="text1"/>
          <w:shd w:val="clear" w:color="auto" w:fill="FFFFFF"/>
          <w:lang w:val="en-US"/>
          <w14:textFill>
            <w14:solidFill>
              <w14:schemeClr w14:val="tx1"/>
            </w14:solidFill>
          </w14:textFill>
        </w:rPr>
        <w:t>(C)</w:t>
      </w:r>
      <w:r>
        <w:rPr>
          <w:rStyle w:val="7"/>
          <w:rFonts w:ascii="Times New Roman" w:hAnsi="Times New Roman" w:cs="Times New Roman"/>
          <w:color w:val="000000" w:themeColor="text1"/>
          <w:lang w:val="en-US"/>
          <w14:textFill>
            <w14:solidFill>
              <w14:schemeClr w14:val="tx1"/>
            </w14:solidFill>
          </w14:textFill>
        </w:rPr>
        <w:t xml:space="preserve"> MDA content in </w:t>
      </w:r>
      <w:r>
        <w:rPr>
          <w:rStyle w:val="7"/>
          <w:rFonts w:ascii="Times New Roman" w:hAnsi="Times New Roman" w:cs="Times New Roman"/>
          <w:color w:val="000000" w:themeColor="text1"/>
          <w:shd w:val="clear" w:color="auto" w:fill="FFFFFF"/>
          <w:lang w:val="en-US"/>
          <w14:textFill>
            <w14:solidFill>
              <w14:schemeClr w14:val="tx1"/>
            </w14:solidFill>
          </w14:textFill>
        </w:rPr>
        <w:t>HACAT</w:t>
      </w:r>
      <w:r>
        <w:rPr>
          <w:rStyle w:val="7"/>
          <w:rFonts w:ascii="Times New Roman" w:hAnsi="Times New Roman" w:cs="Times New Roman"/>
          <w:color w:val="000000" w:themeColor="text1"/>
          <w:lang w:val="en-US"/>
          <w14:textFill>
            <w14:solidFill>
              <w14:schemeClr w14:val="tx1"/>
            </w14:solidFill>
          </w14:textFill>
        </w:rPr>
        <w:t xml:space="preserve"> cells after exposure to 0.8 </w:t>
      </w:r>
      <w:r>
        <w:rPr>
          <w:rStyle w:val="7"/>
          <w:rFonts w:ascii="Times New Roman" w:hAnsi="Times New Roman" w:cs="Times New Roman"/>
          <w:color w:val="000000" w:themeColor="text1"/>
          <w:shd w:val="clear" w:color="auto" w:fill="FFFFFF"/>
          <w:lang w:val="en-US"/>
          <w14:textFill>
            <w14:solidFill>
              <w14:schemeClr w14:val="tx1"/>
            </w14:solidFill>
          </w14:textFill>
        </w:rPr>
        <w:t>μmol/mL</w:t>
      </w:r>
      <w:r>
        <w:rPr>
          <w:rStyle w:val="7"/>
          <w:rFonts w:ascii="Times New Roman" w:hAnsi="Times New Roman" w:cs="Times New Roman"/>
          <w:color w:val="000000" w:themeColor="text1"/>
          <w:lang w:val="en-US"/>
          <w14:textFill>
            <w14:solidFill>
              <w14:schemeClr w14:val="tx1"/>
            </w14:solidFill>
          </w14:textFill>
        </w:rPr>
        <w:t xml:space="preserve"> H₂O₂ and subsequent treatment with different concentrations of G-Exos for 24 h.</w:t>
      </w:r>
    </w:p>
    <w:p w14:paraId="03F24748">
      <w:pPr>
        <w:keepNext w:val="0"/>
        <w:keepLines w:val="0"/>
        <w:pageBreakBefore w:val="0"/>
        <w:widowControl/>
        <w:kinsoku/>
        <w:wordWrap/>
        <w:overflowPunct/>
        <w:topLinePunct w:val="0"/>
        <w:autoSpaceDE/>
        <w:autoSpaceDN/>
        <w:bidi w:val="0"/>
        <w:adjustRightInd/>
        <w:snapToGrid/>
        <w:spacing w:line="480" w:lineRule="auto"/>
        <w:textAlignment w:val="auto"/>
        <w:rPr>
          <w:rFonts w:hint="eastAsia" w:ascii="Times New Roman" w:hAnsi="Times New Roman" w:eastAsia="宋体" w:cs="Times New Roman"/>
          <w:color w:val="000000" w:themeColor="text1"/>
          <w:shd w:val="clear" w:color="auto" w:fill="F4F6FC"/>
          <w:lang w:eastAsia="zh-CN"/>
          <w14:textFill>
            <w14:solidFill>
              <w14:schemeClr w14:val="tx1"/>
            </w14:solidFill>
          </w14:textFill>
        </w:rPr>
      </w:pPr>
      <w:r>
        <w:rPr>
          <w:rFonts w:hint="eastAsia" w:ascii="Times New Roman" w:hAnsi="Times New Roman" w:eastAsia="宋体" w:cs="Times New Roman"/>
          <w:color w:val="000000" w:themeColor="text1"/>
          <w:shd w:val="clear" w:color="auto" w:fill="F4F6FC"/>
          <w:lang w:eastAsia="zh-CN"/>
          <w14:textFill>
            <w14:solidFill>
              <w14:schemeClr w14:val="tx1"/>
            </w14:solidFill>
          </w14:textFill>
        </w:rPr>
        <w:drawing>
          <wp:inline distT="0" distB="0" distL="114300" distR="114300">
            <wp:extent cx="5267960" cy="2822575"/>
            <wp:effectExtent l="0" t="0" r="15240" b="22225"/>
            <wp:docPr id="17" name="图片 17" descr="补充图 inf-y exo细胞实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补充图 inf-y exo细胞实验"/>
                    <pic:cNvPicPr>
                      <a:picLocks noChangeAspect="1"/>
                    </pic:cNvPicPr>
                  </pic:nvPicPr>
                  <pic:blipFill>
                    <a:blip r:embed="rId13"/>
                    <a:stretch>
                      <a:fillRect/>
                    </a:stretch>
                  </pic:blipFill>
                  <pic:spPr>
                    <a:xfrm>
                      <a:off x="0" y="0"/>
                      <a:ext cx="5267960" cy="2822575"/>
                    </a:xfrm>
                    <a:prstGeom prst="rect">
                      <a:avLst/>
                    </a:prstGeom>
                  </pic:spPr>
                </pic:pic>
              </a:graphicData>
            </a:graphic>
          </wp:inline>
        </w:drawing>
      </w:r>
    </w:p>
    <w:p w14:paraId="6A2F98E2">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color w:val="000000" w:themeColor="text1"/>
          <w14:textFill>
            <w14:solidFill>
              <w14:schemeClr w14:val="tx1"/>
            </w14:solidFill>
          </w14:textFill>
        </w:rPr>
      </w:pPr>
      <w:bookmarkStart w:id="9" w:name="OLE_LINK81"/>
      <w:r>
        <w:rPr>
          <w:rStyle w:val="7"/>
          <w:rFonts w:ascii="Times New Roman" w:hAnsi="Times New Roman" w:cs="Times New Roman"/>
          <w:color w:val="000000" w:themeColor="text1"/>
          <w:shd w:val="clear" w:color="auto" w:fill="FFFFFF"/>
          <w:lang w:val="en-US"/>
          <w14:textFill>
            <w14:solidFill>
              <w14:schemeClr w14:val="tx1"/>
            </w14:solidFill>
          </w14:textFill>
        </w:rPr>
        <w:t>Figure S9. Concentrations of (A) IL-6 and (B) TNF-α in the HaCaT cell culture supernatant after stimulation with 0.1 ng/mL LPS and subsequent treatment with different concentrations of G-Exos for 24 h.</w:t>
      </w:r>
    </w:p>
    <w:p w14:paraId="4FABFB62">
      <w:pPr>
        <w:pStyle w:val="4"/>
        <w:keepNext w:val="0"/>
        <w:keepLines w:val="0"/>
        <w:widowControl/>
        <w:suppressLineNumbers w:val="0"/>
        <w:spacing w:before="0" w:beforeAutospacing="0" w:after="0" w:afterAutospacing="0" w:line="480" w:lineRule="auto"/>
        <w:ind w:left="0" w:right="0"/>
        <w:jc w:val="center"/>
        <w:rPr>
          <w:rFonts w:hint="eastAsia" w:eastAsia="宋体"/>
          <w:color w:val="000000" w:themeColor="text1"/>
          <w:shd w:val="clear" w:fill="FFFFFF"/>
          <w:lang w:val="en-US" w:eastAsia="zh-CN"/>
          <w14:textFill>
            <w14:solidFill>
              <w14:schemeClr w14:val="tx1"/>
            </w14:solidFill>
          </w14:textFill>
        </w:rPr>
      </w:pPr>
      <w:r>
        <w:rPr>
          <w:rFonts w:hint="eastAsia" w:eastAsia="宋体"/>
          <w:color w:val="000000" w:themeColor="text1"/>
          <w:shd w:val="clear" w:fill="FFFFFF"/>
          <w:lang w:val="en-US" w:eastAsia="zh-CN"/>
          <w14:textFill>
            <w14:solidFill>
              <w14:schemeClr w14:val="tx1"/>
            </w14:solidFill>
          </w14:textFill>
        </w:rPr>
        <w:drawing>
          <wp:inline distT="0" distB="0" distL="114300" distR="114300">
            <wp:extent cx="2185035" cy="2185035"/>
            <wp:effectExtent l="0" t="0" r="24765" b="24765"/>
            <wp:docPr id="3" name="图片 3" descr="释放后的外泌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释放后的外泌体"/>
                    <pic:cNvPicPr>
                      <a:picLocks noChangeAspect="1"/>
                    </pic:cNvPicPr>
                  </pic:nvPicPr>
                  <pic:blipFill>
                    <a:blip r:embed="rId14"/>
                    <a:stretch>
                      <a:fillRect/>
                    </a:stretch>
                  </pic:blipFill>
                  <pic:spPr>
                    <a:xfrm>
                      <a:off x="0" y="0"/>
                      <a:ext cx="2185035" cy="2185035"/>
                    </a:xfrm>
                    <a:prstGeom prst="rect">
                      <a:avLst/>
                    </a:prstGeom>
                  </pic:spPr>
                </pic:pic>
              </a:graphicData>
            </a:graphic>
          </wp:inline>
        </w:drawing>
      </w:r>
    </w:p>
    <w:p w14:paraId="648B21AF">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Style w:val="7"/>
          <w:rFonts w:hint="eastAsia" w:ascii="Times New Roman" w:hAnsi="Times New Roman" w:eastAsia="DengXian" w:cs="Times New Roman"/>
          <w:color w:val="000000" w:themeColor="text1"/>
          <w:shd w:val="clear" w:color="auto" w:fill="FFFFFF"/>
          <w:lang w:val="en-US" w:eastAsia="zh-CN"/>
          <w14:textFill>
            <w14:solidFill>
              <w14:schemeClr w14:val="tx1"/>
            </w14:solidFill>
          </w14:textFill>
        </w:rPr>
      </w:pPr>
      <w:r>
        <w:rPr>
          <w:rStyle w:val="7"/>
          <w:rFonts w:hint="eastAsia" w:ascii="Times New Roman" w:hAnsi="Times New Roman" w:eastAsia="DengXian" w:cs="Times New Roman"/>
          <w:color w:val="000000" w:themeColor="text1"/>
          <w:shd w:val="clear" w:color="auto" w:fill="FFFFFF"/>
          <w:lang w:val="en-US" w:eastAsia="zh-CN"/>
          <w14:textFill>
            <w14:solidFill>
              <w14:schemeClr w14:val="tx1"/>
            </w14:solidFill>
          </w14:textFill>
        </w:rPr>
        <w:t xml:space="preserve">Figure S10. Representative TEM image of G-Exos released from G-Exos@TM micelles upon MMP-9 stimulation. </w:t>
      </w:r>
    </w:p>
    <w:p w14:paraId="1E63D258">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Style w:val="7"/>
          <w:rFonts w:ascii="Times New Roman" w:hAnsi="Times New Roman" w:cs="Times New Roman"/>
          <w:b w:val="0"/>
          <w:bCs w:val="0"/>
          <w:color w:val="000000" w:themeColor="text1"/>
          <w:shd w:val="clear" w:color="auto" w:fill="FFFFFF"/>
          <w14:textFill>
            <w14:solidFill>
              <w14:schemeClr w14:val="tx1"/>
            </w14:solidFill>
          </w14:textFill>
        </w:rPr>
      </w:pPr>
      <w:r>
        <w:rPr>
          <w:color w:val="000000" w:themeColor="text1"/>
          <w14:textFill>
            <w14:solidFill>
              <w14:schemeClr w14:val="tx1"/>
            </w14:solidFill>
          </w14:textFill>
        </w:rPr>
        <w:drawing>
          <wp:inline distT="0" distB="0" distL="114300" distR="114300">
            <wp:extent cx="5272405" cy="2205355"/>
            <wp:effectExtent l="0" t="0" r="10795" b="4445"/>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15"/>
                    <a:stretch>
                      <a:fillRect/>
                    </a:stretch>
                  </pic:blipFill>
                  <pic:spPr>
                    <a:xfrm>
                      <a:off x="0" y="0"/>
                      <a:ext cx="5272405" cy="2205355"/>
                    </a:xfrm>
                    <a:prstGeom prst="rect">
                      <a:avLst/>
                    </a:prstGeom>
                    <a:noFill/>
                    <a:ln>
                      <a:noFill/>
                    </a:ln>
                  </pic:spPr>
                </pic:pic>
              </a:graphicData>
            </a:graphic>
          </wp:inline>
        </w:drawing>
      </w:r>
    </w:p>
    <w:p w14:paraId="7694BD4D">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Style w:val="7"/>
          <w:rFonts w:hint="eastAsia" w:ascii="Times New Roman" w:hAnsi="Times New Roman" w:cs="Times New Roman"/>
          <w:color w:val="000000" w:themeColor="text1"/>
          <w:shd w:val="clear" w:color="auto" w:fill="FFFFFF"/>
          <w:lang w:val="en-US" w:eastAsia="zh-CN"/>
          <w14:textFill>
            <w14:solidFill>
              <w14:schemeClr w14:val="tx1"/>
            </w14:solidFill>
          </w14:textFill>
        </w:rPr>
      </w:pPr>
      <w:r>
        <w:rPr>
          <w:rStyle w:val="7"/>
          <w:rFonts w:ascii="Times New Roman" w:hAnsi="Times New Roman" w:cs="Times New Roman"/>
          <w:color w:val="000000" w:themeColor="text1"/>
          <w:shd w:val="clear" w:color="auto" w:fill="FFFFFF"/>
          <w:lang w:val="en-US"/>
          <w14:textFill>
            <w14:solidFill>
              <w14:schemeClr w14:val="tx1"/>
            </w14:solidFill>
          </w14:textFill>
        </w:rPr>
        <w:t>Figure S1</w:t>
      </w:r>
      <w:r>
        <w:rPr>
          <w:rStyle w:val="7"/>
          <w:rFonts w:hint="eastAsia" w:ascii="Times New Roman" w:hAnsi="Times New Roman" w:cs="Times New Roman"/>
          <w:color w:val="000000" w:themeColor="text1"/>
          <w:shd w:val="clear" w:color="auto" w:fill="FFFFFF"/>
          <w:lang w:val="en-US" w:eastAsia="zh-CN"/>
          <w14:textFill>
            <w14:solidFill>
              <w14:schemeClr w14:val="tx1"/>
            </w14:solidFill>
          </w14:textFill>
        </w:rPr>
        <w:t>1</w:t>
      </w:r>
      <w:r>
        <w:rPr>
          <w:rStyle w:val="7"/>
          <w:rFonts w:ascii="Times New Roman" w:hAnsi="Times New Roman" w:cs="Times New Roman"/>
          <w:color w:val="000000" w:themeColor="text1"/>
          <w:shd w:val="clear" w:color="auto" w:fill="FFFFFF"/>
          <w:lang w:val="en-US"/>
          <w14:textFill>
            <w14:solidFill>
              <w14:schemeClr w14:val="tx1"/>
            </w14:solidFill>
          </w14:textFill>
        </w:rPr>
        <w:t>. (A) Size stability of G-Exos@TM in PBS or in the presence of MMP-9 over 7 days. (B) CD63 protein levels of G-Exos@TM after incubation in PBS or MMP-9 for the indicated times.</w:t>
      </w:r>
      <w:r>
        <w:rPr>
          <w:rStyle w:val="7"/>
          <w:rFonts w:hint="eastAsia" w:ascii="Times New Roman" w:hAnsi="Times New Roman" w:cs="Times New Roman"/>
          <w:color w:val="000000" w:themeColor="text1"/>
          <w:shd w:val="clear" w:color="auto" w:fill="FFFFFF"/>
          <w:lang w:val="en-US" w:eastAsia="zh-CN"/>
          <w14:textFill>
            <w14:solidFill>
              <w14:schemeClr w14:val="tx1"/>
            </w14:solidFill>
          </w14:textFill>
        </w:rPr>
        <w:t xml:space="preserve"> </w:t>
      </w:r>
    </w:p>
    <w:p w14:paraId="11761350">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Style w:val="7"/>
          <w:rFonts w:hint="default" w:ascii="Times New Roman" w:hAnsi="Times New Roman" w:eastAsia="DengXian" w:cs="Times New Roman"/>
          <w:color w:val="000000" w:themeColor="text1"/>
          <w:shd w:val="clear" w:color="auto" w:fill="FFFFFF"/>
          <w:lang w:val="en-US" w:eastAsia="zh-CN"/>
          <w14:textFill>
            <w14:solidFill>
              <w14:schemeClr w14:val="tx1"/>
            </w14:solidFill>
          </w14:textFill>
        </w:rPr>
      </w:pPr>
      <w:r>
        <w:rPr>
          <w:rStyle w:val="7"/>
          <w:rFonts w:hint="default" w:ascii="Times New Roman" w:hAnsi="Times New Roman" w:eastAsia="DengXian" w:cs="Times New Roman"/>
          <w:color w:val="000000" w:themeColor="text1"/>
          <w:shd w:val="clear" w:color="auto" w:fill="FFFFFF"/>
          <w:lang w:val="en-US" w:eastAsia="zh-CN"/>
          <w14:textFill>
            <w14:solidFill>
              <w14:schemeClr w14:val="tx1"/>
            </w14:solidFill>
          </w14:textFill>
        </w:rPr>
        <w:drawing>
          <wp:inline distT="0" distB="0" distL="114300" distR="114300">
            <wp:extent cx="5233670" cy="2221865"/>
            <wp:effectExtent l="0" t="0" r="24130" b="13335"/>
            <wp:docPr id="15" name="图片 15" descr="微针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针SEM"/>
                    <pic:cNvPicPr>
                      <a:picLocks noChangeAspect="1"/>
                    </pic:cNvPicPr>
                  </pic:nvPicPr>
                  <pic:blipFill>
                    <a:blip r:embed="rId16"/>
                    <a:srcRect l="4646" t="7690" r="4428" b="4603"/>
                    <a:stretch>
                      <a:fillRect/>
                    </a:stretch>
                  </pic:blipFill>
                  <pic:spPr>
                    <a:xfrm>
                      <a:off x="0" y="0"/>
                      <a:ext cx="5233670" cy="2221865"/>
                    </a:xfrm>
                    <a:prstGeom prst="rect">
                      <a:avLst/>
                    </a:prstGeom>
                  </pic:spPr>
                </pic:pic>
              </a:graphicData>
            </a:graphic>
          </wp:inline>
        </w:drawing>
      </w:r>
    </w:p>
    <w:p w14:paraId="01DD255B">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Style w:val="7"/>
          <w:rFonts w:hint="default" w:ascii="Times New Roman" w:hAnsi="Times New Roman" w:eastAsia="DengXian" w:cs="Times New Roman"/>
          <w:color w:val="000000" w:themeColor="text1"/>
          <w:shd w:val="clear" w:color="auto" w:fill="FFFFFF"/>
          <w:lang w:val="en-US" w:eastAsia="zh-CN"/>
          <w14:textFill>
            <w14:solidFill>
              <w14:schemeClr w14:val="tx1"/>
            </w14:solidFill>
          </w14:textFill>
        </w:rPr>
      </w:pPr>
      <w:r>
        <w:rPr>
          <w:rStyle w:val="7"/>
          <w:rFonts w:hint="eastAsia" w:ascii="Times New Roman" w:hAnsi="Times New Roman" w:eastAsia="DengXian" w:cs="Times New Roman"/>
          <w:color w:val="000000" w:themeColor="text1"/>
          <w:shd w:val="clear" w:color="auto" w:fill="FFFFFF"/>
          <w:lang w:val="en-US" w:eastAsia="zh-CN"/>
          <w14:textFill>
            <w14:solidFill>
              <w14:schemeClr w14:val="tx1"/>
            </w14:solidFill>
          </w14:textFill>
        </w:rPr>
        <w:t xml:space="preserve">Figure S12. Representative SEM images of microneedles before (0 min) and after (15 min) incubation in PBS. </w:t>
      </w:r>
    </w:p>
    <w:bookmarkEnd w:id="9"/>
    <w:p w14:paraId="6627A7CC">
      <w:pPr>
        <w:keepNext w:val="0"/>
        <w:keepLines w:val="0"/>
        <w:pageBreakBefore w:val="0"/>
        <w:widowControl/>
        <w:kinsoku/>
        <w:wordWrap/>
        <w:overflowPunct/>
        <w:topLinePunct w:val="0"/>
        <w:autoSpaceDE/>
        <w:autoSpaceDN/>
        <w:bidi w:val="0"/>
        <w:adjustRightInd/>
        <w:snapToGrid/>
        <w:spacing w:line="480" w:lineRule="auto"/>
        <w:jc w:val="both"/>
        <w:textAlignment w:val="auto"/>
        <w:rPr>
          <w:rStyle w:val="7"/>
          <w:rFonts w:ascii="Times New Roman" w:hAnsi="Times New Roman" w:cs="Times New Roman"/>
          <w:b w:val="0"/>
          <w:bCs w:val="0"/>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72405" cy="2699385"/>
            <wp:effectExtent l="0" t="0" r="10795" b="18415"/>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17"/>
                    <a:stretch>
                      <a:fillRect/>
                    </a:stretch>
                  </pic:blipFill>
                  <pic:spPr>
                    <a:xfrm>
                      <a:off x="0" y="0"/>
                      <a:ext cx="5272405" cy="2699385"/>
                    </a:xfrm>
                    <a:prstGeom prst="rect">
                      <a:avLst/>
                    </a:prstGeom>
                    <a:noFill/>
                    <a:ln>
                      <a:noFill/>
                    </a:ln>
                  </pic:spPr>
                </pic:pic>
              </a:graphicData>
            </a:graphic>
          </wp:inline>
        </w:drawing>
      </w:r>
    </w:p>
    <w:p w14:paraId="36E36AC5">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ascii="Times New Roman" w:hAnsi="Times New Roman" w:cs="Times New Roman"/>
          <w:color w:val="000000" w:themeColor="text1"/>
          <w:shd w:val="clear" w:color="auto" w:fill="FFFFFF"/>
          <w14:textFill>
            <w14:solidFill>
              <w14:schemeClr w14:val="tx1"/>
            </w14:solidFill>
          </w14:textFill>
        </w:rPr>
      </w:pPr>
      <w:r>
        <w:rPr>
          <w:rStyle w:val="7"/>
          <w:rFonts w:ascii="Times New Roman" w:hAnsi="Times New Roman" w:cs="Times New Roman"/>
          <w:color w:val="000000" w:themeColor="text1"/>
          <w:shd w:val="clear" w:color="auto" w:fill="FFFFFF"/>
          <w:lang w:val="en-US"/>
          <w14:textFill>
            <w14:solidFill>
              <w14:schemeClr w14:val="tx1"/>
            </w14:solidFill>
          </w14:textFill>
        </w:rPr>
        <w:t>Figure S1</w:t>
      </w:r>
      <w:r>
        <w:rPr>
          <w:rStyle w:val="7"/>
          <w:rFonts w:hint="default" w:ascii="Times New Roman" w:hAnsi="Times New Roman" w:cs="Times New Roman"/>
          <w:color w:val="000000" w:themeColor="text1"/>
          <w:shd w:val="clear" w:color="auto" w:fill="FFFFFF"/>
          <w:lang w:val="en-US"/>
          <w14:textFill>
            <w14:solidFill>
              <w14:schemeClr w14:val="tx1"/>
            </w14:solidFill>
          </w14:textFill>
        </w:rPr>
        <w:t>3</w:t>
      </w:r>
      <w:r>
        <w:rPr>
          <w:rStyle w:val="7"/>
          <w:rFonts w:ascii="Times New Roman" w:hAnsi="Times New Roman" w:cs="Times New Roman"/>
          <w:color w:val="000000" w:themeColor="text1"/>
          <w:shd w:val="clear" w:color="auto" w:fill="FFFFFF"/>
          <w:lang w:val="en-US"/>
          <w14:textFill>
            <w14:solidFill>
              <w14:schemeClr w14:val="tx1"/>
            </w14:solidFill>
          </w14:textFill>
        </w:rPr>
        <w:t xml:space="preserve">. </w:t>
      </w:r>
      <w:r>
        <w:rPr>
          <w:rFonts w:hint="default" w:ascii="Times New Roman Bold" w:hAnsi="Times New Roman Bold" w:cs="Times New Roman Bold"/>
          <w:b/>
          <w:bCs/>
          <w:color w:val="000000" w:themeColor="text1"/>
          <w:shd w:val="clear" w:color="auto" w:fill="FFFFFF"/>
          <w:lang w:val="en-US"/>
          <w14:textFill>
            <w14:solidFill>
              <w14:schemeClr w14:val="tx1"/>
            </w14:solidFill>
          </w14:textFill>
        </w:rPr>
        <w:t xml:space="preserve">Representative images showing morphological changes in mouse skin following a single application of HAMA/G-Exos@TM/PDA@PEG </w:t>
      </w:r>
      <w:r>
        <w:rPr>
          <w:rFonts w:hint="default" w:ascii="Times New Roman Bold" w:hAnsi="Times New Roman Bold" w:eastAsia="宋体" w:cs="Times New Roman Bold"/>
          <w:b/>
          <w:bCs/>
          <w:color w:val="000000" w:themeColor="text1"/>
          <w:lang w:val="en-US"/>
          <w14:textFill>
            <w14:solidFill>
              <w14:schemeClr w14:val="tx1"/>
            </w14:solidFill>
          </w14:textFill>
        </w:rPr>
        <w:t>MNs</w:t>
      </w:r>
      <w:r>
        <w:rPr>
          <w:rFonts w:hint="default" w:ascii="Times New Roman Bold" w:hAnsi="Times New Roman Bold" w:cs="Times New Roman Bold"/>
          <w:b/>
          <w:bCs/>
          <w:color w:val="000000" w:themeColor="text1"/>
          <w:shd w:val="clear" w:color="auto" w:fill="FFFFFF"/>
          <w:lang w:val="en-US"/>
          <w14:textFill>
            <w14:solidFill>
              <w14:schemeClr w14:val="tx1"/>
            </w14:solidFill>
          </w14:textFill>
        </w:rPr>
        <w:t>.</w:t>
      </w:r>
    </w:p>
    <w:p w14:paraId="267364E9">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Times New Roman" w:hAnsi="Times New Roman" w:eastAsia="宋体" w:cs="Times New Roman"/>
          <w:b/>
          <w:bCs/>
          <w:color w:val="000000" w:themeColor="text1"/>
          <w:lang w:eastAsia="zh-CN"/>
          <w14:textFill>
            <w14:solidFill>
              <w14:schemeClr w14:val="tx1"/>
            </w14:solidFill>
          </w14:textFill>
        </w:rPr>
      </w:pPr>
      <w:bookmarkStart w:id="10" w:name="_GoBack"/>
      <w:r>
        <w:rPr>
          <w:rFonts w:hint="eastAsia" w:ascii="Times New Roman" w:hAnsi="Times New Roman" w:eastAsia="宋体" w:cs="Times New Roman"/>
          <w:b/>
          <w:bCs/>
          <w:color w:val="000000" w:themeColor="text1"/>
          <w:lang w:eastAsia="zh-CN"/>
          <w14:textFill>
            <w14:solidFill>
              <w14:schemeClr w14:val="tx1"/>
            </w14:solidFill>
          </w14:textFill>
        </w:rPr>
        <w:drawing>
          <wp:inline distT="0" distB="0" distL="114300" distR="114300">
            <wp:extent cx="5250815" cy="4480560"/>
            <wp:effectExtent l="0" t="0" r="6985" b="15240"/>
            <wp:docPr id="2" name="图片 2" descr="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mp"/>
                    <pic:cNvPicPr>
                      <a:picLocks noChangeAspect="1"/>
                    </pic:cNvPicPr>
                  </pic:nvPicPr>
                  <pic:blipFill>
                    <a:blip r:embed="rId18"/>
                    <a:stretch>
                      <a:fillRect/>
                    </a:stretch>
                  </pic:blipFill>
                  <pic:spPr>
                    <a:xfrm>
                      <a:off x="0" y="0"/>
                      <a:ext cx="5250815" cy="4480560"/>
                    </a:xfrm>
                    <a:prstGeom prst="rect">
                      <a:avLst/>
                    </a:prstGeom>
                  </pic:spPr>
                </pic:pic>
              </a:graphicData>
            </a:graphic>
          </wp:inline>
        </w:drawing>
      </w:r>
      <w:bookmarkEnd w:id="10"/>
    </w:p>
    <w:p w14:paraId="70E916C9">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ascii="Times New Roman" w:hAnsi="Times New Roman" w:cs="Times New Roman"/>
          <w:color w:val="000000" w:themeColor="text1"/>
          <w:shd w:val="clear" w:color="auto" w:fill="FFFFFF"/>
          <w14:textFill>
            <w14:solidFill>
              <w14:schemeClr w14:val="tx1"/>
            </w14:solidFill>
          </w14:textFill>
        </w:rPr>
      </w:pPr>
      <w:r>
        <w:rPr>
          <w:rStyle w:val="7"/>
          <w:rFonts w:ascii="Times New Roman" w:hAnsi="Times New Roman" w:cs="Times New Roman"/>
          <w:color w:val="000000" w:themeColor="text1"/>
          <w:shd w:val="clear" w:color="auto" w:fill="FFFFFF"/>
          <w:lang w:val="en-US"/>
          <w14:textFill>
            <w14:solidFill>
              <w14:schemeClr w14:val="tx1"/>
            </w14:solidFill>
          </w14:textFill>
        </w:rPr>
        <w:t>Figure S1</w:t>
      </w:r>
      <w:r>
        <w:rPr>
          <w:rStyle w:val="7"/>
          <w:rFonts w:hint="default" w:ascii="Times New Roman" w:hAnsi="Times New Roman" w:cs="Times New Roman"/>
          <w:color w:val="000000" w:themeColor="text1"/>
          <w:shd w:val="clear" w:color="auto" w:fill="FFFFFF"/>
          <w:lang w:val="en-US"/>
          <w14:textFill>
            <w14:solidFill>
              <w14:schemeClr w14:val="tx1"/>
            </w14:solidFill>
          </w14:textFill>
        </w:rPr>
        <w:t>4</w:t>
      </w:r>
      <w:r>
        <w:rPr>
          <w:rStyle w:val="7"/>
          <w:rFonts w:ascii="Times New Roman" w:hAnsi="Times New Roman" w:cs="Times New Roman"/>
          <w:color w:val="000000" w:themeColor="text1"/>
          <w:shd w:val="clear" w:color="auto" w:fill="FFFFFF"/>
          <w:lang w:val="en-US"/>
          <w14:textFill>
            <w14:solidFill>
              <w14:schemeClr w14:val="tx1"/>
            </w14:solidFill>
          </w14:textFill>
        </w:rPr>
        <w:t>. Representative immunohistochemical staining of MMP-9 in skin.</w:t>
      </w:r>
    </w:p>
    <w:p w14:paraId="5D2C2CFF">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Times New Roman" w:hAnsi="Times New Roman" w:cs="Times New Roman"/>
          <w:color w:val="000000" w:themeColor="text1"/>
          <w:shd w:val="clear" w:color="auto" w:fill="F4F6FC"/>
          <w14:textFill>
            <w14:solidFill>
              <w14:schemeClr w14:val="tx1"/>
            </w14:solidFill>
          </w14:textFill>
        </w:rPr>
      </w:pPr>
      <w:r>
        <w:rPr>
          <w:color w:val="000000" w:themeColor="text1"/>
          <w14:textFill>
            <w14:solidFill>
              <w14:schemeClr w14:val="tx1"/>
            </w14:solidFill>
          </w14:textFill>
        </w:rPr>
        <w:drawing>
          <wp:inline distT="0" distB="0" distL="114300" distR="114300">
            <wp:extent cx="3390900" cy="2540000"/>
            <wp:effectExtent l="0" t="0" r="12700" b="0"/>
            <wp:docPr id="2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
                    <pic:cNvPicPr>
                      <a:picLocks noChangeAspect="1"/>
                    </pic:cNvPicPr>
                  </pic:nvPicPr>
                  <pic:blipFill>
                    <a:blip r:embed="rId19"/>
                    <a:stretch>
                      <a:fillRect/>
                    </a:stretch>
                  </pic:blipFill>
                  <pic:spPr>
                    <a:xfrm>
                      <a:off x="0" y="0"/>
                      <a:ext cx="3390900" cy="2540000"/>
                    </a:xfrm>
                    <a:prstGeom prst="rect">
                      <a:avLst/>
                    </a:prstGeom>
                    <a:noFill/>
                    <a:ln>
                      <a:noFill/>
                    </a:ln>
                  </pic:spPr>
                </pic:pic>
              </a:graphicData>
            </a:graphic>
          </wp:inline>
        </w:drawing>
      </w:r>
    </w:p>
    <w:p w14:paraId="264F8071">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Style w:val="7"/>
          <w:rFonts w:ascii="Times New Roman" w:hAnsi="Times New Roman" w:cs="Times New Roman"/>
          <w:b w:val="0"/>
          <w:bCs w:val="0"/>
          <w:color w:val="000000" w:themeColor="text1"/>
          <w:shd w:val="clear" w:color="auto" w:fill="FFFFFF"/>
          <w14:textFill>
            <w14:solidFill>
              <w14:schemeClr w14:val="tx1"/>
            </w14:solidFill>
          </w14:textFill>
        </w:rPr>
      </w:pPr>
      <w:r>
        <w:rPr>
          <w:rStyle w:val="7"/>
          <w:rFonts w:ascii="Times New Roman" w:hAnsi="Times New Roman" w:cs="Times New Roman"/>
          <w:color w:val="000000" w:themeColor="text1"/>
          <w:shd w:val="clear" w:color="auto" w:fill="FFFFFF"/>
          <w:lang w:val="en-US"/>
          <w14:textFill>
            <w14:solidFill>
              <w14:schemeClr w14:val="tx1"/>
            </w14:solidFill>
          </w14:textFill>
        </w:rPr>
        <w:t>Figure S1</w:t>
      </w:r>
      <w:r>
        <w:rPr>
          <w:rStyle w:val="7"/>
          <w:rFonts w:hint="default" w:ascii="Times New Roman" w:hAnsi="Times New Roman" w:cs="Times New Roman"/>
          <w:color w:val="000000" w:themeColor="text1"/>
          <w:shd w:val="clear" w:color="auto" w:fill="FFFFFF"/>
          <w:lang w:val="en-US"/>
          <w14:textFill>
            <w14:solidFill>
              <w14:schemeClr w14:val="tx1"/>
            </w14:solidFill>
          </w14:textFill>
        </w:rPr>
        <w:t>5</w:t>
      </w:r>
      <w:r>
        <w:rPr>
          <w:rStyle w:val="7"/>
          <w:rFonts w:ascii="Times New Roman" w:hAnsi="Times New Roman" w:cs="Times New Roman"/>
          <w:color w:val="000000" w:themeColor="text1"/>
          <w:shd w:val="clear" w:color="auto" w:fill="FFFFFF"/>
          <w:lang w:val="en-US"/>
          <w14:textFill>
            <w14:solidFill>
              <w14:schemeClr w14:val="tx1"/>
            </w14:solidFill>
          </w14:textFill>
        </w:rPr>
        <w:t>. Statistics of differentially expressed genes (DEGs).</w:t>
      </w:r>
    </w:p>
    <w:p w14:paraId="0182E2B2">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Times New Roman" w:hAnsi="Times New Roman" w:cs="Times New Roman"/>
          <w:color w:val="000000" w:themeColor="text1"/>
          <w:shd w:val="clear" w:color="auto" w:fill="F4F6FC"/>
          <w14:textFill>
            <w14:solidFill>
              <w14:schemeClr w14:val="tx1"/>
            </w14:solidFill>
          </w14:textFill>
        </w:rPr>
      </w:pPr>
      <w:r>
        <w:rPr>
          <w:color w:val="000000" w:themeColor="text1"/>
          <w14:textFill>
            <w14:solidFill>
              <w14:schemeClr w14:val="tx1"/>
            </w14:solidFill>
          </w14:textFill>
        </w:rPr>
        <w:drawing>
          <wp:inline distT="0" distB="0" distL="114300" distR="114300">
            <wp:extent cx="3539490" cy="8855710"/>
            <wp:effectExtent l="0" t="0" r="16510" b="8890"/>
            <wp:docPr id="2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3"/>
                    <pic:cNvPicPr>
                      <a:picLocks noChangeAspect="1"/>
                    </pic:cNvPicPr>
                  </pic:nvPicPr>
                  <pic:blipFill>
                    <a:blip r:embed="rId20"/>
                    <a:stretch>
                      <a:fillRect/>
                    </a:stretch>
                  </pic:blipFill>
                  <pic:spPr>
                    <a:xfrm>
                      <a:off x="0" y="0"/>
                      <a:ext cx="3539490" cy="8855710"/>
                    </a:xfrm>
                    <a:prstGeom prst="rect">
                      <a:avLst/>
                    </a:prstGeom>
                    <a:noFill/>
                    <a:ln>
                      <a:noFill/>
                    </a:ln>
                  </pic:spPr>
                </pic:pic>
              </a:graphicData>
            </a:graphic>
          </wp:inline>
        </w:drawing>
      </w:r>
    </w:p>
    <w:p w14:paraId="03938876">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Style w:val="7"/>
          <w:rFonts w:ascii="Times New Roman" w:hAnsi="Times New Roman" w:cs="Times New Roman"/>
          <w:b w:val="0"/>
          <w:bCs w:val="0"/>
          <w:color w:val="000000" w:themeColor="text1"/>
          <w:shd w:val="clear" w:color="auto" w:fill="FFFFFF"/>
          <w14:textFill>
            <w14:solidFill>
              <w14:schemeClr w14:val="tx1"/>
            </w14:solidFill>
          </w14:textFill>
        </w:rPr>
      </w:pPr>
      <w:r>
        <w:rPr>
          <w:rStyle w:val="7"/>
          <w:rFonts w:ascii="Times New Roman" w:hAnsi="Times New Roman" w:cs="Times New Roman"/>
          <w:color w:val="000000" w:themeColor="text1"/>
          <w:shd w:val="clear" w:color="auto" w:fill="FFFFFF"/>
          <w:lang w:val="en-US"/>
          <w14:textFill>
            <w14:solidFill>
              <w14:schemeClr w14:val="tx1"/>
            </w14:solidFill>
          </w14:textFill>
        </w:rPr>
        <w:t>Figure S1</w:t>
      </w:r>
      <w:r>
        <w:rPr>
          <w:rStyle w:val="7"/>
          <w:rFonts w:hint="default" w:ascii="Times New Roman" w:hAnsi="Times New Roman" w:cs="Times New Roman"/>
          <w:color w:val="000000" w:themeColor="text1"/>
          <w:shd w:val="clear" w:color="auto" w:fill="FFFFFF"/>
          <w:lang w:val="en-US"/>
          <w14:textFill>
            <w14:solidFill>
              <w14:schemeClr w14:val="tx1"/>
            </w14:solidFill>
          </w14:textFill>
        </w:rPr>
        <w:t>6</w:t>
      </w:r>
      <w:r>
        <w:rPr>
          <w:rStyle w:val="7"/>
          <w:rFonts w:ascii="Times New Roman" w:hAnsi="Times New Roman" w:cs="Times New Roman"/>
          <w:color w:val="000000" w:themeColor="text1"/>
          <w:shd w:val="clear" w:color="auto" w:fill="FFFFFF"/>
          <w:lang w:val="en-US"/>
          <w14:textFill>
            <w14:solidFill>
              <w14:schemeClr w14:val="tx1"/>
            </w14:solidFill>
          </w14:textFill>
        </w:rPr>
        <w:t>. Clustering analysis of DEGs.</w:t>
      </w:r>
    </w:p>
    <w:p w14:paraId="77CA20B6">
      <w:pPr>
        <w:keepNext w:val="0"/>
        <w:keepLines w:val="0"/>
        <w:pageBreakBefore w:val="0"/>
        <w:widowControl/>
        <w:kinsoku/>
        <w:wordWrap/>
        <w:overflowPunct/>
        <w:topLinePunct w:val="0"/>
        <w:autoSpaceDE/>
        <w:autoSpaceDN/>
        <w:bidi w:val="0"/>
        <w:adjustRightInd/>
        <w:snapToGrid/>
        <w:spacing w:line="480" w:lineRule="auto"/>
        <w:jc w:val="center"/>
        <w:textAlignment w:val="auto"/>
        <w:rPr>
          <w:rFonts w:ascii="Times New Roman" w:hAnsi="Times New Roman" w:cs="Times New Roman"/>
          <w:color w:val="000000" w:themeColor="text1"/>
          <w:shd w:val="clear" w:color="auto" w:fill="F4F6FC"/>
          <w14:textFill>
            <w14:solidFill>
              <w14:schemeClr w14:val="tx1"/>
            </w14:solidFill>
          </w14:textFill>
        </w:rPr>
      </w:pPr>
      <w:r>
        <w:rPr>
          <w:color w:val="000000" w:themeColor="text1"/>
          <w14:textFill>
            <w14:solidFill>
              <w14:schemeClr w14:val="tx1"/>
            </w14:solidFill>
          </w14:textFill>
        </w:rPr>
        <w:drawing>
          <wp:inline distT="0" distB="0" distL="114300" distR="114300">
            <wp:extent cx="3048000" cy="3048000"/>
            <wp:effectExtent l="0" t="0" r="0" b="0"/>
            <wp:docPr id="2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4"/>
                    <pic:cNvPicPr>
                      <a:picLocks noChangeAspect="1"/>
                    </pic:cNvPicPr>
                  </pic:nvPicPr>
                  <pic:blipFill>
                    <a:blip r:embed="rId21"/>
                    <a:stretch>
                      <a:fillRect/>
                    </a:stretch>
                  </pic:blipFill>
                  <pic:spPr>
                    <a:xfrm>
                      <a:off x="0" y="0"/>
                      <a:ext cx="3048000" cy="3048000"/>
                    </a:xfrm>
                    <a:prstGeom prst="rect">
                      <a:avLst/>
                    </a:prstGeom>
                    <a:noFill/>
                    <a:ln>
                      <a:noFill/>
                    </a:ln>
                  </pic:spPr>
                </pic:pic>
              </a:graphicData>
            </a:graphic>
          </wp:inline>
        </w:drawing>
      </w:r>
    </w:p>
    <w:p w14:paraId="43F3FE56">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ascii="Times New Roman" w:hAnsi="Times New Roman" w:cs="Times New Roman"/>
          <w:b/>
          <w:bCs/>
          <w:color w:val="000000" w:themeColor="text1"/>
          <w:shd w:val="clear" w:color="auto" w:fill="F4F6FC"/>
          <w14:textFill>
            <w14:solidFill>
              <w14:schemeClr w14:val="tx1"/>
            </w14:solidFill>
          </w14:textFill>
        </w:rPr>
      </w:pPr>
      <w:r>
        <w:rPr>
          <w:rStyle w:val="7"/>
          <w:rFonts w:ascii="Times New Roman" w:hAnsi="Times New Roman" w:cs="Times New Roman"/>
          <w:color w:val="000000" w:themeColor="text1"/>
          <w:shd w:val="clear" w:color="auto" w:fill="FFFFFF"/>
          <w:lang w:val="en-US"/>
          <w14:textFill>
            <w14:solidFill>
              <w14:schemeClr w14:val="tx1"/>
            </w14:solidFill>
          </w14:textFill>
        </w:rPr>
        <w:t>Figure S1</w:t>
      </w:r>
      <w:r>
        <w:rPr>
          <w:rStyle w:val="7"/>
          <w:rFonts w:hint="default" w:ascii="Times New Roman" w:hAnsi="Times New Roman" w:cs="Times New Roman"/>
          <w:color w:val="000000" w:themeColor="text1"/>
          <w:shd w:val="clear" w:color="auto" w:fill="FFFFFF"/>
          <w:lang w:val="en-US"/>
          <w14:textFill>
            <w14:solidFill>
              <w14:schemeClr w14:val="tx1"/>
            </w14:solidFill>
          </w14:textFill>
        </w:rPr>
        <w:t>7</w:t>
      </w:r>
      <w:r>
        <w:rPr>
          <w:rStyle w:val="7"/>
          <w:rFonts w:ascii="Times New Roman" w:hAnsi="Times New Roman" w:cs="Times New Roman"/>
          <w:color w:val="000000" w:themeColor="text1"/>
          <w:shd w:val="clear" w:color="auto" w:fill="FFFFFF"/>
          <w:lang w:val="en-US"/>
          <w14:textFill>
            <w14:solidFill>
              <w14:schemeClr w14:val="tx1"/>
            </w14:solidFill>
          </w14:textFill>
        </w:rPr>
        <w:t>. Chromosomal distribution of DEGs.</w:t>
      </w:r>
    </w:p>
    <w:p w14:paraId="7794C417">
      <w:pPr>
        <w:keepNext w:val="0"/>
        <w:keepLines w:val="0"/>
        <w:pageBreakBefore w:val="0"/>
        <w:widowControl/>
        <w:kinsoku/>
        <w:wordWrap/>
        <w:overflowPunct/>
        <w:topLinePunct w:val="0"/>
        <w:autoSpaceDE/>
        <w:autoSpaceDN/>
        <w:bidi w:val="0"/>
        <w:adjustRightInd/>
        <w:snapToGrid/>
        <w:spacing w:line="480" w:lineRule="auto"/>
        <w:jc w:val="both"/>
        <w:textAlignment w:val="auto"/>
        <w:rPr>
          <w:rFonts w:ascii="Times New Roman" w:hAnsi="Times New Roman" w:cs="Times New Roman"/>
          <w:color w:val="000000" w:themeColor="text1"/>
          <w:shd w:val="clear" w:color="auto" w:fill="F4F6FC"/>
          <w14:textFill>
            <w14:solidFill>
              <w14:schemeClr w14:val="tx1"/>
            </w14:solidFill>
          </w14:textFill>
        </w:rPr>
      </w:pPr>
      <w:r>
        <w:rPr>
          <w:color w:val="000000" w:themeColor="text1"/>
          <w14:textFill>
            <w14:solidFill>
              <w14:schemeClr w14:val="tx1"/>
            </w14:solidFill>
          </w14:textFill>
        </w:rPr>
        <w:drawing>
          <wp:inline distT="0" distB="0" distL="114300" distR="114300">
            <wp:extent cx="1028700" cy="3111500"/>
            <wp:effectExtent l="0" t="0" r="12700" b="12700"/>
            <wp:docPr id="2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5"/>
                    <pic:cNvPicPr>
                      <a:picLocks noChangeAspect="1"/>
                    </pic:cNvPicPr>
                  </pic:nvPicPr>
                  <pic:blipFill>
                    <a:blip r:embed="rId22"/>
                    <a:stretch>
                      <a:fillRect/>
                    </a:stretch>
                  </pic:blipFill>
                  <pic:spPr>
                    <a:xfrm>
                      <a:off x="0" y="0"/>
                      <a:ext cx="1028700" cy="3111500"/>
                    </a:xfrm>
                    <a:prstGeom prst="rect">
                      <a:avLst/>
                    </a:prstGeom>
                    <a:noFill/>
                    <a:ln>
                      <a:noFill/>
                    </a:ln>
                  </pic:spPr>
                </pic:pic>
              </a:graphicData>
            </a:graphic>
          </wp:inline>
        </w:drawing>
      </w:r>
    </w:p>
    <w:p w14:paraId="101088D5">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Style w:val="7"/>
          <w:rFonts w:ascii="Times New Roman" w:hAnsi="Times New Roman" w:cs="Times New Roman"/>
          <w:b w:val="0"/>
          <w:bCs w:val="0"/>
          <w:color w:val="000000" w:themeColor="text1"/>
          <w:shd w:val="clear" w:color="auto" w:fill="FFFFFF"/>
          <w14:textFill>
            <w14:solidFill>
              <w14:schemeClr w14:val="tx1"/>
            </w14:solidFill>
          </w14:textFill>
        </w:rPr>
      </w:pPr>
      <w:r>
        <w:rPr>
          <w:rStyle w:val="7"/>
          <w:rFonts w:ascii="Times New Roman" w:hAnsi="Times New Roman" w:cs="Times New Roman"/>
          <w:color w:val="000000" w:themeColor="text1"/>
          <w:shd w:val="clear" w:color="auto" w:fill="FFFFFF"/>
          <w:lang w:val="en-US"/>
          <w14:textFill>
            <w14:solidFill>
              <w14:schemeClr w14:val="tx1"/>
            </w14:solidFill>
          </w14:textFill>
        </w:rPr>
        <w:t>Figure S1</w:t>
      </w:r>
      <w:r>
        <w:rPr>
          <w:rStyle w:val="7"/>
          <w:rFonts w:hint="default" w:ascii="Times New Roman" w:hAnsi="Times New Roman" w:cs="Times New Roman"/>
          <w:color w:val="000000" w:themeColor="text1"/>
          <w:shd w:val="clear" w:color="auto" w:fill="FFFFFF"/>
          <w:lang w:val="en-US"/>
          <w14:textFill>
            <w14:solidFill>
              <w14:schemeClr w14:val="tx1"/>
            </w14:solidFill>
          </w14:textFill>
        </w:rPr>
        <w:t>8</w:t>
      </w:r>
      <w:r>
        <w:rPr>
          <w:rStyle w:val="7"/>
          <w:rFonts w:ascii="Times New Roman" w:hAnsi="Times New Roman" w:cs="Times New Roman"/>
          <w:color w:val="000000" w:themeColor="text1"/>
          <w:shd w:val="clear" w:color="auto" w:fill="FFFFFF"/>
          <w:lang w:val="en-US"/>
          <w14:textFill>
            <w14:solidFill>
              <w14:schemeClr w14:val="tx1"/>
            </w14:solidFill>
          </w14:textFill>
        </w:rPr>
        <w:t>. DEGs involved in hair follicle morphogenesis.</w:t>
      </w:r>
    </w:p>
    <w:p w14:paraId="0A6C2D20">
      <w:pPr>
        <w:keepNext w:val="0"/>
        <w:keepLines w:val="0"/>
        <w:pageBreakBefore w:val="0"/>
        <w:widowControl/>
        <w:kinsoku/>
        <w:wordWrap/>
        <w:overflowPunct/>
        <w:topLinePunct w:val="0"/>
        <w:autoSpaceDE/>
        <w:autoSpaceDN/>
        <w:bidi w:val="0"/>
        <w:adjustRightInd/>
        <w:snapToGrid/>
        <w:spacing w:line="480" w:lineRule="auto"/>
        <w:textAlignment w:val="auto"/>
        <w:rPr>
          <w:rFonts w:ascii="Times New Roman" w:hAnsi="Times New Roman" w:cs="Times New Roman"/>
          <w:color w:val="000000" w:themeColor="text1"/>
          <w:shd w:val="clear" w:color="auto" w:fill="F4F6FC"/>
          <w14:textFill>
            <w14:solidFill>
              <w14:schemeClr w14:val="tx1"/>
            </w14:solidFill>
          </w14:textFill>
        </w:rPr>
      </w:pPr>
      <w:r>
        <w:rPr>
          <w:color w:val="000000" w:themeColor="text1"/>
          <w14:textFill>
            <w14:solidFill>
              <w14:schemeClr w14:val="tx1"/>
            </w14:solidFill>
          </w14:textFill>
        </w:rPr>
        <w:drawing>
          <wp:inline distT="0" distB="0" distL="114300" distR="114300">
            <wp:extent cx="1028700" cy="6997700"/>
            <wp:effectExtent l="0" t="0" r="12700" b="12700"/>
            <wp:docPr id="2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6"/>
                    <pic:cNvPicPr>
                      <a:picLocks noChangeAspect="1"/>
                    </pic:cNvPicPr>
                  </pic:nvPicPr>
                  <pic:blipFill>
                    <a:blip r:embed="rId23"/>
                    <a:stretch>
                      <a:fillRect/>
                    </a:stretch>
                  </pic:blipFill>
                  <pic:spPr>
                    <a:xfrm>
                      <a:off x="0" y="0"/>
                      <a:ext cx="1028700" cy="6997700"/>
                    </a:xfrm>
                    <a:prstGeom prst="rect">
                      <a:avLst/>
                    </a:prstGeom>
                    <a:noFill/>
                    <a:ln>
                      <a:noFill/>
                    </a:ln>
                  </pic:spPr>
                </pic:pic>
              </a:graphicData>
            </a:graphic>
          </wp:inline>
        </w:drawing>
      </w:r>
    </w:p>
    <w:p w14:paraId="5A94BDE3">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Style w:val="7"/>
          <w:rFonts w:ascii="Times New Roman" w:hAnsi="Times New Roman" w:cs="Times New Roman"/>
          <w:b w:val="0"/>
          <w:bCs w:val="0"/>
          <w:color w:val="000000" w:themeColor="text1"/>
          <w:shd w:val="clear" w:color="auto" w:fill="FFFFFF"/>
          <w14:textFill>
            <w14:solidFill>
              <w14:schemeClr w14:val="tx1"/>
            </w14:solidFill>
          </w14:textFill>
        </w:rPr>
      </w:pPr>
      <w:r>
        <w:rPr>
          <w:rStyle w:val="7"/>
          <w:rFonts w:ascii="Times New Roman" w:hAnsi="Times New Roman" w:cs="Times New Roman"/>
          <w:color w:val="000000" w:themeColor="text1"/>
          <w:shd w:val="clear" w:color="auto" w:fill="FFFFFF"/>
          <w:lang w:val="en-US"/>
          <w14:textFill>
            <w14:solidFill>
              <w14:schemeClr w14:val="tx1"/>
            </w14:solidFill>
          </w14:textFill>
        </w:rPr>
        <w:t>Figure S1</w:t>
      </w:r>
      <w:r>
        <w:rPr>
          <w:rStyle w:val="7"/>
          <w:rFonts w:hint="default" w:ascii="Times New Roman" w:hAnsi="Times New Roman" w:cs="Times New Roman"/>
          <w:color w:val="000000" w:themeColor="text1"/>
          <w:shd w:val="clear" w:color="auto" w:fill="FFFFFF"/>
          <w:lang w:val="en-US"/>
          <w14:textFill>
            <w14:solidFill>
              <w14:schemeClr w14:val="tx1"/>
            </w14:solidFill>
          </w14:textFill>
        </w:rPr>
        <w:t>9</w:t>
      </w:r>
      <w:r>
        <w:rPr>
          <w:rStyle w:val="7"/>
          <w:rFonts w:ascii="Times New Roman" w:hAnsi="Times New Roman" w:cs="Times New Roman"/>
          <w:color w:val="000000" w:themeColor="text1"/>
          <w:shd w:val="clear" w:color="auto" w:fill="FFFFFF"/>
          <w:lang w:val="en-US"/>
          <w14:textFill>
            <w14:solidFill>
              <w14:schemeClr w14:val="tx1"/>
            </w14:solidFill>
          </w14:textFill>
        </w:rPr>
        <w:t>. DEGs involved in Th1 and Th2 cell differentiation.</w:t>
      </w:r>
    </w:p>
    <w:p w14:paraId="0C5F77F6">
      <w:pPr>
        <w:keepNext w:val="0"/>
        <w:keepLines w:val="0"/>
        <w:pageBreakBefore w:val="0"/>
        <w:widowControl/>
        <w:kinsoku/>
        <w:wordWrap/>
        <w:overflowPunct/>
        <w:topLinePunct w:val="0"/>
        <w:autoSpaceDE/>
        <w:autoSpaceDN/>
        <w:bidi w:val="0"/>
        <w:adjustRightInd/>
        <w:snapToGrid/>
        <w:spacing w:line="480" w:lineRule="auto"/>
        <w:textAlignment w:val="auto"/>
        <w:rPr>
          <w:rFonts w:ascii="Times New Roman" w:hAnsi="Times New Roman" w:cs="Times New Roman"/>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49910" cy="8861425"/>
            <wp:effectExtent l="0" t="0" r="8890" b="3175"/>
            <wp:docPr id="2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7"/>
                    <pic:cNvPicPr>
                      <a:picLocks noChangeAspect="1"/>
                    </pic:cNvPicPr>
                  </pic:nvPicPr>
                  <pic:blipFill>
                    <a:blip r:embed="rId24"/>
                    <a:stretch>
                      <a:fillRect/>
                    </a:stretch>
                  </pic:blipFill>
                  <pic:spPr>
                    <a:xfrm>
                      <a:off x="0" y="0"/>
                      <a:ext cx="549910" cy="8861425"/>
                    </a:xfrm>
                    <a:prstGeom prst="rect">
                      <a:avLst/>
                    </a:prstGeom>
                    <a:noFill/>
                    <a:ln>
                      <a:noFill/>
                    </a:ln>
                  </pic:spPr>
                </pic:pic>
              </a:graphicData>
            </a:graphic>
          </wp:inline>
        </w:drawing>
      </w:r>
    </w:p>
    <w:p w14:paraId="694B10A1">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Style w:val="7"/>
          <w:rFonts w:ascii="Times New Roman" w:hAnsi="Times New Roman" w:cs="Times New Roman"/>
          <w:b w:val="0"/>
          <w:bCs w:val="0"/>
          <w:color w:val="000000" w:themeColor="text1"/>
          <w:shd w:val="clear" w:color="auto" w:fill="FFFFFF"/>
          <w14:textFill>
            <w14:solidFill>
              <w14:schemeClr w14:val="tx1"/>
            </w14:solidFill>
          </w14:textFill>
        </w:rPr>
      </w:pPr>
      <w:r>
        <w:rPr>
          <w:rStyle w:val="7"/>
          <w:rFonts w:ascii="Times New Roman" w:hAnsi="Times New Roman" w:cs="Times New Roman"/>
          <w:color w:val="000000" w:themeColor="text1"/>
          <w:shd w:val="clear" w:color="auto" w:fill="FFFFFF"/>
          <w:lang w:val="en-US"/>
          <w14:textFill>
            <w14:solidFill>
              <w14:schemeClr w14:val="tx1"/>
            </w14:solidFill>
          </w14:textFill>
        </w:rPr>
        <w:t>Figure S</w:t>
      </w:r>
      <w:r>
        <w:rPr>
          <w:rStyle w:val="7"/>
          <w:rFonts w:hint="default" w:ascii="Times New Roman" w:hAnsi="Times New Roman" w:cs="Times New Roman"/>
          <w:color w:val="000000" w:themeColor="text1"/>
          <w:shd w:val="clear" w:color="auto" w:fill="FFFFFF"/>
          <w:lang w:val="en-US"/>
          <w14:textFill>
            <w14:solidFill>
              <w14:schemeClr w14:val="tx1"/>
            </w14:solidFill>
          </w14:textFill>
        </w:rPr>
        <w:t>20</w:t>
      </w:r>
      <w:r>
        <w:rPr>
          <w:rStyle w:val="7"/>
          <w:rFonts w:ascii="Times New Roman" w:hAnsi="Times New Roman" w:cs="Times New Roman"/>
          <w:color w:val="000000" w:themeColor="text1"/>
          <w:shd w:val="clear" w:color="auto" w:fill="FFFFFF"/>
          <w:lang w:val="en-US"/>
          <w14:textFill>
            <w14:solidFill>
              <w14:schemeClr w14:val="tx1"/>
            </w14:solidFill>
          </w14:textFill>
        </w:rPr>
        <w:t>. DEGs involved in Chemical carcinogenesis reactive oxygen specie.</w:t>
      </w:r>
    </w:p>
    <w:p w14:paraId="4A17B9E8">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eastAsia" w:ascii="Segoe UI" w:hAnsi="Segoe UI" w:eastAsia="宋体" w:cs="Segoe UI"/>
          <w:color w:val="000000" w:themeColor="text1"/>
          <w:sz w:val="23"/>
          <w:szCs w:val="23"/>
          <w:shd w:val="clear" w:color="auto" w:fill="F4F6FC"/>
          <w:lang w:eastAsia="zh-CN"/>
          <w14:textFill>
            <w14:solidFill>
              <w14:schemeClr w14:val="tx1"/>
            </w14:solidFill>
          </w14:textFill>
        </w:rPr>
      </w:pPr>
      <w:r>
        <w:rPr>
          <w:rFonts w:hint="eastAsia" w:ascii="Segoe UI" w:hAnsi="Segoe UI" w:eastAsia="宋体" w:cs="Segoe UI"/>
          <w:color w:val="000000" w:themeColor="text1"/>
          <w:sz w:val="23"/>
          <w:szCs w:val="23"/>
          <w:shd w:val="clear" w:color="auto" w:fill="F4F6FC"/>
          <w:lang w:eastAsia="zh-CN"/>
          <w14:textFill>
            <w14:solidFill>
              <w14:schemeClr w14:val="tx1"/>
            </w14:solidFill>
          </w14:textFill>
        </w:rPr>
        <w:drawing>
          <wp:inline distT="0" distB="0" distL="114300" distR="114300">
            <wp:extent cx="5253990" cy="5687695"/>
            <wp:effectExtent l="0" t="0" r="3810" b="1905"/>
            <wp:docPr id="10" name="图片 10" descr="补充图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补充图21"/>
                    <pic:cNvPicPr>
                      <a:picLocks noChangeAspect="1"/>
                    </pic:cNvPicPr>
                  </pic:nvPicPr>
                  <pic:blipFill>
                    <a:blip r:embed="rId25"/>
                    <a:stretch>
                      <a:fillRect/>
                    </a:stretch>
                  </pic:blipFill>
                  <pic:spPr>
                    <a:xfrm>
                      <a:off x="0" y="0"/>
                      <a:ext cx="5253990" cy="5687695"/>
                    </a:xfrm>
                    <a:prstGeom prst="rect">
                      <a:avLst/>
                    </a:prstGeom>
                  </pic:spPr>
                </pic:pic>
              </a:graphicData>
            </a:graphic>
          </wp:inline>
        </w:drawing>
      </w:r>
    </w:p>
    <w:p w14:paraId="4D575D00">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Style w:val="7"/>
          <w:rFonts w:hint="default" w:ascii="Times New Roman Bold" w:hAnsi="Times New Roman Bold" w:eastAsia="DengXian" w:cs="Times New Roman Bold"/>
          <w:i w:val="0"/>
          <w:iCs w:val="0"/>
          <w:color w:val="000000" w:themeColor="text1"/>
          <w:shd w:val="clear" w:color="auto" w:fill="FFFFFF"/>
          <w:lang w:val="en-US"/>
          <w14:textFill>
            <w14:solidFill>
              <w14:schemeClr w14:val="tx1"/>
            </w14:solidFill>
          </w14:textFill>
        </w:rPr>
      </w:pPr>
      <w:r>
        <w:rPr>
          <w:rStyle w:val="7"/>
          <w:rFonts w:hint="default" w:ascii="Times New Roman Bold" w:hAnsi="Times New Roman Bold" w:eastAsia="DengXian" w:cs="Times New Roman Bold"/>
          <w:i w:val="0"/>
          <w:iCs w:val="0"/>
          <w:color w:val="000000" w:themeColor="text1"/>
          <w:shd w:val="clear" w:color="auto" w:fill="FFFFFF"/>
          <w:lang w:val="en-US"/>
          <w14:textFill>
            <w14:solidFill>
              <w14:schemeClr w14:val="tx1"/>
            </w14:solidFill>
          </w14:textFill>
        </w:rPr>
        <w:t>Figure S</w:t>
      </w:r>
      <w:r>
        <w:rPr>
          <w:rStyle w:val="7"/>
          <w:rFonts w:hint="eastAsia" w:ascii="Times New Roman Bold" w:hAnsi="Times New Roman Bold" w:eastAsia="DengXian" w:cs="Times New Roman Bold"/>
          <w:i w:val="0"/>
          <w:iCs w:val="0"/>
          <w:color w:val="000000" w:themeColor="text1"/>
          <w:shd w:val="clear" w:color="auto" w:fill="FFFFFF"/>
          <w:lang w:val="en-US" w:eastAsia="zh-CN"/>
          <w14:textFill>
            <w14:solidFill>
              <w14:schemeClr w14:val="tx1"/>
            </w14:solidFill>
          </w14:textFill>
        </w:rPr>
        <w:t>2</w:t>
      </w:r>
      <w:r>
        <w:rPr>
          <w:rStyle w:val="7"/>
          <w:rFonts w:hint="default" w:ascii="Times New Roman Bold" w:hAnsi="Times New Roman Bold" w:eastAsia="DengXian" w:cs="Times New Roman Bold"/>
          <w:i w:val="0"/>
          <w:iCs w:val="0"/>
          <w:color w:val="000000" w:themeColor="text1"/>
          <w:shd w:val="clear" w:color="auto" w:fill="FFFFFF"/>
          <w:lang w:val="en-US" w:eastAsia="zh-CN"/>
          <w14:textFill>
            <w14:solidFill>
              <w14:schemeClr w14:val="tx1"/>
            </w14:solidFill>
          </w14:textFill>
        </w:rPr>
        <w:t>1</w:t>
      </w:r>
      <w:r>
        <w:rPr>
          <w:rStyle w:val="7"/>
          <w:rFonts w:hint="default" w:ascii="Times New Roman Bold" w:hAnsi="Times New Roman Bold" w:eastAsia="DengXian" w:cs="Times New Roman Bold"/>
          <w:i w:val="0"/>
          <w:iCs w:val="0"/>
          <w:color w:val="000000" w:themeColor="text1"/>
          <w:shd w:val="clear" w:color="auto" w:fill="FFFFFF"/>
          <w:lang w:val="en-US"/>
          <w14:textFill>
            <w14:solidFill>
              <w14:schemeClr w14:val="tx1"/>
            </w14:solidFill>
          </w14:textFill>
        </w:rPr>
        <w:t xml:space="preserve">. Representative immunohistochemical staining of IL-17A, PI3K and ApoE in the skin with corresponding quantitative analysis of their expression levels. </w:t>
      </w:r>
    </w:p>
    <w:p w14:paraId="5E5EC0BF">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center"/>
        <w:textAlignment w:val="auto"/>
        <w:rPr>
          <w:rStyle w:val="7"/>
          <w:rFonts w:hint="eastAsia" w:ascii="Times New Roman Bold" w:hAnsi="Times New Roman Bold" w:eastAsia="DengXian" w:cs="Times New Roman Bold"/>
          <w:i w:val="0"/>
          <w:iCs w:val="0"/>
          <w:color w:val="000000" w:themeColor="text1"/>
          <w:shd w:val="clear" w:color="auto" w:fill="FFFFFF"/>
          <w:lang w:val="en-US" w:eastAsia="zh-CN"/>
          <w14:textFill>
            <w14:solidFill>
              <w14:schemeClr w14:val="tx1"/>
            </w14:solidFill>
          </w14:textFill>
        </w:rPr>
      </w:pPr>
      <w:r>
        <w:rPr>
          <w:rStyle w:val="7"/>
          <w:rFonts w:hint="eastAsia" w:ascii="Times New Roman Bold" w:hAnsi="Times New Roman Bold" w:eastAsia="DengXian" w:cs="Times New Roman Bold"/>
          <w:i w:val="0"/>
          <w:iCs w:val="0"/>
          <w:color w:val="000000" w:themeColor="text1"/>
          <w:shd w:val="clear" w:color="auto" w:fill="FFFFFF"/>
          <w:lang w:val="en-US" w:eastAsia="zh-CN"/>
          <w14:textFill>
            <w14:solidFill>
              <w14:schemeClr w14:val="tx1"/>
            </w14:solidFill>
          </w14:textFill>
        </w:rPr>
        <w:drawing>
          <wp:inline distT="0" distB="0" distL="114300" distR="114300">
            <wp:extent cx="1504950" cy="2035810"/>
            <wp:effectExtent l="0" t="0" r="19050" b="21590"/>
            <wp:docPr id="7" name="图片 7" descr="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wb"/>
                    <pic:cNvPicPr>
                      <a:picLocks noChangeAspect="1"/>
                    </pic:cNvPicPr>
                  </pic:nvPicPr>
                  <pic:blipFill>
                    <a:blip r:embed="rId26"/>
                    <a:stretch>
                      <a:fillRect/>
                    </a:stretch>
                  </pic:blipFill>
                  <pic:spPr>
                    <a:xfrm>
                      <a:off x="0" y="0"/>
                      <a:ext cx="1504950" cy="2035810"/>
                    </a:xfrm>
                    <a:prstGeom prst="rect">
                      <a:avLst/>
                    </a:prstGeom>
                  </pic:spPr>
                </pic:pic>
              </a:graphicData>
            </a:graphic>
          </wp:inline>
        </w:drawing>
      </w:r>
    </w:p>
    <w:p w14:paraId="7CE33488">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Style w:val="7"/>
          <w:rFonts w:hint="eastAsia" w:ascii="Times New Roman Bold" w:hAnsi="Times New Roman Bold" w:eastAsia="DengXian" w:cs="Times New Roman Bold"/>
          <w:i w:val="0"/>
          <w:iCs w:val="0"/>
          <w:color w:val="000000" w:themeColor="text1"/>
          <w:shd w:val="clear" w:color="auto" w:fill="FFFFFF"/>
          <w:lang w:val="en-US"/>
          <w14:textFill>
            <w14:solidFill>
              <w14:schemeClr w14:val="tx1"/>
            </w14:solidFill>
          </w14:textFill>
        </w:rPr>
      </w:pPr>
      <w:r>
        <w:rPr>
          <w:rStyle w:val="7"/>
          <w:rFonts w:hint="default" w:ascii="Times New Roman Bold" w:hAnsi="Times New Roman Bold" w:eastAsia="DengXian" w:cs="Times New Roman Bold"/>
          <w:i w:val="0"/>
          <w:iCs w:val="0"/>
          <w:color w:val="000000" w:themeColor="text1"/>
          <w:shd w:val="clear" w:color="auto" w:fill="FFFFFF"/>
          <w:lang w:val="en-US"/>
          <w14:textFill>
            <w14:solidFill>
              <w14:schemeClr w14:val="tx1"/>
            </w14:solidFill>
          </w14:textFill>
        </w:rPr>
        <w:t>Figure S</w:t>
      </w:r>
      <w:r>
        <w:rPr>
          <w:rStyle w:val="7"/>
          <w:rFonts w:hint="eastAsia" w:ascii="Times New Roman Bold" w:hAnsi="Times New Roman Bold" w:eastAsia="DengXian" w:cs="Times New Roman Bold"/>
          <w:i w:val="0"/>
          <w:iCs w:val="0"/>
          <w:color w:val="000000" w:themeColor="text1"/>
          <w:shd w:val="clear" w:color="auto" w:fill="FFFFFF"/>
          <w:lang w:val="en-US" w:eastAsia="zh-CN"/>
          <w14:textFill>
            <w14:solidFill>
              <w14:schemeClr w14:val="tx1"/>
            </w14:solidFill>
          </w14:textFill>
        </w:rPr>
        <w:t>2</w:t>
      </w:r>
      <w:r>
        <w:rPr>
          <w:rStyle w:val="7"/>
          <w:rFonts w:hint="default" w:ascii="Times New Roman Bold" w:hAnsi="Times New Roman Bold" w:eastAsia="DengXian" w:cs="Times New Roman Bold"/>
          <w:i w:val="0"/>
          <w:iCs w:val="0"/>
          <w:color w:val="000000" w:themeColor="text1"/>
          <w:shd w:val="clear" w:color="auto" w:fill="FFFFFF"/>
          <w:lang w:val="en-US" w:eastAsia="zh-CN"/>
          <w14:textFill>
            <w14:solidFill>
              <w14:schemeClr w14:val="tx1"/>
            </w14:solidFill>
          </w14:textFill>
        </w:rPr>
        <w:t>2</w:t>
      </w:r>
      <w:r>
        <w:rPr>
          <w:rStyle w:val="7"/>
          <w:rFonts w:hint="default" w:ascii="Times New Roman Bold" w:hAnsi="Times New Roman Bold" w:eastAsia="DengXian" w:cs="Times New Roman Bold"/>
          <w:i w:val="0"/>
          <w:iCs w:val="0"/>
          <w:color w:val="000000" w:themeColor="text1"/>
          <w:shd w:val="clear" w:color="auto" w:fill="FFFFFF"/>
          <w:lang w:val="en-US"/>
          <w14:textFill>
            <w14:solidFill>
              <w14:schemeClr w14:val="tx1"/>
            </w14:solidFill>
          </w14:textFill>
        </w:rPr>
        <w:t>. Immunoblots for IL-17A, PI3K, and ApoE in treated skin tissues.</w:t>
      </w:r>
    </w:p>
    <w:p w14:paraId="0A962C74">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eastAsia" w:ascii="Segoe UI" w:hAnsi="Segoe UI" w:cs="Segoe UI"/>
          <w:color w:val="000000" w:themeColor="text1"/>
          <w:sz w:val="23"/>
          <w:szCs w:val="23"/>
          <w:shd w:val="clear" w:color="auto" w:fill="F4F6FC"/>
          <w14:textFill>
            <w14:solidFill>
              <w14:schemeClr w14:val="tx1"/>
            </w14:solidFill>
          </w14:textFill>
        </w:rPr>
      </w:pPr>
      <w:r>
        <w:rPr>
          <w:rFonts w:hint="eastAsia" w:ascii="Segoe UI" w:hAnsi="Segoe UI" w:cs="Segoe UI"/>
          <w:color w:val="000000" w:themeColor="text1"/>
          <w:sz w:val="23"/>
          <w:szCs w:val="23"/>
          <w:shd w:val="clear" w:color="auto" w:fill="F4F6FC"/>
          <w14:textFill>
            <w14:solidFill>
              <w14:schemeClr w14:val="tx1"/>
            </w14:solidFill>
          </w14:textFill>
        </w:rPr>
        <w:drawing>
          <wp:inline distT="0" distB="0" distL="114300" distR="114300">
            <wp:extent cx="5260975" cy="2005330"/>
            <wp:effectExtent l="0" t="0" r="0" b="0"/>
            <wp:docPr id="5" name="图片 5" descr="pda文章小机制最后一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pda文章小机制最后一图"/>
                    <pic:cNvPicPr>
                      <a:picLocks noChangeAspect="1"/>
                    </pic:cNvPicPr>
                  </pic:nvPicPr>
                  <pic:blipFill>
                    <a:blip r:embed="rId27"/>
                    <a:srcRect t="73721"/>
                    <a:stretch>
                      <a:fillRect/>
                    </a:stretch>
                  </pic:blipFill>
                  <pic:spPr>
                    <a:xfrm>
                      <a:off x="0" y="0"/>
                      <a:ext cx="5260975" cy="2005330"/>
                    </a:xfrm>
                    <a:prstGeom prst="rect">
                      <a:avLst/>
                    </a:prstGeom>
                  </pic:spPr>
                </pic:pic>
              </a:graphicData>
            </a:graphic>
          </wp:inline>
        </w:drawing>
      </w:r>
    </w:p>
    <w:p w14:paraId="053D9A00">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auto"/>
        <w:jc w:val="both"/>
        <w:textAlignment w:val="auto"/>
        <w:rPr>
          <w:rFonts w:hint="eastAsia" w:ascii="Segoe UI" w:hAnsi="Segoe UI" w:eastAsia="宋体" w:cs="Segoe UI"/>
          <w:color w:val="000000" w:themeColor="text1"/>
          <w:sz w:val="23"/>
          <w:szCs w:val="23"/>
          <w:shd w:val="clear" w:color="auto" w:fill="F4F6FC"/>
          <w:lang w:val="en-US" w:eastAsia="zh-CN"/>
          <w14:textFill>
            <w14:solidFill>
              <w14:schemeClr w14:val="tx1"/>
            </w14:solidFill>
          </w14:textFill>
        </w:rPr>
      </w:pPr>
      <w:r>
        <w:rPr>
          <w:rStyle w:val="7"/>
          <w:rFonts w:ascii="Times New Roman" w:hAnsi="Times New Roman" w:cs="Times New Roman"/>
          <w:color w:val="000000" w:themeColor="text1"/>
          <w:shd w:val="clear" w:color="auto" w:fill="FFFFFF"/>
          <w:lang w:val="en-US"/>
          <w14:textFill>
            <w14:solidFill>
              <w14:schemeClr w14:val="tx1"/>
            </w14:solidFill>
          </w14:textFill>
        </w:rPr>
        <w:t>Figure S</w:t>
      </w:r>
      <w:r>
        <w:rPr>
          <w:rStyle w:val="7"/>
          <w:rFonts w:hint="eastAsia" w:ascii="Times New Roman" w:hAnsi="Times New Roman" w:cs="Times New Roman"/>
          <w:color w:val="000000" w:themeColor="text1"/>
          <w:shd w:val="clear" w:color="auto" w:fill="FFFFFF"/>
          <w:lang w:val="en-US" w:eastAsia="zh-CN"/>
          <w14:textFill>
            <w14:solidFill>
              <w14:schemeClr w14:val="tx1"/>
            </w14:solidFill>
          </w14:textFill>
        </w:rPr>
        <w:t>2</w:t>
      </w:r>
      <w:r>
        <w:rPr>
          <w:rStyle w:val="7"/>
          <w:rFonts w:hint="default" w:ascii="Times New Roman" w:hAnsi="Times New Roman" w:cs="Times New Roman"/>
          <w:color w:val="000000" w:themeColor="text1"/>
          <w:shd w:val="clear" w:color="auto" w:fill="FFFFFF"/>
          <w:lang w:val="en-US" w:eastAsia="zh-CN"/>
          <w14:textFill>
            <w14:solidFill>
              <w14:schemeClr w14:val="tx1"/>
            </w14:solidFill>
          </w14:textFill>
        </w:rPr>
        <w:t>3</w:t>
      </w:r>
      <w:r>
        <w:rPr>
          <w:rStyle w:val="7"/>
          <w:rFonts w:ascii="Times New Roman" w:hAnsi="Times New Roman" w:cs="Times New Roman"/>
          <w:color w:val="000000" w:themeColor="text1"/>
          <w:shd w:val="clear" w:color="auto" w:fill="FFFFFF"/>
          <w:lang w:val="en-US"/>
          <w14:textFill>
            <w14:solidFill>
              <w14:schemeClr w14:val="tx1"/>
            </w14:solidFill>
          </w14:textFill>
        </w:rPr>
        <w:t xml:space="preserve">. </w:t>
      </w:r>
      <w:r>
        <w:rPr>
          <w:rStyle w:val="7"/>
          <w:rFonts w:hint="eastAsia" w:ascii="Times New Roman" w:hAnsi="Times New Roman" w:cs="Times New Roman"/>
          <w:color w:val="000000" w:themeColor="text1"/>
          <w:shd w:val="clear" w:color="auto" w:fill="FFFFFF"/>
          <w:lang w:val="en-US"/>
          <w14:textFill>
            <w14:solidFill>
              <w14:schemeClr w14:val="tx1"/>
            </w14:solidFill>
          </w14:textFill>
        </w:rPr>
        <w:t>Schematic diagram illustrating the therapeutic mechanism of the MN system.</w:t>
      </w:r>
      <w:r>
        <w:rPr>
          <w:rStyle w:val="7"/>
          <w:rFonts w:hint="eastAsia" w:ascii="Times New Roman" w:hAnsi="Times New Roman" w:cs="Times New Roman"/>
          <w:color w:val="000000" w:themeColor="text1"/>
          <w:shd w:val="clear" w:color="auto" w:fill="FFFFFF"/>
          <w:lang w:val="en-US" w:eastAsia="zh-CN"/>
          <w14:textFill>
            <w14:solidFill>
              <w14:schemeClr w14:val="tx1"/>
            </w14:solidFill>
          </w14:textFill>
        </w:rPr>
        <w:t xml:space="preserve"> </w:t>
      </w:r>
    </w:p>
    <w:p w14:paraId="0AF9896F">
      <w:pPr>
        <w:pStyle w:val="9"/>
        <w:keepNext w:val="0"/>
        <w:keepLines w:val="0"/>
        <w:pageBreakBefore w:val="0"/>
        <w:widowControl/>
        <w:kinsoku/>
        <w:wordWrap/>
        <w:overflowPunct/>
        <w:topLinePunct w:val="0"/>
        <w:autoSpaceDE/>
        <w:autoSpaceDN/>
        <w:bidi w:val="0"/>
        <w:adjustRightInd/>
        <w:snapToGrid/>
        <w:spacing w:line="480" w:lineRule="auto"/>
        <w:ind w:left="720" w:hanging="720"/>
        <w:textAlignment w:val="auto"/>
        <w:rPr>
          <w:color w:val="000000" w:themeColor="text1"/>
          <w14:textFill>
            <w14:solidFill>
              <w14:schemeClr w14:val="tx1"/>
            </w14:solidFill>
          </w14:textFill>
        </w:rPr>
      </w:pPr>
      <w:r>
        <w:rPr>
          <w:rStyle w:val="7"/>
          <w:rFonts w:ascii="Times New Roman" w:hAnsi="Times New Roman" w:cs="Times New Roman"/>
          <w:b w:val="0"/>
          <w:bCs w:val="0"/>
          <w:color w:val="000000" w:themeColor="text1"/>
          <w:shd w:val="clear" w:color="auto" w:fill="FFFFFF"/>
          <w14:textFill>
            <w14:solidFill>
              <w14:schemeClr w14:val="tx1"/>
            </w14:solidFill>
          </w14:textFill>
        </w:rPr>
        <w:fldChar w:fldCharType="begin"/>
      </w:r>
      <w:r>
        <w:rPr>
          <w:rStyle w:val="7"/>
          <w:rFonts w:ascii="Times New Roman" w:hAnsi="Times New Roman" w:cs="Times New Roman"/>
          <w:color w:val="000000" w:themeColor="text1"/>
          <w:shd w:val="clear" w:color="auto" w:fill="FFFFFF"/>
          <w:lang w:val="en-US"/>
          <w14:textFill>
            <w14:solidFill>
              <w14:schemeClr w14:val="tx1"/>
            </w14:solidFill>
          </w14:textFill>
        </w:rPr>
        <w:instrText xml:space="preserve"> ADDIN EN.REFLIST </w:instrText>
      </w:r>
      <w:r>
        <w:rPr>
          <w:rStyle w:val="7"/>
          <w:rFonts w:ascii="Times New Roman" w:hAnsi="Times New Roman" w:cs="Times New Roman"/>
          <w:b w:val="0"/>
          <w:bCs w:val="0"/>
          <w:color w:val="000000" w:themeColor="text1"/>
          <w:shd w:val="clear" w:color="auto" w:fill="FFFFFF"/>
          <w14:textFill>
            <w14:solidFill>
              <w14:schemeClr w14:val="tx1"/>
            </w14:solidFill>
          </w14:textFill>
        </w:rPr>
        <w:fldChar w:fldCharType="separate"/>
      </w:r>
      <w:r>
        <w:rPr>
          <w:color w:val="000000" w:themeColor="text1"/>
          <w:lang w:val="en-US"/>
          <w14:textFill>
            <w14:solidFill>
              <w14:schemeClr w14:val="tx1"/>
            </w14:solidFill>
          </w14:textFill>
        </w:rPr>
        <w:t>1.</w:t>
      </w:r>
      <w:r>
        <w:rPr>
          <w:color w:val="000000" w:themeColor="text1"/>
          <w:lang w:val="en-US"/>
          <w14:textFill>
            <w14:solidFill>
              <w14:schemeClr w14:val="tx1"/>
            </w14:solidFill>
          </w14:textFill>
        </w:rPr>
        <w:tab/>
      </w:r>
      <w:r>
        <w:rPr>
          <w:color w:val="000000" w:themeColor="text1"/>
          <w:lang w:val="en-US"/>
          <w14:textFill>
            <w14:solidFill>
              <w14:schemeClr w14:val="tx1"/>
            </w14:solidFill>
          </w14:textFill>
        </w:rPr>
        <w:t xml:space="preserve">Giri, P., D. Desai, and M. Dwivedi, </w:t>
      </w:r>
      <w:r>
        <w:rPr>
          <w:i/>
          <w:color w:val="000000" w:themeColor="text1"/>
          <w:lang w:val="en-US"/>
          <w14:textFill>
            <w14:solidFill>
              <w14:schemeClr w14:val="tx1"/>
            </w14:solidFill>
          </w14:textFill>
        </w:rPr>
        <w:t>Animal models unraveling the complexity of vitiligo pathogenesis.</w:t>
      </w:r>
      <w:r>
        <w:rPr>
          <w:color w:val="000000" w:themeColor="text1"/>
          <w:lang w:val="en-US"/>
          <w14:textFill>
            <w14:solidFill>
              <w14:schemeClr w14:val="tx1"/>
            </w14:solidFill>
          </w14:textFill>
        </w:rPr>
        <w:t xml:space="preserve"> Autoimmun Rev, 2024. </w:t>
      </w:r>
      <w:r>
        <w:rPr>
          <w:b/>
          <w:color w:val="000000" w:themeColor="text1"/>
          <w:lang w:val="en-US"/>
          <w14:textFill>
            <w14:solidFill>
              <w14:schemeClr w14:val="tx1"/>
            </w14:solidFill>
          </w14:textFill>
        </w:rPr>
        <w:t>23</w:t>
      </w:r>
      <w:r>
        <w:rPr>
          <w:color w:val="000000" w:themeColor="text1"/>
          <w:lang w:val="en-US"/>
          <w14:textFill>
            <w14:solidFill>
              <w14:schemeClr w14:val="tx1"/>
            </w14:solidFill>
          </w14:textFill>
        </w:rPr>
        <w:t>(4): p. 103515.</w:t>
      </w:r>
    </w:p>
    <w:p w14:paraId="22B5408F">
      <w:pPr>
        <w:pStyle w:val="9"/>
        <w:keepNext w:val="0"/>
        <w:keepLines w:val="0"/>
        <w:pageBreakBefore w:val="0"/>
        <w:widowControl/>
        <w:kinsoku/>
        <w:wordWrap/>
        <w:overflowPunct/>
        <w:topLinePunct w:val="0"/>
        <w:autoSpaceDE/>
        <w:autoSpaceDN/>
        <w:bidi w:val="0"/>
        <w:adjustRightInd/>
        <w:snapToGrid/>
        <w:spacing w:line="480" w:lineRule="auto"/>
        <w:ind w:left="720" w:hanging="720"/>
        <w:textAlignment w:val="auto"/>
        <w:rPr>
          <w:color w:val="000000" w:themeColor="text1"/>
          <w14:textFill>
            <w14:solidFill>
              <w14:schemeClr w14:val="tx1"/>
            </w14:solidFill>
          </w14:textFill>
        </w:rPr>
      </w:pPr>
      <w:r>
        <w:rPr>
          <w:color w:val="000000" w:themeColor="text1"/>
          <w:lang w:val="en-US"/>
          <w14:textFill>
            <w14:solidFill>
              <w14:schemeClr w14:val="tx1"/>
            </w14:solidFill>
          </w14:textFill>
        </w:rPr>
        <w:t>2.</w:t>
      </w:r>
      <w:r>
        <w:rPr>
          <w:color w:val="000000" w:themeColor="text1"/>
          <w:lang w:val="en-US"/>
          <w14:textFill>
            <w14:solidFill>
              <w14:schemeClr w14:val="tx1"/>
            </w14:solidFill>
          </w14:textFill>
        </w:rPr>
        <w:tab/>
      </w:r>
      <w:r>
        <w:rPr>
          <w:color w:val="000000" w:themeColor="text1"/>
          <w:lang w:val="en-US"/>
          <w14:textFill>
            <w14:solidFill>
              <w14:schemeClr w14:val="tx1"/>
            </w14:solidFill>
          </w14:textFill>
        </w:rPr>
        <w:t xml:space="preserve">Zhu, Y., S. Wang, and A. Xu, </w:t>
      </w:r>
      <w:r>
        <w:rPr>
          <w:i/>
          <w:color w:val="000000" w:themeColor="text1"/>
          <w:lang w:val="en-US"/>
          <w14:textFill>
            <w14:solidFill>
              <w14:schemeClr w14:val="tx1"/>
            </w14:solidFill>
          </w14:textFill>
        </w:rPr>
        <w:t>A mouse model of vitiligo induced by monobenzone.</w:t>
      </w:r>
      <w:r>
        <w:rPr>
          <w:color w:val="000000" w:themeColor="text1"/>
          <w:lang w:val="en-US"/>
          <w14:textFill>
            <w14:solidFill>
              <w14:schemeClr w14:val="tx1"/>
            </w14:solidFill>
          </w14:textFill>
        </w:rPr>
        <w:t xml:space="preserve"> Exp Dermatol, 2013. </w:t>
      </w:r>
      <w:r>
        <w:rPr>
          <w:b/>
          <w:color w:val="000000" w:themeColor="text1"/>
          <w:lang w:val="en-US"/>
          <w14:textFill>
            <w14:solidFill>
              <w14:schemeClr w14:val="tx1"/>
            </w14:solidFill>
          </w14:textFill>
        </w:rPr>
        <w:t>22</w:t>
      </w:r>
      <w:r>
        <w:rPr>
          <w:color w:val="000000" w:themeColor="text1"/>
          <w:lang w:val="en-US"/>
          <w14:textFill>
            <w14:solidFill>
              <w14:schemeClr w14:val="tx1"/>
            </w14:solidFill>
          </w14:textFill>
        </w:rPr>
        <w:t>(7): p. 499-501.</w:t>
      </w:r>
    </w:p>
    <w:p w14:paraId="4B1EC2A0">
      <w:pPr>
        <w:pStyle w:val="9"/>
        <w:keepNext w:val="0"/>
        <w:keepLines w:val="0"/>
        <w:pageBreakBefore w:val="0"/>
        <w:widowControl/>
        <w:kinsoku/>
        <w:wordWrap/>
        <w:overflowPunct/>
        <w:topLinePunct w:val="0"/>
        <w:autoSpaceDE/>
        <w:autoSpaceDN/>
        <w:bidi w:val="0"/>
        <w:adjustRightInd/>
        <w:snapToGrid/>
        <w:spacing w:line="480" w:lineRule="auto"/>
        <w:textAlignment w:val="auto"/>
        <w:rPr>
          <w:color w:val="000000" w:themeColor="text1"/>
          <w14:textFill>
            <w14:solidFill>
              <w14:schemeClr w14:val="tx1"/>
            </w14:solidFill>
          </w14:textFill>
        </w:rPr>
      </w:pPr>
      <w:r>
        <w:rPr>
          <w:i/>
          <w:color w:val="000000" w:themeColor="text1"/>
          <w:lang w:val="en-US"/>
          <w14:textFill>
            <w14:solidFill>
              <w14:schemeClr w14:val="tx1"/>
            </w14:solidFill>
          </w14:textFill>
        </w:rPr>
        <w:t xml:space="preserve"> </w:t>
      </w:r>
    </w:p>
    <w:p w14:paraId="050B074E">
      <w:pPr>
        <w:pStyle w:val="9"/>
        <w:keepNext w:val="0"/>
        <w:keepLines w:val="0"/>
        <w:pageBreakBefore w:val="0"/>
        <w:widowControl/>
        <w:kinsoku/>
        <w:wordWrap/>
        <w:overflowPunct/>
        <w:topLinePunct w:val="0"/>
        <w:autoSpaceDE/>
        <w:autoSpaceDN/>
        <w:bidi w:val="0"/>
        <w:adjustRightInd/>
        <w:snapToGrid/>
        <w:spacing w:line="480" w:lineRule="auto"/>
        <w:textAlignment w:val="auto"/>
      </w:pPr>
      <w:r>
        <w:rPr>
          <w:rStyle w:val="7"/>
          <w:rFonts w:ascii="Times New Roman" w:hAnsi="Times New Roman" w:cs="Times New Roman"/>
          <w:b w:val="0"/>
          <w:bCs w:val="0"/>
          <w:color w:val="000000" w:themeColor="text1"/>
          <w:shd w:val="clear" w:color="auto" w:fill="FFFFFF"/>
          <w14:textFill>
            <w14:solidFill>
              <w14:schemeClr w14:val="tx1"/>
            </w14:solidFill>
          </w14:textFill>
        </w:rPr>
        <w:fldChar w:fldCharType="end"/>
      </w:r>
    </w:p>
    <w:sectPr>
      <w:footerReference r:id="rId3" w:type="default"/>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DengXian">
    <w:altName w:val="汉仪中等线KW"/>
    <w:panose1 w:val="00000000000000000000"/>
    <w:charset w:val="86"/>
    <w:family w:val="auto"/>
    <w:pitch w:val="default"/>
    <w:sig w:usb0="00000000" w:usb1="00000000" w:usb2="00000000" w:usb3="00000000" w:csb0="00000000" w:csb1="00000000"/>
  </w:font>
  <w:font w:name="Segoe UI">
    <w:altName w:val="苹方-简"/>
    <w:panose1 w:val="020B0502040204020203"/>
    <w:charset w:val="00"/>
    <w:family w:val="swiss"/>
    <w:pitch w:val="default"/>
    <w:sig w:usb0="00000000" w:usb1="00000000" w:usb2="00000009" w:usb3="00000000" w:csb0="000001FF" w:csb1="00000000"/>
  </w:font>
  <w:font w:name="Times New Roman Bold Italic">
    <w:panose1 w:val="02020503050405090304"/>
    <w:charset w:val="00"/>
    <w:family w:val="auto"/>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汉仪中等线KW">
    <w:panose1 w:val="01010104010101010101"/>
    <w:charset w:val="86"/>
    <w:family w:val="auto"/>
    <w:pitch w:val="default"/>
    <w:sig w:usb0="800002BF" w:usb1="004F7CFA"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3F4C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66AA07">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66AA07">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503"/>
    <w:rsid w:val="00366503"/>
    <w:rsid w:val="00472C9D"/>
    <w:rsid w:val="006C6D7B"/>
    <w:rsid w:val="00710ED2"/>
    <w:rsid w:val="00CD5CB1"/>
    <w:rsid w:val="00DE7EB1"/>
    <w:rsid w:val="00E70A82"/>
    <w:rsid w:val="00F339F9"/>
    <w:rsid w:val="00FF0DA3"/>
    <w:rsid w:val="03B60356"/>
    <w:rsid w:val="157FE36D"/>
    <w:rsid w:val="27DD81F1"/>
    <w:rsid w:val="3E78063B"/>
    <w:rsid w:val="3EFFCE83"/>
    <w:rsid w:val="577DFE29"/>
    <w:rsid w:val="58DE6505"/>
    <w:rsid w:val="5B99EDBD"/>
    <w:rsid w:val="67FA78BE"/>
    <w:rsid w:val="71CDE630"/>
    <w:rsid w:val="7FFD89CF"/>
    <w:rsid w:val="96D49272"/>
    <w:rsid w:val="ABF6FAEC"/>
    <w:rsid w:val="AF7FB77D"/>
    <w:rsid w:val="BFCBD1AC"/>
    <w:rsid w:val="CFE73773"/>
    <w:rsid w:val="E7FE6583"/>
    <w:rsid w:val="EEF5B83A"/>
    <w:rsid w:val="EFFFA4A5"/>
    <w:rsid w:val="F67B72E7"/>
    <w:rsid w:val="F7C7DD96"/>
    <w:rsid w:val="F7EDA483"/>
    <w:rsid w:val="F9D348A6"/>
    <w:rsid w:val="FB1FF6FF"/>
    <w:rsid w:val="FDDF5445"/>
    <w:rsid w:val="FFBFB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DengXian" w:hAnsi="DengXian" w:eastAsia="DengXian" w:cs="DengXi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pPr>
      <w:keepNext w:val="0"/>
      <w:keepLines w:val="0"/>
      <w:widowControl/>
      <w:suppressLineNumbers w:val="0"/>
      <w:spacing w:before="0" w:beforeAutospacing="0" w:after="0" w:afterAutospacing="0"/>
      <w:ind w:left="0" w:right="0"/>
    </w:pPr>
    <w:rPr>
      <w:rFonts w:hint="eastAsia" w:ascii="DengXian" w:hAnsi="DengXian" w:eastAsia="DengXian" w:cs="DengXian"/>
      <w:sz w:val="20"/>
      <w:szCs w:val="20"/>
    </w:rPr>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uiPriority w:val="99"/>
    <w:rPr>
      <w:sz w:val="24"/>
    </w:rPr>
  </w:style>
  <w:style w:type="character" w:styleId="7">
    <w:name w:val="Strong"/>
    <w:basedOn w:val="6"/>
    <w:qFormat/>
    <w:uiPriority w:val="22"/>
    <w:rPr>
      <w:b/>
      <w:bCs/>
    </w:rPr>
  </w:style>
  <w:style w:type="character" w:styleId="8">
    <w:name w:val="annotation reference"/>
    <w:basedOn w:val="6"/>
    <w:uiPriority w:val="99"/>
    <w:rPr>
      <w:sz w:val="16"/>
      <w:szCs w:val="16"/>
    </w:rPr>
  </w:style>
  <w:style w:type="paragraph" w:customStyle="1" w:styleId="9">
    <w:name w:val="EndNote Bibliography"/>
    <w:basedOn w:val="1"/>
    <w:link w:val="10"/>
    <w:uiPriority w:val="0"/>
    <w:rPr>
      <w:lang w:val="en-US"/>
    </w:rPr>
  </w:style>
  <w:style w:type="character" w:customStyle="1" w:styleId="10">
    <w:name w:val="EndNote Bibliography 字符"/>
    <w:basedOn w:val="6"/>
    <w:link w:val="9"/>
    <w:uiPriority w:val="0"/>
    <w:rPr>
      <w:rFonts w:ascii="宋体" w:hAnsi="宋体" w:eastAsia="宋体" w:cs="宋体"/>
      <w:kern w:val="0"/>
      <w:sz w:val="24"/>
    </w:rPr>
  </w:style>
  <w:style w:type="paragraph" w:customStyle="1" w:styleId="11">
    <w:name w:val="ds-markdown-paragraph"/>
    <w:basedOn w:val="1"/>
    <w:uiPriority w:val="0"/>
    <w:pPr>
      <w:spacing w:before="100" w:beforeAutospacing="1" w:after="100" w:afterAutospacing="1"/>
    </w:pPr>
    <w:rPr>
      <w:lang w:val="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jpeg"/><Relationship Id="rId17" Type="http://schemas.openxmlformats.org/officeDocument/2006/relationships/image" Target="media/image13.png"/><Relationship Id="rId16" Type="http://schemas.openxmlformats.org/officeDocument/2006/relationships/image" Target="media/image12.jpeg"/><Relationship Id="rId15" Type="http://schemas.openxmlformats.org/officeDocument/2006/relationships/image" Target="media/image11.png"/><Relationship Id="rId14" Type="http://schemas.openxmlformats.org/officeDocument/2006/relationships/image" Target="media/image10.tiff"/><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3564</Words>
  <Characters>20315</Characters>
  <Lines>169</Lines>
  <Paragraphs>47</Paragraphs>
  <TotalTime>647</TotalTime>
  <ScaleCrop>false</ScaleCrop>
  <LinksUpToDate>false</LinksUpToDate>
  <CharactersWithSpaces>23832</CharactersWithSpaces>
  <Application>WPS Office_12.1.23540.23540_F1E327BC-269C-435d-A152-05C5408002CA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2025-10-17T03:04:00Z</dcterms:created>
  <dc:creator>许洁</dc:creator>
  <cp:lastModifiedBy>叫我淼淼</cp:lastModifiedBy>
  <dcterms:modified xsi:type="dcterms:W3CDTF">2025-12-12T13:13:35Z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471655E0C5A9242505FA36697CD52126_43</vt:lpwstr>
  </property>
  <property fmtid="{D5CDD505-2E9C-101B-9397-08002B2CF9AE}" pid="3" name="KSOProductBuildVer">
    <vt:lpwstr>2052-12.1.23540.23540</vt:lpwstr>
  </property>
  <property fmtid="{D5CDD505-2E9C-101B-9397-08002B2CF9AE}" pid="4" name="LE1">
    <vt:filetime>2025-10-15T07:07:40Z</vt:filetime>
  </property>
</Properties>
</file>