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9CD49"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Information</w:t>
      </w:r>
    </w:p>
    <w:p w14:paraId="3FE568A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DengXian" w:cs="Times New Roman"/>
          <w:b/>
          <w:bCs/>
          <w:sz w:val="24"/>
          <w:szCs w:val="24"/>
          <w:lang w:bidi="ar"/>
        </w:rPr>
        <w:t>Nanobodies Targeting the Epstein-Barr Virus EBNA1 DNA Binding Domain Inhibit Tumor Growth</w:t>
      </w:r>
    </w:p>
    <w:p w14:paraId="5EED71C3">
      <w:pPr>
        <w:widowControl/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eastAsia="DengXian" w:cs="Times New Roman"/>
          <w:sz w:val="24"/>
          <w:szCs w:val="24"/>
          <w:lang w:bidi="ar"/>
        </w:rPr>
        <w:t>Fang Wu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1,2†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Yuzhe Wu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1†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Yongyue Han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1†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Long Ma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Yuanwei Huang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Chiwei Peng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Jun Liu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Peixuan Gao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, Wei Xu</w:t>
      </w: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1,3*</w:t>
      </w:r>
    </w:p>
    <w:p w14:paraId="56323987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1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Guangdong Provincial Key Laboratory of New Drug Screening &amp; NMPA Key Laboratory for Research and Evaluation of Drug Metabolism &amp; Guangdong-Hong Kong-Macao Joint Laboratory for New Drug Screening, School of Pharmaceutical Sciences, Southern Medical University, Guangzhou, 510515, China.</w:t>
      </w:r>
    </w:p>
    <w:p w14:paraId="5FD5DB44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2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Affiliated Foshan Maternity &amp; Child Healthcare Hospital, Guangdong Medical University, Foshan, 528000, China.</w:t>
      </w:r>
    </w:p>
    <w:p w14:paraId="2A4996C5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3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Key Laboratory of Infectious Diseases Research in South China, Ministry of Education, Southern Medical University, Guangzhou, 510515, China</w:t>
      </w:r>
    </w:p>
    <w:p w14:paraId="6429DFF3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lang w:bidi="ar"/>
        </w:rPr>
        <w:t xml:space="preserve"> </w:t>
      </w:r>
    </w:p>
    <w:p w14:paraId="35816C0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vertAlign w:val="superscript"/>
          <w:lang w:bidi="ar"/>
        </w:rPr>
        <w:t>†</w:t>
      </w:r>
      <w:r>
        <w:rPr>
          <w:rFonts w:ascii="Times New Roman" w:hAnsi="Times New Roman" w:eastAsia="DengXian" w:cs="Times New Roman"/>
          <w:sz w:val="24"/>
          <w:szCs w:val="24"/>
          <w:lang w:bidi="ar"/>
        </w:rPr>
        <w:t>These authors contributed equally</w:t>
      </w:r>
    </w:p>
    <w:p w14:paraId="411B3BD0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lang w:bidi="ar"/>
        </w:rPr>
        <w:t xml:space="preserve">*Correspondences: </w:t>
      </w:r>
    </w:p>
    <w:p w14:paraId="4CD27586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lang w:bidi="ar"/>
        </w:rPr>
        <w:t>Wei Xu, School of Pharmaceutical Sciences, Southern Medical University, Guangzhou 510515, China</w:t>
      </w:r>
    </w:p>
    <w:p w14:paraId="40F38326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DengXian" w:cs="Times New Roman"/>
          <w:sz w:val="24"/>
          <w:szCs w:val="24"/>
          <w:lang w:bidi="ar"/>
        </w:rPr>
        <w:t>E-mail addresses: xuwei3322@smu.edu.cn (W.X)</w:t>
      </w:r>
    </w:p>
    <w:p w14:paraId="58FB311B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797ACA7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4161790" cy="6941820"/>
            <wp:effectExtent l="0" t="0" r="3810" b="17780"/>
            <wp:docPr id="5" name="图片 5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1790" cy="694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7665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S1 Sorting of yeast cells displaying nanobodies by FACS.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</w:t>
      </w:r>
    </w:p>
    <w:p w14:paraId="0CAD47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SDS-PAGE analysis of EBNA1-DBD. </w:t>
      </w:r>
    </w:p>
    <w:p w14:paraId="6EAE58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chromatogram of size-exclusion chromatography on EBNA1-DBD.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</w:p>
    <w:p w14:paraId="318AA4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C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FACS sorting of yeast cells displaying nanobodies using 1 μM and 0.1 μM EBNA1-DBD incubation.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</w:p>
    <w:p w14:paraId="2EDD583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D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FACS sorting of yeast cells displaying nanobodies using 10 nM and 1 nM EBNA1-DBD incubation.</w:t>
      </w:r>
    </w:p>
    <w:p w14:paraId="7C8F2DF8">
      <w:pP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E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FACS sorting of yeast cells displaying nanobodies with CDR-swapping mutagenesis using 1 nM and 0.1 nM EBNA1-DBD incubation.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</w:t>
      </w:r>
    </w:p>
    <w:p w14:paraId="1BE36F11">
      <w:pP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F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SDS-PAGE analysis showing the expression of nanobodies after CDR-swapping mutagenesis.</w:t>
      </w:r>
    </w:p>
    <w:p w14:paraId="6942CB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8F0F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drawing>
          <wp:inline distT="0" distB="0" distL="114300" distR="114300">
            <wp:extent cx="4029710" cy="6631940"/>
            <wp:effectExtent l="0" t="0" r="8890" b="2286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9710" cy="663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FFF3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2 The selectively blocking effect of isolated nanobodies on EBNA1-DBD DNA binding. </w:t>
      </w:r>
    </w:p>
    <w:p w14:paraId="240F3E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Negative results from the fluorescence polarization (FP) assay shown in Fig. 2A.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</w:p>
    <w:p w14:paraId="77D698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FP assay was performed to detect nanobodies capable of blocking the DNA binding capacity of NPN protein.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</w:p>
    <w:p w14:paraId="7EB833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Electrophoretic mobility shift assay (EMSA) was conducted to detect nanobodies capable of blocking the DNA binding capacity of NPN protein.</w:t>
      </w:r>
    </w:p>
    <w:p w14:paraId="7BAAC58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6169C6C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drawing>
          <wp:inline distT="0" distB="0" distL="114300" distR="114300">
            <wp:extent cx="5269865" cy="5463540"/>
            <wp:effectExtent l="0" t="0" r="13335" b="22860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4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CAE2B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Fig. S3 Characterization of nanobodies and binding affinity analysis of controls and TAT-fused candidates for EBNA1-DBD.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</w:t>
      </w:r>
    </w:p>
    <w:p w14:paraId="45B27F96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A.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SDS-PAGE analysis of the eight purified nanobodies. </w:t>
      </w:r>
    </w:p>
    <w:p w14:paraId="6BD580C5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B.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MALDI-TOF mass spectrometry analysis of NbES9-TAT to verify molecular weight. </w:t>
      </w:r>
    </w:p>
    <w:p w14:paraId="78B9F941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C–F.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SPR sensorgrams illustrating the binding kinetics between EBNA1-DBD and various constructs, including CW-TAT, TAT-NbE1, NbE7-TAT, and NbES9-TAT. </w:t>
      </w:r>
    </w:p>
    <w:p w14:paraId="119C1DD7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G–I.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ELISA-based binding curves and affinity analysis of TAT, TAT-NbE1, NbE7-TAT, and NbES9-TAT for EBNA1-DBD.</w:t>
      </w:r>
    </w:p>
    <w:p w14:paraId="2D3171E3">
      <w:pPr>
        <w:spacing w:line="360" w:lineRule="auto"/>
        <w:jc w:val="center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241290" cy="8578215"/>
            <wp:effectExtent l="0" t="0" r="16510" b="6985"/>
            <wp:docPr id="7" name="图片 7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F32CD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Fig. S4 Comparison of the inhibitory effects of nanobodies on EBV-positive lymphoma xenografts via intraperitoneal (i.p.) and intratumoral (i.t.) administration.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</w:t>
      </w:r>
    </w:p>
    <w:p w14:paraId="774CA335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A.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Representative images of Raji xenografts harvested on day 26 (n = 6). </w:t>
      </w:r>
    </w:p>
    <w:p w14:paraId="521E260F">
      <w:pPr>
        <w:spacing w:line="360" w:lineRule="auto"/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B, C.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Tumor growth kinetics of Raji xenografts following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(B)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i.p. and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(C)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i.t. administration of nanobodies (n = 6). </w:t>
      </w:r>
    </w:p>
    <w:p w14:paraId="69A6E663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D, E.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Body weight changes of mice treated with nanobodies or cisplatin via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(D)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i.p. and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(E)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i.t. routes (n = 6). </w:t>
      </w:r>
    </w:p>
    <w:p w14:paraId="42E1551B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F, G.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Terminal tumor weights of Raji xenografts on day 26 for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(F)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i.p. and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(G)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i.t. treatment groups (n = 6). </w:t>
      </w:r>
    </w:p>
    <w:p w14:paraId="598AD149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H.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EBER ISH analysis for the detection of EBV-positive signals in Raji xenografts (i.t. group) on day 26. Scale bar: 100 μm. </w:t>
      </w:r>
    </w:p>
    <w:p w14:paraId="3D8BCD9D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sectPr>
          <w:footerReference r:id="rId4" w:type="default"/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I.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IF analysis of nanobody (His-tag, green) and EBNA1 (red) localization in Raji xenografts (i.t. group). Scale bar: 100 μm. Data are presented as mean ± SD. Statistical significance was determined by one-way ANOVA (**</w:t>
      </w:r>
      <w:r>
        <w:rPr>
          <w:rFonts w:ascii="Times New Roman" w:hAnsi="Times New Roman" w:eastAsia="宋体" w:cs="Times New Roman"/>
          <w:i/>
          <w:i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P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&lt; 0.01; ***</w:t>
      </w:r>
      <w:r>
        <w:rPr>
          <w:rFonts w:ascii="Times New Roman" w:hAnsi="Times New Roman" w:eastAsia="宋体" w:cs="Times New Roman"/>
          <w:i/>
          <w:i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P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&lt; 0.001).</w:t>
      </w:r>
    </w:p>
    <w:p w14:paraId="375BCFAF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drawing>
          <wp:inline distT="0" distB="0" distL="114300" distR="114300">
            <wp:extent cx="4636135" cy="3755390"/>
            <wp:effectExtent l="0" t="0" r="12065" b="3810"/>
            <wp:docPr id="4" name="图片 4" descr="Figure S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6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B49A2">
      <w:pPr>
        <w:spacing w:line="360" w:lineRule="auto"/>
        <w:rPr>
          <w:rFonts w:ascii="Times New Roman Bold" w:hAnsi="Times New Roman Bold" w:cs="Times New Roman Bold"/>
          <w:b/>
          <w:bCs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Fig. S</w:t>
      </w:r>
      <w:r>
        <w:rPr>
          <w:rFonts w:ascii="Times New Roman Bold" w:hAnsi="Times New Roman Bold" w:eastAsia="宋体" w:cs="Times New Roman Bold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5 </w:t>
      </w:r>
      <w:r>
        <w:rPr>
          <w:rFonts w:ascii="Times New Roman Bold" w:hAnsi="Times New Roman Bold" w:eastAsia="宋体" w:cs="Times New Roman Bold"/>
          <w:b/>
          <w:bCs/>
          <w:sz w:val="24"/>
          <w:szCs w:val="24"/>
          <w:lang w:bidi="ar"/>
        </w:rPr>
        <w:t xml:space="preserve">Representative H&amp;E-stained sections of major organs (heart, liver, spleen, lung, and kidney) demonstrating the systemic safety profile of the treatments. Scale bar: 200 μm. </w:t>
      </w:r>
    </w:p>
    <w:p w14:paraId="7584BC9E">
      <w:pPr>
        <w:spacing w:line="360" w:lineRule="auto"/>
        <w:rPr>
          <w:rFonts w:ascii="Times New Roman Bold" w:hAnsi="Times New Roman Bold" w:eastAsia="宋体" w:cs="Times New Roman Bold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0044E167">
      <w:pPr>
        <w:spacing w:line="360" w:lineRule="auto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</w:p>
    <w:p w14:paraId="6D87E463">
      <w:pPr>
        <w:spacing w:line="360" w:lineRule="auto"/>
        <w:rPr>
          <w:rFonts w:hint="eastAsia" w:ascii="Times New Roman" w:hAnsi="Times New Roman" w:cs="Times New Roman" w:eastAsiaTheme="minorEastAsia"/>
          <w:color w:val="78206E" w:themeColor="accent5" w:themeShade="BF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color w:val="78206E" w:themeColor="accent5" w:themeShade="BF"/>
          <w:sz w:val="24"/>
          <w:szCs w:val="24"/>
          <w:lang w:eastAsia="zh-CN"/>
        </w:rPr>
        <w:drawing>
          <wp:inline distT="0" distB="0" distL="114300" distR="114300">
            <wp:extent cx="5233670" cy="7178040"/>
            <wp:effectExtent l="0" t="0" r="24130" b="10160"/>
            <wp:docPr id="8" name="图片 8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717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2BC6D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Fig.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6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Selective inhibition of EBV-positive xenograft growth by nanobodies.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</w:t>
      </w:r>
    </w:p>
    <w:p w14:paraId="032B4881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A–D.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Evaluation of anti-tumor activity in EBV-positive C666-1 (NPC) xenografts: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(A)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tumor growth curves,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(B)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representative images of harvested tumors on day 20,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(C)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mouse body weight changes, and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(D)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terminal tumor weights on day 20 (n = 3). </w:t>
      </w:r>
    </w:p>
    <w:p w14:paraId="2E893669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E.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IF analysis illustrating the intra-tumoral localization of nanobodies and EBNA1 in Raji xenografts. Scale bar: 50 μm; magnified inset scale bar: 10 μm. </w:t>
      </w:r>
    </w:p>
    <w:p w14:paraId="60F920CD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F–H. 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Assessment of nanobody effects on EBV-negative A549 xenografts (negative control):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(F)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tumor growth curves,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(G)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mouse body weight changes, and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(H)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terminal tumor weights on day 26 (n = 3). Data are presented as mean ± SD. Statistical significance was determined by one-way ANOVA (*</w:t>
      </w:r>
      <w:r>
        <w:rPr>
          <w:rFonts w:ascii="Times New Roman" w:hAnsi="Times New Roman" w:eastAsia="宋体" w:cs="Times New Roman"/>
          <w:i/>
          <w:i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P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&lt; 0.05).</w:t>
      </w:r>
    </w:p>
    <w:p w14:paraId="506C5454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6EBFE05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CE80D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114300" distR="114300">
            <wp:extent cx="5274310" cy="4730115"/>
            <wp:effectExtent l="0" t="0" r="8890" b="19685"/>
            <wp:docPr id="6" name="图片 6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EF339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Fig.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7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Structural modeling of EBNA1-DBD/nanobody complexes predicted by OpenFold3 (https://github.com/aqlaboratory/openfold-3).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Top-ranked models of EBNA1-DBD in complex with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(A–C)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NbE1,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(D–F)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NbE7, and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(G–I)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 NbES9. The complexes are shown as non-fused nanobodies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(A, D, G)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, N-terminal TAT fusions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(B, E, H)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 xml:space="preserve">, and C-terminal TAT fusions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(C, F, I)</w:t>
      </w:r>
      <w:r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. Color coding: EBNA1-DBD (green), nanobody scaffold (cyan), and TAT peptide (red).</w:t>
      </w:r>
    </w:p>
    <w:p w14:paraId="0425838A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</w:p>
    <w:p w14:paraId="2E33F098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</w:p>
    <w:p w14:paraId="19A1C3AE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</w:p>
    <w:p w14:paraId="6DDCB733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</w:p>
    <w:p w14:paraId="476CFE93">
      <w:pPr>
        <w:widowControl/>
        <w:spacing w:line="360" w:lineRule="auto"/>
        <w:jc w:val="left"/>
        <w:rPr>
          <w:rFonts w:ascii="Times New Roman" w:hAnsi="Times New Roman" w:eastAsia="宋体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</w:p>
    <w:p w14:paraId="3B6F23F2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2CCE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S1. Primers for RT-qPCR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qPCR.</w:t>
      </w:r>
    </w:p>
    <w:tbl>
      <w:tblPr>
        <w:tblStyle w:val="1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701"/>
        <w:gridCol w:w="4096"/>
      </w:tblGrid>
      <w:tr w14:paraId="7CA55184">
        <w:trPr>
          <w:jc w:val="center"/>
        </w:trPr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</w:tcPr>
          <w:p w14:paraId="193AEF5E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Gene/locus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 w14:paraId="04FDA6E5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 xml:space="preserve">Primer </w:t>
            </w: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n</w:t>
            </w: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ame</w:t>
            </w:r>
          </w:p>
        </w:tc>
        <w:tc>
          <w:tcPr>
            <w:tcW w:w="4096" w:type="dxa"/>
            <w:tcBorders>
              <w:top w:val="single" w:color="auto" w:sz="4" w:space="0"/>
              <w:bottom w:val="single" w:color="auto" w:sz="4" w:space="0"/>
            </w:tcBorders>
          </w:tcPr>
          <w:p w14:paraId="11F84615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Sequence (5’ to 3’)</w:t>
            </w:r>
          </w:p>
        </w:tc>
      </w:tr>
      <w:tr w14:paraId="635D72CA">
        <w:trPr>
          <w:trHeight w:val="280" w:hRule="atLeast"/>
          <w:jc w:val="center"/>
        </w:trPr>
        <w:tc>
          <w:tcPr>
            <w:tcW w:w="1276" w:type="dxa"/>
            <w:noWrap/>
          </w:tcPr>
          <w:p w14:paraId="6D353680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1701" w:type="dxa"/>
            <w:noWrap/>
          </w:tcPr>
          <w:p w14:paraId="2D78CEF4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GAPDH-F</w:t>
            </w:r>
          </w:p>
        </w:tc>
        <w:tc>
          <w:tcPr>
            <w:tcW w:w="4096" w:type="dxa"/>
            <w:noWrap/>
          </w:tcPr>
          <w:p w14:paraId="0EA82343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CTCTGCTCCTCCTGTTCGAC</w:t>
            </w:r>
          </w:p>
        </w:tc>
      </w:tr>
      <w:tr w14:paraId="414A0D70">
        <w:trPr>
          <w:trHeight w:val="280" w:hRule="atLeast"/>
          <w:jc w:val="center"/>
        </w:trPr>
        <w:tc>
          <w:tcPr>
            <w:tcW w:w="1276" w:type="dxa"/>
            <w:noWrap/>
          </w:tcPr>
          <w:p w14:paraId="1309AB18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1701" w:type="dxa"/>
            <w:noWrap/>
          </w:tcPr>
          <w:p w14:paraId="74F566EC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GAPDH-R</w:t>
            </w:r>
          </w:p>
        </w:tc>
        <w:tc>
          <w:tcPr>
            <w:tcW w:w="4096" w:type="dxa"/>
            <w:noWrap/>
          </w:tcPr>
          <w:p w14:paraId="057A5636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AGTTAAAAGCAGCCCTGGTGA</w:t>
            </w:r>
          </w:p>
        </w:tc>
      </w:tr>
      <w:tr w14:paraId="26DF2ED8">
        <w:trPr>
          <w:trHeight w:val="280" w:hRule="atLeast"/>
          <w:jc w:val="center"/>
        </w:trPr>
        <w:tc>
          <w:tcPr>
            <w:tcW w:w="1276" w:type="dxa"/>
            <w:noWrap/>
          </w:tcPr>
          <w:p w14:paraId="50F267E4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BKRF1</w:t>
            </w:r>
          </w:p>
        </w:tc>
        <w:tc>
          <w:tcPr>
            <w:tcW w:w="1701" w:type="dxa"/>
            <w:noWrap/>
          </w:tcPr>
          <w:p w14:paraId="7E88665F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BKRF1-F</w:t>
            </w:r>
          </w:p>
        </w:tc>
        <w:tc>
          <w:tcPr>
            <w:tcW w:w="4096" w:type="dxa"/>
            <w:noWrap/>
          </w:tcPr>
          <w:p w14:paraId="51CC54D4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GTAGGGGATGCCGATTATTTTG</w:t>
            </w:r>
          </w:p>
        </w:tc>
      </w:tr>
      <w:tr w14:paraId="18EC7B88">
        <w:trPr>
          <w:trHeight w:val="280" w:hRule="atLeast"/>
          <w:jc w:val="center"/>
        </w:trPr>
        <w:tc>
          <w:tcPr>
            <w:tcW w:w="1276" w:type="dxa"/>
            <w:noWrap/>
          </w:tcPr>
          <w:p w14:paraId="5B14E889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BKRF1</w:t>
            </w:r>
          </w:p>
        </w:tc>
        <w:tc>
          <w:tcPr>
            <w:tcW w:w="1701" w:type="dxa"/>
            <w:noWrap/>
          </w:tcPr>
          <w:p w14:paraId="4C29C854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BKRF1-R</w:t>
            </w:r>
          </w:p>
        </w:tc>
        <w:tc>
          <w:tcPr>
            <w:tcW w:w="4096" w:type="dxa"/>
            <w:noWrap/>
          </w:tcPr>
          <w:p w14:paraId="79F72251">
            <w:pPr>
              <w:widowControl/>
              <w:spacing w:line="360" w:lineRule="auto"/>
              <w:jc w:val="left"/>
              <w:rPr>
                <w:rFonts w:ascii="Times New Roman" w:hAnsi="Times New Roman" w:eastAsia="DengXi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CTCCTTGACCACGATGCTTTC</w:t>
            </w:r>
          </w:p>
        </w:tc>
      </w:tr>
      <w:tr w14:paraId="06476804">
        <w:trPr>
          <w:jc w:val="center"/>
        </w:trPr>
        <w:tc>
          <w:tcPr>
            <w:tcW w:w="1276" w:type="dxa"/>
          </w:tcPr>
          <w:p w14:paraId="434BDEDB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BZLF1</w:t>
            </w:r>
          </w:p>
        </w:tc>
        <w:tc>
          <w:tcPr>
            <w:tcW w:w="1701" w:type="dxa"/>
          </w:tcPr>
          <w:p w14:paraId="50B15837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BZLF1-F</w:t>
            </w:r>
          </w:p>
        </w:tc>
        <w:tc>
          <w:tcPr>
            <w:tcW w:w="4096" w:type="dxa"/>
          </w:tcPr>
          <w:p w14:paraId="3E921BF5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CCCAGTCTCCGACATAACCC</w:t>
            </w:r>
          </w:p>
        </w:tc>
      </w:tr>
      <w:tr w14:paraId="71AAE900">
        <w:trPr>
          <w:jc w:val="center"/>
        </w:trPr>
        <w:tc>
          <w:tcPr>
            <w:tcW w:w="1276" w:type="dxa"/>
          </w:tcPr>
          <w:p w14:paraId="7C6E050A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BZLF1</w:t>
            </w:r>
          </w:p>
        </w:tc>
        <w:tc>
          <w:tcPr>
            <w:tcW w:w="1701" w:type="dxa"/>
          </w:tcPr>
          <w:p w14:paraId="23C45B8D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BZLF1-R</w:t>
            </w:r>
          </w:p>
        </w:tc>
        <w:tc>
          <w:tcPr>
            <w:tcW w:w="4096" w:type="dxa"/>
          </w:tcPr>
          <w:p w14:paraId="3EF90112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CAGGCTGTGGAACACCAATG</w:t>
            </w:r>
          </w:p>
        </w:tc>
      </w:tr>
      <w:tr w14:paraId="728512EF">
        <w:trPr>
          <w:jc w:val="center"/>
        </w:trPr>
        <w:tc>
          <w:tcPr>
            <w:tcW w:w="1276" w:type="dxa"/>
          </w:tcPr>
          <w:p w14:paraId="44B9A08F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BHRF1</w:t>
            </w:r>
          </w:p>
        </w:tc>
        <w:tc>
          <w:tcPr>
            <w:tcW w:w="1701" w:type="dxa"/>
          </w:tcPr>
          <w:p w14:paraId="205155A8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BHRF1-F</w:t>
            </w:r>
          </w:p>
        </w:tc>
        <w:tc>
          <w:tcPr>
            <w:tcW w:w="4096" w:type="dxa"/>
          </w:tcPr>
          <w:p w14:paraId="6B4FE159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AGGACACTGTAGTTCTGCGTTATC</w:t>
            </w:r>
          </w:p>
        </w:tc>
      </w:tr>
      <w:tr w14:paraId="74043F8E">
        <w:trPr>
          <w:jc w:val="center"/>
        </w:trPr>
        <w:tc>
          <w:tcPr>
            <w:tcW w:w="1276" w:type="dxa"/>
          </w:tcPr>
          <w:p w14:paraId="7634418C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BHRF1</w:t>
            </w:r>
          </w:p>
        </w:tc>
        <w:tc>
          <w:tcPr>
            <w:tcW w:w="1701" w:type="dxa"/>
          </w:tcPr>
          <w:p w14:paraId="4DC39943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BHRF1-R</w:t>
            </w:r>
          </w:p>
        </w:tc>
        <w:tc>
          <w:tcPr>
            <w:tcW w:w="4096" w:type="dxa"/>
          </w:tcPr>
          <w:p w14:paraId="63DB6D7D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GCTTGGGTCTCCACGGTG</w:t>
            </w:r>
          </w:p>
        </w:tc>
      </w:tr>
      <w:tr w14:paraId="57C29113">
        <w:trPr>
          <w:jc w:val="center"/>
        </w:trPr>
        <w:tc>
          <w:tcPr>
            <w:tcW w:w="1276" w:type="dxa"/>
          </w:tcPr>
          <w:p w14:paraId="6207210C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LMP1</w:t>
            </w:r>
          </w:p>
        </w:tc>
        <w:tc>
          <w:tcPr>
            <w:tcW w:w="1701" w:type="dxa"/>
          </w:tcPr>
          <w:p w14:paraId="468BA9F1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LMP1-F</w:t>
            </w:r>
          </w:p>
        </w:tc>
        <w:tc>
          <w:tcPr>
            <w:tcW w:w="4096" w:type="dxa"/>
          </w:tcPr>
          <w:p w14:paraId="7703618F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GTATTGGCACAAGATGGAAAGC</w:t>
            </w:r>
          </w:p>
        </w:tc>
      </w:tr>
      <w:tr w14:paraId="3A264655">
        <w:trPr>
          <w:jc w:val="center"/>
        </w:trPr>
        <w:tc>
          <w:tcPr>
            <w:tcW w:w="1276" w:type="dxa"/>
          </w:tcPr>
          <w:p w14:paraId="5E4475EB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LMP1</w:t>
            </w:r>
          </w:p>
        </w:tc>
        <w:tc>
          <w:tcPr>
            <w:tcW w:w="1701" w:type="dxa"/>
          </w:tcPr>
          <w:p w14:paraId="036CA76B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LMP1-R</w:t>
            </w:r>
          </w:p>
        </w:tc>
        <w:tc>
          <w:tcPr>
            <w:tcW w:w="4096" w:type="dxa"/>
          </w:tcPr>
          <w:p w14:paraId="7A5F6EB0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CAACTACCAGGCAGATGAGGC</w:t>
            </w:r>
          </w:p>
        </w:tc>
      </w:tr>
      <w:tr w14:paraId="46379B3B">
        <w:trPr>
          <w:jc w:val="center"/>
        </w:trPr>
        <w:tc>
          <w:tcPr>
            <w:tcW w:w="1276" w:type="dxa"/>
          </w:tcPr>
          <w:p w14:paraId="6964F009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EBER1</w:t>
            </w:r>
          </w:p>
        </w:tc>
        <w:tc>
          <w:tcPr>
            <w:tcW w:w="1701" w:type="dxa"/>
          </w:tcPr>
          <w:p w14:paraId="60597C35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EBER1-F</w:t>
            </w:r>
          </w:p>
        </w:tc>
        <w:tc>
          <w:tcPr>
            <w:tcW w:w="4096" w:type="dxa"/>
          </w:tcPr>
          <w:p w14:paraId="63FEEF85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GAGGTTTTGCTAGGGAGGAGAC</w:t>
            </w:r>
          </w:p>
        </w:tc>
      </w:tr>
      <w:tr w14:paraId="12C7E9CD">
        <w:trPr>
          <w:jc w:val="center"/>
        </w:trPr>
        <w:tc>
          <w:tcPr>
            <w:tcW w:w="1276" w:type="dxa"/>
          </w:tcPr>
          <w:p w14:paraId="5E4AFF12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EBER1</w:t>
            </w:r>
          </w:p>
        </w:tc>
        <w:tc>
          <w:tcPr>
            <w:tcW w:w="1701" w:type="dxa"/>
          </w:tcPr>
          <w:p w14:paraId="7E28512B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EBER1-R</w:t>
            </w:r>
          </w:p>
        </w:tc>
        <w:tc>
          <w:tcPr>
            <w:tcW w:w="4096" w:type="dxa"/>
          </w:tcPr>
          <w:p w14:paraId="6BBED395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GAAGACGGCAGAAAGCAGAGT</w:t>
            </w:r>
          </w:p>
        </w:tc>
      </w:tr>
      <w:tr w14:paraId="6D1F25F3">
        <w:trPr>
          <w:jc w:val="center"/>
        </w:trPr>
        <w:tc>
          <w:tcPr>
            <w:tcW w:w="1276" w:type="dxa"/>
          </w:tcPr>
          <w:p w14:paraId="1A611BE4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EBER2</w:t>
            </w:r>
          </w:p>
        </w:tc>
        <w:tc>
          <w:tcPr>
            <w:tcW w:w="1701" w:type="dxa"/>
          </w:tcPr>
          <w:p w14:paraId="1A77B912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EBER2-F</w:t>
            </w:r>
          </w:p>
        </w:tc>
        <w:tc>
          <w:tcPr>
            <w:tcW w:w="4096" w:type="dxa"/>
          </w:tcPr>
          <w:p w14:paraId="7E03A6B3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AACGCTCAGTGCGGTGCTA</w:t>
            </w:r>
          </w:p>
        </w:tc>
      </w:tr>
      <w:tr w14:paraId="20713769">
        <w:trPr>
          <w:jc w:val="center"/>
        </w:trPr>
        <w:tc>
          <w:tcPr>
            <w:tcW w:w="1276" w:type="dxa"/>
          </w:tcPr>
          <w:p w14:paraId="5EFFBE1B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EBER2</w:t>
            </w:r>
          </w:p>
        </w:tc>
        <w:tc>
          <w:tcPr>
            <w:tcW w:w="1701" w:type="dxa"/>
          </w:tcPr>
          <w:p w14:paraId="142D0221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EBER2-R</w:t>
            </w:r>
          </w:p>
        </w:tc>
        <w:tc>
          <w:tcPr>
            <w:tcW w:w="4096" w:type="dxa"/>
          </w:tcPr>
          <w:p w14:paraId="1DB76A2E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GCCGAATACCCTTCTCCCA</w:t>
            </w:r>
          </w:p>
        </w:tc>
      </w:tr>
      <w:tr w14:paraId="153C19CC">
        <w:trPr>
          <w:jc w:val="center"/>
        </w:trPr>
        <w:tc>
          <w:tcPr>
            <w:tcW w:w="1276" w:type="dxa"/>
          </w:tcPr>
          <w:p w14:paraId="326782AC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β</w:t>
            </w:r>
            <w:r>
              <w:rPr>
                <w:rFonts w:hint="eastAsia" w:ascii="Times New Roman" w:hAnsi="Times New Roman" w:eastAsia="DengXian" w:cs="Times New Roman"/>
                <w:i w:val="0"/>
                <w:iCs w:val="0"/>
                <w:kern w:val="0"/>
                <w:sz w:val="24"/>
                <w:szCs w:val="24"/>
              </w:rPr>
              <w:t>-globin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480CDDEB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β-globin-F</w:t>
            </w:r>
          </w:p>
        </w:tc>
        <w:tc>
          <w:tcPr>
            <w:tcW w:w="4096" w:type="dxa"/>
          </w:tcPr>
          <w:p w14:paraId="30AA6D9E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GAAGAGCCAAGGACAGGTAC</w:t>
            </w:r>
          </w:p>
        </w:tc>
      </w:tr>
      <w:tr w14:paraId="4B7AD1C4">
        <w:trPr>
          <w:jc w:val="center"/>
        </w:trPr>
        <w:tc>
          <w:tcPr>
            <w:tcW w:w="1276" w:type="dxa"/>
          </w:tcPr>
          <w:p w14:paraId="3DB660F4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  <w:t>β</w:t>
            </w:r>
            <w:r>
              <w:rPr>
                <w:rFonts w:hint="eastAsia" w:ascii="Times New Roman" w:hAnsi="Times New Roman" w:eastAsia="DengXian" w:cs="Times New Roman"/>
                <w:i w:val="0"/>
                <w:iCs w:val="0"/>
                <w:kern w:val="0"/>
                <w:sz w:val="24"/>
                <w:szCs w:val="24"/>
              </w:rPr>
              <w:t>-globin</w:t>
            </w:r>
          </w:p>
        </w:tc>
        <w:tc>
          <w:tcPr>
            <w:tcW w:w="1701" w:type="dxa"/>
          </w:tcPr>
          <w:p w14:paraId="18B2532D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β-globin-R</w:t>
            </w:r>
          </w:p>
        </w:tc>
        <w:tc>
          <w:tcPr>
            <w:tcW w:w="4096" w:type="dxa"/>
          </w:tcPr>
          <w:p w14:paraId="0C2D935B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CAACTTCATCCACGTTCACC</w:t>
            </w:r>
          </w:p>
        </w:tc>
      </w:tr>
      <w:tr w14:paraId="6D0E502C">
        <w:trPr>
          <w:jc w:val="center"/>
        </w:trPr>
        <w:tc>
          <w:tcPr>
            <w:tcW w:w="1276" w:type="dxa"/>
          </w:tcPr>
          <w:p w14:paraId="41CE1F86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 w:val="0"/>
                <w:iCs w:val="0"/>
                <w:kern w:val="0"/>
                <w:sz w:val="24"/>
                <w:szCs w:val="24"/>
              </w:rPr>
              <w:t>BamHI W</w:t>
            </w:r>
          </w:p>
        </w:tc>
        <w:tc>
          <w:tcPr>
            <w:tcW w:w="1701" w:type="dxa"/>
          </w:tcPr>
          <w:p w14:paraId="1B9C30EC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BamHI W-F</w:t>
            </w:r>
          </w:p>
        </w:tc>
        <w:tc>
          <w:tcPr>
            <w:tcW w:w="4096" w:type="dxa"/>
          </w:tcPr>
          <w:p w14:paraId="520D8E06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CCCAACACTCCACCACACC</w:t>
            </w:r>
          </w:p>
        </w:tc>
      </w:tr>
      <w:tr w14:paraId="23C2ED00">
        <w:trPr>
          <w:jc w:val="center"/>
        </w:trPr>
        <w:tc>
          <w:tcPr>
            <w:tcW w:w="1276" w:type="dxa"/>
          </w:tcPr>
          <w:p w14:paraId="59269993">
            <w:pPr>
              <w:spacing w:line="360" w:lineRule="auto"/>
              <w:rPr>
                <w:rFonts w:ascii="Times New Roman" w:hAnsi="Times New Roman" w:eastAsia="DengXi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i w:val="0"/>
                <w:iCs w:val="0"/>
                <w:kern w:val="0"/>
                <w:sz w:val="24"/>
                <w:szCs w:val="24"/>
              </w:rPr>
              <w:t>BamHI W</w:t>
            </w:r>
          </w:p>
        </w:tc>
        <w:tc>
          <w:tcPr>
            <w:tcW w:w="1701" w:type="dxa"/>
          </w:tcPr>
          <w:p w14:paraId="38DE8454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BamHI W-R</w:t>
            </w:r>
          </w:p>
        </w:tc>
        <w:tc>
          <w:tcPr>
            <w:tcW w:w="4096" w:type="dxa"/>
          </w:tcPr>
          <w:p w14:paraId="4B8761E2">
            <w:pPr>
              <w:spacing w:line="360" w:lineRule="auto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TCTTAGGAGCTGTCCGAGGG</w:t>
            </w:r>
          </w:p>
        </w:tc>
      </w:tr>
    </w:tbl>
    <w:p w14:paraId="080AE0E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63F2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Amino acid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sequences of the three nanobodies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6516"/>
      </w:tblGrid>
      <w:tr w14:paraId="57300009">
        <w:tc>
          <w:tcPr>
            <w:tcW w:w="2006" w:type="dxa"/>
            <w:tcBorders>
              <w:left w:val="nil"/>
              <w:bottom w:val="single" w:color="auto" w:sz="4" w:space="0"/>
              <w:right w:val="nil"/>
            </w:tcBorders>
          </w:tcPr>
          <w:p w14:paraId="296216D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Names</w:t>
            </w:r>
          </w:p>
        </w:tc>
        <w:tc>
          <w:tcPr>
            <w:tcW w:w="6516" w:type="dxa"/>
            <w:tcBorders>
              <w:left w:val="nil"/>
              <w:bottom w:val="single" w:color="auto" w:sz="4" w:space="0"/>
              <w:right w:val="nil"/>
            </w:tcBorders>
          </w:tcPr>
          <w:p w14:paraId="3312115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Amino acid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sequences</w:t>
            </w:r>
          </w:p>
        </w:tc>
      </w:tr>
      <w:tr w14:paraId="2AA4016C">
        <w:tc>
          <w:tcPr>
            <w:tcW w:w="200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77E336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NbE1</w:t>
            </w:r>
          </w:p>
        </w:tc>
        <w:tc>
          <w:tcPr>
            <w:tcW w:w="651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F870A53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MVQLQESGGGLVQAGGSLRLSCAASGTISTDPTMGWYRQAPGKEREFVASIGAGATTNYADSVKGRFTISRDNAKNTVYLQMNSLKPEDTAVYYCAVYDYDAAYHYYWGQGTQVTVSS</w:t>
            </w:r>
          </w:p>
        </w:tc>
      </w:tr>
      <w:tr w14:paraId="43A14B71"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</w:tcPr>
          <w:p w14:paraId="70D75C0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NbE7</w:t>
            </w:r>
          </w:p>
        </w:tc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10F289E8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MVQLQESGGGLVQAGGSLRLSCAASGTISGYEGMGWYRQAPGKERELVASISYGATTNYADSVKGRFTISRDNAKNTVYLQMNSLKPEDTAVYYCAASVGGQAPHDYWGQGTQVTVSS</w:t>
            </w:r>
          </w:p>
        </w:tc>
      </w:tr>
      <w:tr w14:paraId="521E6321">
        <w:tc>
          <w:tcPr>
            <w:tcW w:w="2006" w:type="dxa"/>
            <w:tcBorders>
              <w:top w:val="nil"/>
              <w:left w:val="nil"/>
              <w:right w:val="nil"/>
            </w:tcBorders>
          </w:tcPr>
          <w:p w14:paraId="1DD816CE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NbES9</w:t>
            </w:r>
          </w:p>
        </w:tc>
        <w:tc>
          <w:tcPr>
            <w:tcW w:w="6516" w:type="dxa"/>
            <w:tcBorders>
              <w:top w:val="nil"/>
              <w:left w:val="nil"/>
              <w:right w:val="nil"/>
            </w:tcBorders>
          </w:tcPr>
          <w:p w14:paraId="05EF8DC5">
            <w:pPr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MVQLQESGGGLVQAGGSLRLSCAASGTIFQSDFMGWYRQAPGKEREFVAGIDYGTNTYYADSVKGRFTISRDNAKNTVYLQMNSLKPEDTAVYYCAATVWSDTDFAYWGQGTQVTVSS</w:t>
            </w:r>
          </w:p>
        </w:tc>
      </w:tr>
    </w:tbl>
    <w:p w14:paraId="72CDDB6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5E66E644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9"/>
      </w:rPr>
      <w:id w:val="-1"/>
    </w:sdtPr>
    <w:sdtEndPr>
      <w:rPr>
        <w:rStyle w:val="19"/>
      </w:rPr>
    </w:sdtEndPr>
    <w:sdtContent>
      <w:p w14:paraId="5F72809C">
        <w:pPr>
          <w:pStyle w:val="11"/>
          <w:framePr w:wrap="auto" w:vAnchor="text" w:hAnchor="margin" w:xAlign="right" w:y="1"/>
          <w:rPr>
            <w:rStyle w:val="19"/>
          </w:rPr>
        </w:pPr>
        <w:r>
          <w:rPr>
            <w:rStyle w:val="19"/>
          </w:rPr>
          <w:fldChar w:fldCharType="begin"/>
        </w:r>
        <w:r>
          <w:rPr>
            <w:rStyle w:val="19"/>
          </w:rPr>
          <w:instrText xml:space="preserve"> PAGE </w:instrText>
        </w:r>
        <w:r>
          <w:rPr>
            <w:rStyle w:val="19"/>
          </w:rPr>
          <w:fldChar w:fldCharType="separate"/>
        </w:r>
        <w:r>
          <w:rPr>
            <w:rStyle w:val="19"/>
          </w:rPr>
          <w:t>1</w:t>
        </w:r>
        <w:r>
          <w:rPr>
            <w:rStyle w:val="19"/>
          </w:rPr>
          <w:fldChar w:fldCharType="end"/>
        </w:r>
      </w:p>
    </w:sdtContent>
  </w:sdt>
  <w:p w14:paraId="46BCD902">
    <w:pPr>
      <w:pStyle w:val="1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664589"/>
    </w:sdtPr>
    <w:sdtEndPr>
      <w:rPr>
        <w:rFonts w:ascii="Times New Roman" w:hAnsi="Times New Roman" w:cs="Times New Roman"/>
        <w:sz w:val="24"/>
        <w:szCs w:val="24"/>
      </w:rPr>
    </w:sdtEndPr>
    <w:sdtContent>
      <w:p w14:paraId="3E650E3B">
        <w:pPr>
          <w:pStyle w:val="11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5DFBAAF">
    <w:pPr>
      <w:pStyle w:val="11"/>
    </w:pPr>
  </w:p>
  <w:p w14:paraId="3309AFD4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892"/>
    <w:rsid w:val="000A2648"/>
    <w:rsid w:val="00121FFC"/>
    <w:rsid w:val="0014346B"/>
    <w:rsid w:val="0020122C"/>
    <w:rsid w:val="00263584"/>
    <w:rsid w:val="00322A79"/>
    <w:rsid w:val="006B2D67"/>
    <w:rsid w:val="007157BF"/>
    <w:rsid w:val="00753A42"/>
    <w:rsid w:val="008412A9"/>
    <w:rsid w:val="008B2573"/>
    <w:rsid w:val="00971DA7"/>
    <w:rsid w:val="00A05B31"/>
    <w:rsid w:val="00A632C8"/>
    <w:rsid w:val="00AB265D"/>
    <w:rsid w:val="00AE62DB"/>
    <w:rsid w:val="00B21892"/>
    <w:rsid w:val="00B71783"/>
    <w:rsid w:val="00B8436A"/>
    <w:rsid w:val="00BB1ED3"/>
    <w:rsid w:val="00BF4CBB"/>
    <w:rsid w:val="00C04034"/>
    <w:rsid w:val="00C61642"/>
    <w:rsid w:val="00C86B43"/>
    <w:rsid w:val="00D236AE"/>
    <w:rsid w:val="00D60B3A"/>
    <w:rsid w:val="00D61F4C"/>
    <w:rsid w:val="00E1371D"/>
    <w:rsid w:val="00E93EA9"/>
    <w:rsid w:val="00EF1E2C"/>
    <w:rsid w:val="00F83214"/>
    <w:rsid w:val="00FF23AA"/>
    <w:rsid w:val="2FD35E97"/>
    <w:rsid w:val="3F934977"/>
    <w:rsid w:val="3FDF94D0"/>
    <w:rsid w:val="437C7664"/>
    <w:rsid w:val="5CDB0F77"/>
    <w:rsid w:val="6A520F37"/>
    <w:rsid w:val="6FFD4E37"/>
    <w:rsid w:val="7AEFF596"/>
    <w:rsid w:val="7BC7668F"/>
    <w:rsid w:val="BFF777F5"/>
    <w:rsid w:val="C97AFD49"/>
    <w:rsid w:val="DF7B190C"/>
    <w:rsid w:val="EF778371"/>
    <w:rsid w:val="F1BF6EE2"/>
    <w:rsid w:val="F3FDEF90"/>
    <w:rsid w:val="F6BDCF26"/>
    <w:rsid w:val="F6D966EA"/>
    <w:rsid w:val="FAF51D98"/>
    <w:rsid w:val="FD5AC350"/>
    <w:rsid w:val="FE2B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semiHidden/>
    <w:unhideWhenUsed/>
    <w:uiPriority w:val="99"/>
    <w:rPr>
      <w:sz w:val="24"/>
    </w:rPr>
  </w:style>
  <w:style w:type="paragraph" w:styleId="14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rPr>
      <w:rFonts w:cs="DengXi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page number"/>
    <w:basedOn w:val="17"/>
    <w:semiHidden/>
    <w:unhideWhenUsed/>
    <w:qFormat/>
    <w:uiPriority w:val="99"/>
  </w:style>
  <w:style w:type="character" w:styleId="20">
    <w:name w:val="line number"/>
    <w:basedOn w:val="17"/>
    <w:semiHidden/>
    <w:unhideWhenUsed/>
    <w:qFormat/>
    <w:uiPriority w:val="99"/>
  </w:style>
  <w:style w:type="character" w:styleId="21">
    <w:name w:val="Hyperlink"/>
    <w:basedOn w:val="17"/>
    <w:semiHidden/>
    <w:unhideWhenUsed/>
    <w:uiPriority w:val="99"/>
    <w:rPr>
      <w:color w:val="0000FF"/>
      <w:u w:val="single"/>
    </w:rPr>
  </w:style>
  <w:style w:type="paragraph" w:customStyle="1" w:styleId="22">
    <w:name w:val="EndNote Bibliography"/>
    <w:basedOn w:val="1"/>
    <w:qFormat/>
    <w:uiPriority w:val="0"/>
    <w:rPr>
      <w:rFonts w:ascii="Times New Roman" w:hAnsi="Times New Roman" w:eastAsia="宋体" w:cs="Times New Roman"/>
      <w:sz w:val="20"/>
      <w:szCs w:val="21"/>
    </w:rPr>
  </w:style>
  <w:style w:type="paragraph" w:customStyle="1" w:styleId="23">
    <w:name w:val="EndNote Bibliography Title"/>
    <w:basedOn w:val="1"/>
    <w:qFormat/>
    <w:uiPriority w:val="0"/>
    <w:pPr>
      <w:jc w:val="center"/>
    </w:pPr>
    <w:rPr>
      <w:rFonts w:ascii="Times New Roman" w:hAnsi="Times New Roman" w:eastAsia="宋体" w:cs="Times New Roman"/>
      <w:sz w:val="20"/>
      <w:szCs w:val="21"/>
    </w:rPr>
  </w:style>
  <w:style w:type="character" w:customStyle="1" w:styleId="24">
    <w:name w:val="Heading 1 Char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Heading 2 Char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Heading 3 Char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Heading 4 Char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Heading 5 Char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Heading 6 Char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Heading 7 Char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Heading 8 Char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Heading 9 Char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Title Char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Subtitle Char"/>
    <w:basedOn w:val="17"/>
    <w:link w:val="12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Quote Char"/>
    <w:basedOn w:val="17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Intense Quote Char"/>
    <w:basedOn w:val="17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Footer Char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920</Words>
  <Characters>5245</Characters>
  <Lines>43</Lines>
  <Paragraphs>12</Paragraphs>
  <TotalTime>60</TotalTime>
  <ScaleCrop>false</ScaleCrop>
  <LinksUpToDate>false</LinksUpToDate>
  <CharactersWithSpaces>6153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2025-06-27T15:14:00Z</dcterms:created>
  <dc:creator>fang wu</dc:creator>
  <cp:lastModifiedBy>吴芳</cp:lastModifiedBy>
  <dcterms:modified xsi:type="dcterms:W3CDTF">2026-02-04T10:57:47Z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eyJoZGlkIjoiOTY5OWYzZmU0M2NmMGZjYzk0Mjc2NDYyY2ViMDE5NDYiLCJ1c2VySWQiOiIyMzg1MTc3OSJ9</vt:lpwstr>
  </property>
  <property fmtid="{D5CDD505-2E9C-101B-9397-08002B2CF9AE}" pid="3" name="KSOProductBuildVer">
    <vt:lpwstr>2052-12.1.24031.24031</vt:lpwstr>
  </property>
  <property fmtid="{D5CDD505-2E9C-101B-9397-08002B2CF9AE}" pid="4" name="ICV">
    <vt:lpwstr>D1BA04CCF9658B61C1B4826971FA4B0B_43</vt:lpwstr>
  </property>
</Properties>
</file>