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69A3E" w14:textId="77777777" w:rsidR="00107A1A" w:rsidRPr="00F215F5" w:rsidRDefault="00000000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8"/>
        </w:rPr>
      </w:pPr>
      <w:r w:rsidRPr="00F215F5"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METHODA</w:t>
      </w:r>
    </w:p>
    <w:p w14:paraId="43BFEA98" w14:textId="37D8CDD0" w:rsidR="00823EA0" w:rsidRPr="00823EA0" w:rsidRDefault="00823EA0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4"/>
        </w:rPr>
      </w:pPr>
      <w:r w:rsidRPr="00823EA0">
        <w:rPr>
          <w:rFonts w:ascii="Times New Roman" w:eastAsia="楷体_GB2312" w:hAnsi="Times New Roman" w:cs="Times New Roman" w:hint="eastAsia"/>
          <w:b/>
          <w:bCs/>
          <w:sz w:val="24"/>
          <w:szCs w:val="24"/>
        </w:rPr>
        <w:t>Isolation of Primary Hepatocytes via Liver Perfusion:</w:t>
      </w:r>
    </w:p>
    <w:p w14:paraId="48CCB026" w14:textId="34979FC3" w:rsidR="00823EA0" w:rsidRDefault="00823EA0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4"/>
        </w:rPr>
      </w:pPr>
      <w:r w:rsidRPr="00823EA0">
        <w:rPr>
          <w:rFonts w:ascii="Times New Roman" w:eastAsia="楷体_GB2312" w:hAnsi="Times New Roman" w:cs="Times New Roman"/>
          <w:sz w:val="24"/>
          <w:szCs w:val="24"/>
        </w:rPr>
        <w:t xml:space="preserve">Briefly, mice were anesthetized with 0.25 mL of 2.5% tribromoethanol and secured to a surgical board to expose the thoracic and abdominal cavities. Liver perfusion was initiated via the inferior vena cava using 37℃ Hanks’ balanced salt solution (H1025, </w:t>
      </w:r>
      <w:proofErr w:type="spellStart"/>
      <w:r w:rsidRPr="00823EA0">
        <w:rPr>
          <w:rFonts w:ascii="Times New Roman" w:eastAsia="楷体_GB2312" w:hAnsi="Times New Roman" w:cs="Times New Roman"/>
          <w:sz w:val="24"/>
          <w:szCs w:val="24"/>
        </w:rPr>
        <w:t>Sol</w:t>
      </w:r>
      <w:r w:rsidRPr="00823EA0">
        <w:rPr>
          <w:rFonts w:ascii="Times New Roman" w:eastAsia="楷体_GB2312" w:hAnsi="Times New Roman" w:cs="Times New Roman" w:hint="eastAsia"/>
          <w:sz w:val="24"/>
          <w:szCs w:val="24"/>
        </w:rPr>
        <w:t>arbio</w:t>
      </w:r>
      <w:proofErr w:type="spellEnd"/>
      <w:r w:rsidRPr="00823EA0">
        <w:rPr>
          <w:rFonts w:ascii="Times New Roman" w:eastAsia="楷体_GB2312" w:hAnsi="Times New Roman" w:cs="Times New Roman" w:hint="eastAsia"/>
          <w:sz w:val="24"/>
          <w:szCs w:val="24"/>
        </w:rPr>
        <w:t>, Beijing, China). Gentle manual pressure was applied to the liver until its color changed from dark red to pale gray, indicating adequate perfusion. Subsequently, in situ enzymatic digestion was performed using pre-warmed 5% type II collagenase solut</w:t>
      </w:r>
      <w:r w:rsidRPr="00823EA0">
        <w:rPr>
          <w:rFonts w:ascii="Times New Roman" w:eastAsia="楷体_GB2312" w:hAnsi="Times New Roman" w:cs="Times New Roman"/>
          <w:sz w:val="24"/>
          <w:szCs w:val="24"/>
        </w:rPr>
        <w:t xml:space="preserve">ion (prepared by dissolving 2.5 mg of type II collagenase in 50 mL of Hanks’ solution; 17101015, </w:t>
      </w:r>
      <w:proofErr w:type="spellStart"/>
      <w:r w:rsidRPr="00823EA0">
        <w:rPr>
          <w:rFonts w:ascii="Times New Roman" w:eastAsia="楷体_GB2312" w:hAnsi="Times New Roman" w:cs="Times New Roman"/>
          <w:sz w:val="24"/>
          <w:szCs w:val="24"/>
        </w:rPr>
        <w:t>Thermo</w:t>
      </w:r>
      <w:proofErr w:type="spellEnd"/>
      <w:r w:rsidRPr="00823EA0">
        <w:rPr>
          <w:rFonts w:ascii="Times New Roman" w:eastAsia="楷体_GB2312" w:hAnsi="Times New Roman" w:cs="Times New Roman"/>
          <w:sz w:val="24"/>
          <w:szCs w:val="24"/>
        </w:rPr>
        <w:t xml:space="preserve"> Scientific, MA, USA), also administered via the inferior vena cava. After 5 minutes, livers were excised, the gallbladder removed, and the tissue was im</w:t>
      </w:r>
      <w:r w:rsidRPr="00823EA0">
        <w:rPr>
          <w:rFonts w:ascii="Times New Roman" w:eastAsia="楷体_GB2312" w:hAnsi="Times New Roman" w:cs="Times New Roman" w:hint="eastAsia"/>
          <w:sz w:val="24"/>
          <w:szCs w:val="24"/>
        </w:rPr>
        <w:t>mersed in fresh 5% type II collagenase solution for further digestion in a 37</w:t>
      </w:r>
      <w:r w:rsidRPr="00823EA0">
        <w:rPr>
          <w:rFonts w:ascii="Times New Roman" w:eastAsia="楷体_GB2312" w:hAnsi="Times New Roman" w:cs="Times New Roman" w:hint="eastAsia"/>
          <w:sz w:val="24"/>
          <w:szCs w:val="24"/>
        </w:rPr>
        <w:t>℃</w:t>
      </w:r>
      <w:r w:rsidRPr="00823EA0">
        <w:rPr>
          <w:rFonts w:ascii="Times New Roman" w:eastAsia="楷体_GB2312" w:hAnsi="Times New Roman" w:cs="Times New Roman" w:hint="eastAsia"/>
          <w:sz w:val="24"/>
          <w:szCs w:val="24"/>
        </w:rPr>
        <w:t xml:space="preserve"> water bath with gentle agitation for 30 minutes. Following digestion, liver capsules were carefully peeled away using sterile forceps, and the tissue was minced and filtered thr</w:t>
      </w:r>
      <w:r w:rsidRPr="00823EA0">
        <w:rPr>
          <w:rFonts w:ascii="Times New Roman" w:eastAsia="楷体_GB2312" w:hAnsi="Times New Roman" w:cs="Times New Roman"/>
          <w:sz w:val="24"/>
          <w:szCs w:val="24"/>
        </w:rPr>
        <w:t xml:space="preserve">ough a sterile 100 µm cell strainer. The resulting cell suspension was centrifuged at 50 rpm for 2 minutes at 4℃. The supernatant was discarded, and the pellet was resuspended in high-glucose DMEM (11995, </w:t>
      </w:r>
      <w:proofErr w:type="spellStart"/>
      <w:r w:rsidRPr="00823EA0">
        <w:rPr>
          <w:rFonts w:ascii="Times New Roman" w:eastAsia="楷体_GB2312" w:hAnsi="Times New Roman" w:cs="Times New Roman"/>
          <w:sz w:val="24"/>
          <w:szCs w:val="24"/>
        </w:rPr>
        <w:t>Solarbio</w:t>
      </w:r>
      <w:proofErr w:type="spellEnd"/>
      <w:r w:rsidRPr="00823EA0">
        <w:rPr>
          <w:rFonts w:ascii="Times New Roman" w:eastAsia="楷体_GB2312" w:hAnsi="Times New Roman" w:cs="Times New Roman"/>
          <w:sz w:val="24"/>
          <w:szCs w:val="24"/>
        </w:rPr>
        <w:t xml:space="preserve">, Beijing, China). The suspension was then mixed with 30% </w:t>
      </w:r>
      <w:proofErr w:type="spellStart"/>
      <w:r w:rsidRPr="00823EA0">
        <w:rPr>
          <w:rFonts w:ascii="Times New Roman" w:eastAsia="楷体_GB2312" w:hAnsi="Times New Roman" w:cs="Times New Roman"/>
          <w:sz w:val="24"/>
          <w:szCs w:val="24"/>
        </w:rPr>
        <w:t>Percoll</w:t>
      </w:r>
      <w:proofErr w:type="spellEnd"/>
      <w:r w:rsidRPr="00823EA0">
        <w:rPr>
          <w:rFonts w:ascii="Times New Roman" w:eastAsia="楷体_GB2312" w:hAnsi="Times New Roman" w:cs="Times New Roman"/>
          <w:sz w:val="24"/>
          <w:szCs w:val="24"/>
        </w:rPr>
        <w:t xml:space="preserve"> solution (65455-52-9, </w:t>
      </w:r>
      <w:proofErr w:type="spellStart"/>
      <w:r w:rsidRPr="00823EA0">
        <w:rPr>
          <w:rFonts w:ascii="Times New Roman" w:eastAsia="楷体_GB2312" w:hAnsi="Times New Roman" w:cs="Times New Roman"/>
          <w:sz w:val="24"/>
          <w:szCs w:val="24"/>
        </w:rPr>
        <w:t>Solarbio</w:t>
      </w:r>
      <w:proofErr w:type="spellEnd"/>
      <w:r w:rsidRPr="00823EA0">
        <w:rPr>
          <w:rFonts w:ascii="Times New Roman" w:eastAsia="楷体_GB2312" w:hAnsi="Times New Roman" w:cs="Times New Roman"/>
          <w:sz w:val="24"/>
          <w:szCs w:val="24"/>
        </w:rPr>
        <w:t>, Beijing, China) in a 1:1 ratio and centrifuged at 50 rpm for 5 minutes at 4℃ The supernatant was discarded, and the resulting pellet was collected as the primary hepatocyte fraction.</w:t>
      </w:r>
    </w:p>
    <w:p w14:paraId="60BADB6F" w14:textId="66E6DECF" w:rsidR="006B3E4A" w:rsidRDefault="00000000" w:rsidP="008041C9">
      <w:pPr>
        <w:spacing w:line="276" w:lineRule="auto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b/>
          <w:bCs/>
          <w:sz w:val="24"/>
          <w:szCs w:val="24"/>
        </w:rPr>
        <w:t>Transcriptome Sequencing</w:t>
      </w:r>
      <w:r>
        <w:rPr>
          <w:rFonts w:ascii="Times New Roman" w:eastAsia="楷体_GB2312" w:hAnsi="Times New Roman" w:cs="Times New Roman"/>
          <w:sz w:val="24"/>
          <w:szCs w:val="24"/>
        </w:rPr>
        <w:t>:</w:t>
      </w:r>
    </w:p>
    <w:p w14:paraId="0641B0B0" w14:textId="46C4661D" w:rsidR="00107A1A" w:rsidRDefault="00000000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At 24 hours following CLP surgery, liver tissues were harvested from septic mice and control mice (</w:t>
      </w:r>
      <w:r w:rsidRPr="006B3E4A">
        <w:rPr>
          <w:rFonts w:ascii="Times New Roman" w:eastAsia="楷体_GB2312" w:hAnsi="Times New Roman" w:cs="Times New Roman"/>
          <w:i/>
          <w:iCs/>
          <w:sz w:val="24"/>
          <w:szCs w:val="24"/>
        </w:rPr>
        <w:t>n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 = 4) for transcriptomic analysis. Total RNA was extracted using the 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MJZol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 xml:space="preserve"> Total RNA Extraction Kit (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Majorbio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>, Shanghai, China), followed by nucleic acid purification with the RNA Purification Kit (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Majorbio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>, Shanghai, China). RNA integrity was assessed via agarose gel electrophoresis (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Biowest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 xml:space="preserve"> Agarose, 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Biowest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 xml:space="preserve">, Spain). Library preparation was performed using the Illumina® Stranded mRNA Prep, Ligation Kit (Illumina, USA), and sequencing was conducted on the Illumina 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NovaSeq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 xml:space="preserve"> platform using the 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NovaSeq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 xml:space="preserve"> Reagent Kit (Illumina, USA).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Quality control of raw sequencing data was carried out using 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fastp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 xml:space="preserve"> 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（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https://github.com/OpenGene/fastp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）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. Reads were aligned to the reference genome using HiSat2 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（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http://ccb.jhu.edu/software/hisat2/index.shtml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）</w:t>
      </w:r>
      <w:r>
        <w:rPr>
          <w:rFonts w:ascii="Times New Roman" w:eastAsia="楷体_GB2312" w:hAnsi="Times New Roman" w:cs="Times New Roman"/>
          <w:sz w:val="24"/>
          <w:szCs w:val="24"/>
        </w:rPr>
        <w:t>. Gene expression quantification and differential expression analyses were performed using RSEM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（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http://deweylab.github.io/RSEM/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）</w:t>
      </w:r>
      <w:r w:rsidR="006B3E4A">
        <w:rPr>
          <w:rFonts w:ascii="Times New Roman" w:eastAsia="楷体_GB2312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and DESeq2 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（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http://bioconductor.org/packages/stats/bioc/DESeq2/</w:t>
      </w:r>
      <w:r w:rsidR="006B3E4A" w:rsidRPr="006B3E4A">
        <w:rPr>
          <w:rFonts w:ascii="Times New Roman" w:eastAsia="楷体_GB2312" w:hAnsi="Times New Roman" w:cs="Times New Roman" w:hint="eastAsia"/>
          <w:sz w:val="24"/>
          <w:szCs w:val="24"/>
        </w:rPr>
        <w:t>）</w:t>
      </w:r>
      <w:r>
        <w:rPr>
          <w:rFonts w:ascii="Times New Roman" w:eastAsia="楷体_GB2312" w:hAnsi="Times New Roman" w:cs="Times New Roman"/>
          <w:sz w:val="24"/>
          <w:szCs w:val="24"/>
        </w:rPr>
        <w:t>, respectively. Functional annotation of differentially expressed genes (DEGs) was conducted using the Gene Ontology (GO) database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（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http://geneontology.org/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）</w:t>
      </w:r>
      <w:r>
        <w:rPr>
          <w:rFonts w:ascii="Times New Roman" w:eastAsia="楷体_GB2312" w:hAnsi="Times New Roman" w:cs="Times New Roman"/>
          <w:sz w:val="24"/>
          <w:szCs w:val="24"/>
        </w:rPr>
        <w:t>and the Kyoto Encyclopedia of Genes and Genomes (KEGG) database</w:t>
      </w:r>
      <w:r w:rsidR="00BD4F7C">
        <w:rPr>
          <w:rFonts w:ascii="Times New Roman" w:eastAsia="楷体_GB2312" w:hAnsi="Times New Roman" w:cs="Times New Roman" w:hint="eastAsia"/>
          <w:sz w:val="24"/>
          <w:szCs w:val="24"/>
        </w:rPr>
        <w:t xml:space="preserve"> 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（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https://www.genome.jp/kegg/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）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. Enrichment analyses were performed using 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GOatools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 xml:space="preserve"> 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(https://github.com/tanghaibao/GOatools)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 </w:t>
      </w:r>
      <w:r>
        <w:rPr>
          <w:rFonts w:ascii="Times New Roman" w:eastAsia="楷体_GB2312" w:hAnsi="Times New Roman" w:cs="Times New Roman"/>
          <w:sz w:val="24"/>
          <w:szCs w:val="24"/>
        </w:rPr>
        <w:lastRenderedPageBreak/>
        <w:t xml:space="preserve">and the Python </w:t>
      </w:r>
      <w:proofErr w:type="spellStart"/>
      <w:r>
        <w:rPr>
          <w:rFonts w:ascii="Times New Roman" w:eastAsia="楷体_GB2312" w:hAnsi="Times New Roman" w:cs="Times New Roman"/>
          <w:sz w:val="24"/>
          <w:szCs w:val="24"/>
        </w:rPr>
        <w:t>scipy</w:t>
      </w:r>
      <w:proofErr w:type="spellEnd"/>
      <w:r>
        <w:rPr>
          <w:rFonts w:ascii="Times New Roman" w:eastAsia="楷体_GB2312" w:hAnsi="Times New Roman" w:cs="Times New Roman"/>
          <w:sz w:val="24"/>
          <w:szCs w:val="24"/>
        </w:rPr>
        <w:t xml:space="preserve"> package</w:t>
      </w:r>
      <w:r w:rsidR="00BD4F7C">
        <w:rPr>
          <w:rFonts w:ascii="Times New Roman" w:eastAsia="楷体_GB2312" w:hAnsi="Times New Roman" w:cs="Times New Roman" w:hint="eastAsia"/>
          <w:sz w:val="24"/>
          <w:szCs w:val="24"/>
        </w:rPr>
        <w:t xml:space="preserve"> 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（</w:t>
      </w:r>
      <w:r w:rsidR="00BD4F7C" w:rsidRPr="00BD4F7C">
        <w:rPr>
          <w:rFonts w:ascii="Times New Roman" w:eastAsia="楷体_GB2312" w:hAnsi="Times New Roman" w:cs="Times New Roman" w:hint="eastAsia"/>
          <w:sz w:val="24"/>
          <w:szCs w:val="24"/>
        </w:rPr>
        <w:t>https://scipy.org/install/</w:t>
      </w:r>
      <w:r w:rsidR="00BD4F7C">
        <w:rPr>
          <w:rFonts w:ascii="Times New Roman" w:eastAsia="楷体_GB2312" w:hAnsi="Times New Roman" w:cs="Times New Roman" w:hint="eastAsia"/>
          <w:sz w:val="24"/>
          <w:szCs w:val="24"/>
        </w:rPr>
        <w:t>）</w:t>
      </w:r>
      <w:r w:rsidR="00BD4F7C">
        <w:rPr>
          <w:rFonts w:ascii="Times New Roman" w:eastAsia="楷体_GB2312" w:hAnsi="Times New Roman" w:cs="Times New Roman" w:hint="eastAsia"/>
          <w:sz w:val="24"/>
          <w:szCs w:val="24"/>
        </w:rPr>
        <w:t>,</w:t>
      </w:r>
      <w:r>
        <w:rPr>
          <w:rFonts w:ascii="Times New Roman" w:eastAsia="楷体_GB2312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A Benjamini-Hochberg </w:t>
      </w:r>
      <w:r>
        <w:rPr>
          <w:rFonts w:ascii="Times New Roman" w:eastAsia="楷体_GB2312" w:hAnsi="Times New Roman" w:cs="Times New Roman"/>
          <w:i/>
          <w:iCs/>
          <w:sz w:val="24"/>
          <w:szCs w:val="24"/>
        </w:rPr>
        <w:t>adjusted P value (</w:t>
      </w:r>
      <w:proofErr w:type="spellStart"/>
      <w:r>
        <w:rPr>
          <w:rFonts w:ascii="Times New Roman" w:eastAsia="楷体_GB2312" w:hAnsi="Times New Roman" w:cs="Times New Roman"/>
          <w:i/>
          <w:iCs/>
          <w:sz w:val="24"/>
          <w:szCs w:val="24"/>
        </w:rPr>
        <w:t>Padjust</w:t>
      </w:r>
      <w:proofErr w:type="spellEnd"/>
      <w:r>
        <w:rPr>
          <w:rFonts w:ascii="Times New Roman" w:eastAsia="楷体_GB2312" w:hAnsi="Times New Roman" w:cs="Times New Roman"/>
          <w:i/>
          <w:iCs/>
          <w:sz w:val="24"/>
          <w:szCs w:val="24"/>
        </w:rPr>
        <w:t>) &lt; 0.05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 was considered statistically significant.</w:t>
      </w:r>
    </w:p>
    <w:p w14:paraId="0E3402BA" w14:textId="77777777" w:rsidR="00115EF5" w:rsidRPr="00115EF5" w:rsidRDefault="00115EF5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4"/>
        </w:rPr>
      </w:pPr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Comparative efficacy of cell death pathway–specific inhibitors</w:t>
      </w:r>
      <w:r w:rsidRPr="00115EF5">
        <w:rPr>
          <w:rFonts w:ascii="Times New Roman" w:eastAsia="楷体_GB2312" w:hAnsi="Times New Roman" w:cs="Times New Roman" w:hint="eastAsia"/>
          <w:b/>
          <w:bCs/>
          <w:sz w:val="24"/>
          <w:szCs w:val="24"/>
        </w:rPr>
        <w:t>:</w:t>
      </w:r>
    </w:p>
    <w:p w14:paraId="7C59561C" w14:textId="77777777" w:rsidR="00115EF5" w:rsidRDefault="00115EF5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4"/>
        </w:rPr>
      </w:pPr>
      <w:r w:rsidRPr="00115EF5">
        <w:rPr>
          <w:rFonts w:ascii="Times New Roman" w:eastAsia="楷体_GB2312" w:hAnsi="Times New Roman" w:cs="Times New Roman"/>
          <w:sz w:val="24"/>
          <w:szCs w:val="24"/>
        </w:rPr>
        <w:t xml:space="preserve">Wild-type male C57BL/6J mice were randomly assigned to a sham control group, a sepsis group (CLP), an apoptosis-inhibitor group (CLP + Z-DEVD-FMK, 5 mg kg⁻¹; </w:t>
      </w:r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 xml:space="preserve">Arch </w:t>
      </w:r>
      <w:proofErr w:type="spellStart"/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Biochem</w:t>
      </w:r>
      <w:proofErr w:type="spellEnd"/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Biophys</w:t>
      </w:r>
      <w:proofErr w:type="spellEnd"/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., doi:10.1016/j.abb.2024.109923; PMID: 38408533</w:t>
      </w:r>
      <w:r w:rsidRPr="00115EF5">
        <w:rPr>
          <w:rFonts w:ascii="Times New Roman" w:eastAsia="楷体_GB2312" w:hAnsi="Times New Roman" w:cs="Times New Roman"/>
          <w:sz w:val="24"/>
          <w:szCs w:val="24"/>
        </w:rPr>
        <w:t xml:space="preserve">), a necroptosis-inhibitor group (CLP + </w:t>
      </w:r>
      <w:proofErr w:type="spellStart"/>
      <w:r w:rsidRPr="00115EF5">
        <w:rPr>
          <w:rFonts w:ascii="Times New Roman" w:eastAsia="楷体_GB2312" w:hAnsi="Times New Roman" w:cs="Times New Roman"/>
          <w:sz w:val="24"/>
          <w:szCs w:val="24"/>
        </w:rPr>
        <w:t>Necrosulfonamide</w:t>
      </w:r>
      <w:proofErr w:type="spellEnd"/>
      <w:r w:rsidRPr="00115EF5">
        <w:rPr>
          <w:rFonts w:ascii="Times New Roman" w:eastAsia="楷体_GB2312" w:hAnsi="Times New Roman" w:cs="Times New Roman"/>
          <w:sz w:val="24"/>
          <w:szCs w:val="24"/>
        </w:rPr>
        <w:t xml:space="preserve">, 20 mg kg⁻¹; </w:t>
      </w:r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J Clin Transl Hepatol., doi:10.14218/JCTH.2021.00560; PMID: 36381100</w:t>
      </w:r>
      <w:r w:rsidRPr="00115EF5">
        <w:rPr>
          <w:rFonts w:ascii="Times New Roman" w:eastAsia="楷体_GB2312" w:hAnsi="Times New Roman" w:cs="Times New Roman"/>
          <w:sz w:val="24"/>
          <w:szCs w:val="24"/>
        </w:rPr>
        <w:t xml:space="preserve">), a </w:t>
      </w:r>
      <w:proofErr w:type="spellStart"/>
      <w:r w:rsidRPr="00115EF5">
        <w:rPr>
          <w:rFonts w:ascii="Times New Roman" w:eastAsia="楷体_GB2312" w:hAnsi="Times New Roman" w:cs="Times New Roman"/>
          <w:sz w:val="24"/>
          <w:szCs w:val="24"/>
        </w:rPr>
        <w:t>pyroptosis</w:t>
      </w:r>
      <w:proofErr w:type="spellEnd"/>
      <w:r w:rsidRPr="00115EF5">
        <w:rPr>
          <w:rFonts w:ascii="Times New Roman" w:eastAsia="楷体_GB2312" w:hAnsi="Times New Roman" w:cs="Times New Roman"/>
          <w:sz w:val="24"/>
          <w:szCs w:val="24"/>
        </w:rPr>
        <w:t xml:space="preserve">-inhibitor group (CLP + Disulfiram, 50 mg kg⁻¹; </w:t>
      </w:r>
      <w:proofErr w:type="spellStart"/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Eur</w:t>
      </w:r>
      <w:proofErr w:type="spellEnd"/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 xml:space="preserve"> J </w:t>
      </w:r>
      <w:proofErr w:type="spellStart"/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Pharmacol</w:t>
      </w:r>
      <w:proofErr w:type="spellEnd"/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., doi:10.1016/j.ejphar.2025.177352; PMID: 39923824</w:t>
      </w:r>
      <w:r w:rsidRPr="00115EF5">
        <w:rPr>
          <w:rFonts w:ascii="Times New Roman" w:eastAsia="楷体_GB2312" w:hAnsi="Times New Roman" w:cs="Times New Roman"/>
          <w:sz w:val="24"/>
          <w:szCs w:val="24"/>
        </w:rPr>
        <w:t xml:space="preserve">), or a ferroptosis-inhibitor group (CLP + Ferrostatin-1, 10 mg kg⁻¹; </w:t>
      </w:r>
      <w:r w:rsidRPr="00115EF5">
        <w:rPr>
          <w:rFonts w:ascii="Times New Roman" w:eastAsia="楷体_GB2312" w:hAnsi="Times New Roman" w:cs="Times New Roman"/>
          <w:b/>
          <w:bCs/>
          <w:sz w:val="24"/>
          <w:szCs w:val="24"/>
        </w:rPr>
        <w:t>J Biomed Sci., doi:10.1186/s12929-021-00762-2; PMID: 34615538</w:t>
      </w:r>
      <w:r w:rsidRPr="00115EF5">
        <w:rPr>
          <w:rFonts w:ascii="Times New Roman" w:eastAsia="楷体_GB2312" w:hAnsi="Times New Roman" w:cs="Times New Roman"/>
          <w:sz w:val="24"/>
          <w:szCs w:val="24"/>
        </w:rPr>
        <w:t xml:space="preserve">). All inhibitors were administered intraperitoneally 2 h after CLP (100 µl </w:t>
      </w:r>
      <w:r w:rsidRPr="00115EF5">
        <w:rPr>
          <w:rFonts w:ascii="Times New Roman" w:eastAsia="楷体_GB2312" w:hAnsi="Times New Roman" w:cs="Times New Roman" w:hint="eastAsia"/>
          <w:sz w:val="24"/>
          <w:szCs w:val="24"/>
        </w:rPr>
        <w:t>per mouse). Serum was collected 24 h post-CLP (</w:t>
      </w:r>
      <w:r w:rsidRPr="00115EF5">
        <w:rPr>
          <w:rFonts w:ascii="Times New Roman" w:eastAsia="楷体_GB2312" w:hAnsi="Times New Roman" w:cs="Times New Roman" w:hint="eastAsia"/>
          <w:i/>
          <w:iCs/>
          <w:sz w:val="24"/>
          <w:szCs w:val="24"/>
        </w:rPr>
        <w:t>n = 6</w:t>
      </w:r>
      <w:r w:rsidRPr="00115EF5">
        <w:rPr>
          <w:rFonts w:ascii="Times New Roman" w:eastAsia="楷体_GB2312" w:hAnsi="Times New Roman" w:cs="Times New Roman" w:hint="eastAsia"/>
          <w:sz w:val="24"/>
          <w:szCs w:val="24"/>
        </w:rPr>
        <w:t xml:space="preserve"> per group) for lactate dehydrogenase (LDH) quantification, and primary hepatocytes were isolated (</w:t>
      </w:r>
      <w:r w:rsidRPr="00115EF5">
        <w:rPr>
          <w:rFonts w:ascii="Times New Roman" w:eastAsia="楷体_GB2312" w:hAnsi="Times New Roman" w:cs="Times New Roman" w:hint="eastAsia"/>
          <w:i/>
          <w:iCs/>
          <w:sz w:val="24"/>
          <w:szCs w:val="24"/>
        </w:rPr>
        <w:t>n = 3</w:t>
      </w:r>
      <w:r w:rsidRPr="00115EF5">
        <w:rPr>
          <w:rFonts w:ascii="Times New Roman" w:eastAsia="楷体_GB2312" w:hAnsi="Times New Roman" w:cs="Times New Roman" w:hint="eastAsia"/>
          <w:sz w:val="24"/>
          <w:szCs w:val="24"/>
        </w:rPr>
        <w:t xml:space="preserve"> per group) for </w:t>
      </w:r>
      <w:proofErr w:type="spellStart"/>
      <w:r w:rsidRPr="00115EF5">
        <w:rPr>
          <w:rFonts w:ascii="Times New Roman" w:eastAsia="楷体_GB2312" w:hAnsi="Times New Roman" w:cs="Times New Roman" w:hint="eastAsia"/>
          <w:sz w:val="24"/>
          <w:szCs w:val="24"/>
        </w:rPr>
        <w:t>Calcein</w:t>
      </w:r>
      <w:proofErr w:type="spellEnd"/>
      <w:r w:rsidRPr="00115EF5">
        <w:rPr>
          <w:rFonts w:ascii="Times New Roman" w:eastAsia="楷体_GB2312" w:hAnsi="Times New Roman" w:cs="Times New Roman" w:hint="eastAsia"/>
          <w:sz w:val="24"/>
          <w:szCs w:val="24"/>
        </w:rPr>
        <w:t>-AM/Propidium Iodide (PI) live</w:t>
      </w:r>
      <w:r w:rsidRPr="00115EF5">
        <w:rPr>
          <w:rFonts w:ascii="Courier New" w:eastAsia="楷体_GB2312" w:hAnsi="Courier New" w:cs="Courier New"/>
          <w:sz w:val="24"/>
          <w:szCs w:val="24"/>
        </w:rPr>
        <w:t>–</w:t>
      </w:r>
      <w:r w:rsidRPr="00115EF5">
        <w:rPr>
          <w:rFonts w:ascii="Times New Roman" w:eastAsia="楷体_GB2312" w:hAnsi="Times New Roman" w:cs="Times New Roman" w:hint="eastAsia"/>
          <w:sz w:val="24"/>
          <w:szCs w:val="24"/>
        </w:rPr>
        <w:t>dead staining and subsequent quantitative analysis.</w:t>
      </w:r>
    </w:p>
    <w:p w14:paraId="3109DD19" w14:textId="77777777" w:rsidR="00A958FC" w:rsidRPr="00A958FC" w:rsidRDefault="00A958FC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8"/>
        </w:rPr>
      </w:pPr>
      <w:proofErr w:type="spellStart"/>
      <w:r w:rsidRPr="00A958FC"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Calcein</w:t>
      </w:r>
      <w:proofErr w:type="spellEnd"/>
      <w:r w:rsidRPr="00A958FC"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-AM/Propidium Iodide (PI) live</w:t>
      </w:r>
      <w:r w:rsidRPr="00A958FC">
        <w:rPr>
          <w:rFonts w:ascii="Times New Roman" w:eastAsia="楷体_GB2312" w:hAnsi="Times New Roman" w:cs="Times New Roman"/>
          <w:b/>
          <w:bCs/>
          <w:sz w:val="24"/>
          <w:szCs w:val="28"/>
        </w:rPr>
        <w:t>–</w:t>
      </w:r>
      <w:r w:rsidRPr="00A958FC"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dead staining</w:t>
      </w:r>
      <w:r w:rsidRPr="00A958FC"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:</w:t>
      </w:r>
      <w:r w:rsidRPr="00A958FC"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 xml:space="preserve"> </w:t>
      </w:r>
    </w:p>
    <w:p w14:paraId="6316D725" w14:textId="6AFF1F58" w:rsidR="00A958FC" w:rsidRPr="00A958FC" w:rsidRDefault="00A958FC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8"/>
        </w:rPr>
      </w:pPr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 xml:space="preserve">Primary hepatocyte viability was assessed using a </w:t>
      </w:r>
      <w:proofErr w:type="spellStart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Calcein</w:t>
      </w:r>
      <w:proofErr w:type="spellEnd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 xml:space="preserve">-AM Cell Viability Assay Kit (C2013M, </w:t>
      </w:r>
      <w:proofErr w:type="spellStart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Beyotime</w:t>
      </w:r>
      <w:proofErr w:type="spellEnd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 xml:space="preserve">, Shanghai, China) in combination with Propidium Iodide (PI; ST511, </w:t>
      </w:r>
      <w:proofErr w:type="spellStart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Beyotime</w:t>
      </w:r>
      <w:proofErr w:type="spellEnd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 xml:space="preserve">, Shanghai, China), </w:t>
      </w:r>
      <w:r w:rsidRPr="00A958FC">
        <w:rPr>
          <w:rFonts w:ascii="Times New Roman" w:eastAsia="楷体_GB2312" w:hAnsi="Times New Roman" w:cs="Times New Roman"/>
          <w:sz w:val="24"/>
          <w:szCs w:val="28"/>
        </w:rPr>
        <w:t xml:space="preserve">strictly following the manufacturer’s instructions. Briefly, freshly isolated primary hepatocytes were collected into flow cytometry tubes, and for every 1×10⁶ cells, 500 µl of detection buffer and 0.5 µl </w:t>
      </w:r>
      <w:proofErr w:type="spellStart"/>
      <w:r w:rsidRPr="00A958FC">
        <w:rPr>
          <w:rFonts w:ascii="Times New Roman" w:eastAsia="楷体_GB2312" w:hAnsi="Times New Roman" w:cs="Times New Roman"/>
          <w:sz w:val="24"/>
          <w:szCs w:val="28"/>
        </w:rPr>
        <w:t>Calcein</w:t>
      </w:r>
      <w:proofErr w:type="spellEnd"/>
      <w:r w:rsidRPr="00A958FC">
        <w:rPr>
          <w:rFonts w:ascii="Times New Roman" w:eastAsia="楷体_GB2312" w:hAnsi="Times New Roman" w:cs="Times New Roman"/>
          <w:sz w:val="24"/>
          <w:szCs w:val="28"/>
        </w:rPr>
        <w:t xml:space="preserve">-AM (1000× stock; detection buffer: </w:t>
      </w:r>
      <w:proofErr w:type="spellStart"/>
      <w:r w:rsidRPr="00A958FC">
        <w:rPr>
          <w:rFonts w:ascii="Times New Roman" w:eastAsia="楷体_GB2312" w:hAnsi="Times New Roman" w:cs="Times New Roman"/>
          <w:sz w:val="24"/>
          <w:szCs w:val="28"/>
        </w:rPr>
        <w:t>Calcei</w:t>
      </w:r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n</w:t>
      </w:r>
      <w:proofErr w:type="spellEnd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-AM = 1:1000) were added. Cells were incubated at 37</w:t>
      </w:r>
      <w:r w:rsidR="00B01AA8">
        <w:rPr>
          <w:rFonts w:ascii="Times New Roman" w:eastAsia="楷体_GB2312" w:hAnsi="Times New Roman" w:cs="Times New Roman" w:hint="eastAsia"/>
          <w:sz w:val="24"/>
          <w:szCs w:val="28"/>
        </w:rPr>
        <w:t>℃</w:t>
      </w:r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 xml:space="preserve"> for 20 min in the dark. Subsequently, 1 µl PI (10 </w:t>
      </w:r>
      <w:proofErr w:type="spellStart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nM</w:t>
      </w:r>
      <w:proofErr w:type="spellEnd"/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) was added to each tube and incubation was continued at 37</w:t>
      </w:r>
      <w:r w:rsidR="00B01AA8" w:rsidRPr="00B01AA8">
        <w:rPr>
          <w:rFonts w:ascii="Times New Roman" w:eastAsia="楷体_GB2312" w:hAnsi="Times New Roman" w:cs="Times New Roman" w:hint="eastAsia"/>
          <w:sz w:val="24"/>
          <w:szCs w:val="28"/>
        </w:rPr>
        <w:t>℃</w:t>
      </w:r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 xml:space="preserve"> for an additional 10 min under light-protected conditions. Samples were then centrifuged at 1,200 rpm for 5 min, the supernatant was discarded, and cells were resuspended in 500 µl 1</w:t>
      </w:r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×</w:t>
      </w:r>
      <w:r w:rsidRPr="00A958FC">
        <w:rPr>
          <w:rFonts w:ascii="Times New Roman" w:eastAsia="楷体_GB2312" w:hAnsi="Times New Roman" w:cs="Times New Roman" w:hint="eastAsia"/>
          <w:sz w:val="24"/>
          <w:szCs w:val="28"/>
        </w:rPr>
        <w:t>PBS. Live and dead cells were visualized using a Leica TCS SP8 confocal laser scanning microscope (Leica Microsystems, Germany) under appropriate excitation and emission wavelengths.</w:t>
      </w:r>
    </w:p>
    <w:p w14:paraId="22515C4B" w14:textId="34D4CF06" w:rsidR="00D81A0F" w:rsidRDefault="00000000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8"/>
        </w:rPr>
      </w:pPr>
      <w:r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Cell Viability Assay:</w:t>
      </w:r>
    </w:p>
    <w:p w14:paraId="56460567" w14:textId="446C142E" w:rsidR="00107A1A" w:rsidRDefault="00000000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8"/>
        </w:rPr>
      </w:pPr>
      <w:r>
        <w:rPr>
          <w:rFonts w:ascii="Times New Roman" w:eastAsia="楷体_GB2312" w:hAnsi="Times New Roman" w:cs="Times New Roman" w:hint="eastAsia"/>
          <w:sz w:val="24"/>
          <w:szCs w:val="28"/>
        </w:rPr>
        <w:t>Cell viability was assessed using the Cell Counting Kit-8 (CCK-8; HY-K0301, MCE, New Jersey, USA) following the manufacturer</w:t>
      </w:r>
      <w:r w:rsidR="00253A81">
        <w:rPr>
          <w:rFonts w:ascii="Times New Roman" w:eastAsia="楷体_GB2312" w:hAnsi="Times New Roman" w:cs="Times New Roman"/>
          <w:sz w:val="24"/>
          <w:szCs w:val="28"/>
        </w:rPr>
        <w:t>’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s instructions. Briefly, 10,000 cells per well were seeded into 96-well plates and exposed to designated treatments for specified durations. Subsequently, CCK-8 reagent was added to each well at a ratio of culture medium to CCK-8 of 10:1. The plates were incubated at 37</w:t>
      </w:r>
      <w:r w:rsidR="00B01AA8" w:rsidRPr="00B01AA8">
        <w:rPr>
          <w:rFonts w:ascii="Times New Roman" w:eastAsia="楷体_GB2312" w:hAnsi="Times New Roman" w:cs="Times New Roman" w:hint="eastAsia"/>
          <w:sz w:val="24"/>
          <w:szCs w:val="28"/>
        </w:rPr>
        <w:t>℃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in the dark for 2 hours. Absorbance was measured at 450 nm using a microplate reader, and cell viability was calculated accordingly.</w:t>
      </w:r>
    </w:p>
    <w:p w14:paraId="3D5FF486" w14:textId="77777777" w:rsidR="00F215F5" w:rsidRDefault="00000000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8"/>
        </w:rPr>
      </w:pPr>
      <w:r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Seven-Day Survival Analysis in Mice:</w:t>
      </w:r>
    </w:p>
    <w:p w14:paraId="107720CB" w14:textId="488F5295" w:rsidR="00107A1A" w:rsidRDefault="00000000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8"/>
        </w:rPr>
      </w:pPr>
      <w:r>
        <w:rPr>
          <w:rFonts w:ascii="Times New Roman" w:eastAsia="楷体_GB2312" w:hAnsi="Times New Roman" w:cs="Times New Roman" w:hint="eastAsia"/>
          <w:sz w:val="24"/>
          <w:szCs w:val="28"/>
        </w:rPr>
        <w:lastRenderedPageBreak/>
        <w:t>Briefly, mice were allocated into three groups: sham-operated (</w:t>
      </w:r>
      <w:r w:rsidRPr="00F215F5">
        <w:rPr>
          <w:rFonts w:ascii="Times New Roman" w:eastAsia="楷体_GB2312" w:hAnsi="Times New Roman" w:cs="Times New Roman" w:hint="eastAsia"/>
          <w:i/>
          <w:iCs/>
          <w:sz w:val="24"/>
          <w:szCs w:val="28"/>
        </w:rPr>
        <w:t>n = 10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), sepsis (</w:t>
      </w:r>
      <w:r w:rsidRPr="00F215F5">
        <w:rPr>
          <w:rFonts w:ascii="Times New Roman" w:eastAsia="楷体_GB2312" w:hAnsi="Times New Roman" w:cs="Times New Roman" w:hint="eastAsia"/>
          <w:i/>
          <w:iCs/>
          <w:sz w:val="24"/>
          <w:szCs w:val="28"/>
        </w:rPr>
        <w:t>n = 15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), and HUMSCs-Exo treatment (</w:t>
      </w:r>
      <w:r w:rsidRPr="00F215F5">
        <w:rPr>
          <w:rFonts w:ascii="Times New Roman" w:eastAsia="楷体_GB2312" w:hAnsi="Times New Roman" w:cs="Times New Roman" w:hint="eastAsia"/>
          <w:i/>
          <w:iCs/>
          <w:sz w:val="24"/>
          <w:szCs w:val="28"/>
        </w:rPr>
        <w:t>n = 15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). Following CLP surgery, all animals were monitored every 6 hours for a period of 12 consecutive days. Survival data were recorded, and seven-day survival rates were analyzed using the Kaplan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–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Meier method.</w:t>
      </w:r>
    </w:p>
    <w:p w14:paraId="5F55E0B4" w14:textId="77777777" w:rsidR="00107A1A" w:rsidRDefault="00000000" w:rsidP="008041C9">
      <w:pPr>
        <w:spacing w:line="276" w:lineRule="auto"/>
        <w:rPr>
          <w:rFonts w:ascii="Times New Roman" w:eastAsia="楷体_GB2312" w:hAnsi="Times New Roman" w:cs="Times New Roman"/>
          <w:sz w:val="24"/>
          <w:szCs w:val="28"/>
        </w:rPr>
      </w:pPr>
      <w:r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Liver tissue pathological injury score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：</w:t>
      </w:r>
    </w:p>
    <w:tbl>
      <w:tblPr>
        <w:tblStyle w:val="ac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6883"/>
      </w:tblGrid>
      <w:tr w:rsidR="00107A1A" w14:paraId="5A0ABF0E" w14:textId="77777777">
        <w:tc>
          <w:tcPr>
            <w:tcW w:w="1413" w:type="dxa"/>
            <w:tcBorders>
              <w:bottom w:val="single" w:sz="4" w:space="0" w:color="auto"/>
            </w:tcBorders>
          </w:tcPr>
          <w:p w14:paraId="7C9A5445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Grade</w:t>
            </w:r>
          </w:p>
        </w:tc>
        <w:tc>
          <w:tcPr>
            <w:tcW w:w="6883" w:type="dxa"/>
            <w:tcBorders>
              <w:bottom w:val="single" w:sz="4" w:space="0" w:color="auto"/>
            </w:tcBorders>
          </w:tcPr>
          <w:p w14:paraId="479FD713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Degree of liver tissue damage</w:t>
            </w:r>
          </w:p>
        </w:tc>
      </w:tr>
      <w:tr w:rsidR="00107A1A" w14:paraId="7E4C4891" w14:textId="77777777">
        <w:tc>
          <w:tcPr>
            <w:tcW w:w="1413" w:type="dxa"/>
            <w:tcBorders>
              <w:top w:val="single" w:sz="4" w:space="0" w:color="auto"/>
            </w:tcBorders>
          </w:tcPr>
          <w:p w14:paraId="69505D0A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Grade 0</w:t>
            </w:r>
          </w:p>
        </w:tc>
        <w:tc>
          <w:tcPr>
            <w:tcW w:w="6883" w:type="dxa"/>
            <w:tcBorders>
              <w:top w:val="single" w:sz="4" w:space="0" w:color="auto"/>
            </w:tcBorders>
          </w:tcPr>
          <w:p w14:paraId="4B0E4A7C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no pathological change</w:t>
            </w:r>
          </w:p>
        </w:tc>
      </w:tr>
      <w:tr w:rsidR="00107A1A" w14:paraId="4DE14166" w14:textId="77777777">
        <w:tc>
          <w:tcPr>
            <w:tcW w:w="1413" w:type="dxa"/>
          </w:tcPr>
          <w:p w14:paraId="4F88D47E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Grade 1</w:t>
            </w:r>
          </w:p>
        </w:tc>
        <w:tc>
          <w:tcPr>
            <w:tcW w:w="6883" w:type="dxa"/>
          </w:tcPr>
          <w:p w14:paraId="4F4CBC51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presence of degenerated hepatocytes with only rare foci of necrosis</w:t>
            </w:r>
          </w:p>
        </w:tc>
      </w:tr>
      <w:tr w:rsidR="00107A1A" w14:paraId="158FE4A4" w14:textId="77777777">
        <w:tc>
          <w:tcPr>
            <w:tcW w:w="1413" w:type="dxa"/>
          </w:tcPr>
          <w:p w14:paraId="5596B4F4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Grade 2</w:t>
            </w:r>
          </w:p>
        </w:tc>
        <w:tc>
          <w:tcPr>
            <w:tcW w:w="6883" w:type="dxa"/>
          </w:tcPr>
          <w:p w14:paraId="11A8D8BF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small area of mild centrilobular necrosis around the central vein</w:t>
            </w:r>
          </w:p>
        </w:tc>
      </w:tr>
      <w:tr w:rsidR="00107A1A" w14:paraId="172B9FAC" w14:textId="77777777">
        <w:tc>
          <w:tcPr>
            <w:tcW w:w="1413" w:type="dxa"/>
          </w:tcPr>
          <w:p w14:paraId="4C432578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Grade 3</w:t>
            </w:r>
          </w:p>
        </w:tc>
        <w:tc>
          <w:tcPr>
            <w:tcW w:w="6883" w:type="dxa"/>
          </w:tcPr>
          <w:p w14:paraId="470147C8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area of mild centrilobular necrosis severer than Grade 2</w:t>
            </w:r>
          </w:p>
        </w:tc>
      </w:tr>
      <w:tr w:rsidR="00107A1A" w14:paraId="00649D1D" w14:textId="77777777">
        <w:tc>
          <w:tcPr>
            <w:tcW w:w="1413" w:type="dxa"/>
          </w:tcPr>
          <w:p w14:paraId="7F993F0E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Grade 4</w:t>
            </w:r>
          </w:p>
        </w:tc>
        <w:tc>
          <w:tcPr>
            <w:tcW w:w="6883" w:type="dxa"/>
          </w:tcPr>
          <w:p w14:paraId="3514F76B" w14:textId="77777777" w:rsidR="00107A1A" w:rsidRDefault="00000000" w:rsidP="008041C9">
            <w:pPr>
              <w:spacing w:line="276" w:lineRule="auto"/>
              <w:rPr>
                <w:rFonts w:ascii="Times New Roman" w:eastAsia="楷体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8"/>
              </w:rPr>
              <w:t>centrilobular necrosis severer than Grade 3</w:t>
            </w:r>
          </w:p>
        </w:tc>
      </w:tr>
    </w:tbl>
    <w:p w14:paraId="074285F6" w14:textId="77777777" w:rsidR="00F215F5" w:rsidRDefault="00000000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8"/>
        </w:rPr>
      </w:pPr>
      <w:r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Western Blotting:</w:t>
      </w:r>
    </w:p>
    <w:p w14:paraId="4337CE4F" w14:textId="675474CC" w:rsidR="00107A1A" w:rsidRDefault="00000000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8"/>
        </w:rPr>
      </w:pP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Briefly, cells were lysed in RIPA buffer (HX1862-1,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Huaxingbio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, Beijing, China) supplemented with phosphatase inhibitor (HX1864,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Huaxingbio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) and protease inhibitor (HX1863,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Huaxingbio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>), followed by incubation at 4</w:t>
      </w:r>
      <w:r w:rsidR="00B01AA8" w:rsidRPr="00B01AA8">
        <w:rPr>
          <w:rFonts w:ascii="Times New Roman" w:eastAsia="楷体_GB2312" w:hAnsi="Times New Roman" w:cs="Times New Roman" w:hint="eastAsia"/>
          <w:sz w:val="24"/>
          <w:szCs w:val="28"/>
        </w:rPr>
        <w:t>℃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for 30 minutes with intermittent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vortexing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(30 seconds every 5 minutes). After incubation, lysates underwent three cycles of freeze-thaw using liquid nitrogen and a 37</w:t>
      </w:r>
      <w:r w:rsidR="00B01AA8" w:rsidRPr="00B01AA8">
        <w:rPr>
          <w:rFonts w:ascii="Times New Roman" w:eastAsia="楷体_GB2312" w:hAnsi="Times New Roman" w:cs="Times New Roman" w:hint="eastAsia"/>
          <w:sz w:val="24"/>
          <w:szCs w:val="28"/>
        </w:rPr>
        <w:t>℃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water bath. The samples were then centrifuged at 12,000 rpm for 30 minutes at 4</w:t>
      </w:r>
      <w:r w:rsidR="00B01AA8" w:rsidRPr="00B01AA8">
        <w:rPr>
          <w:rFonts w:ascii="Times New Roman" w:eastAsia="楷体_GB2312" w:hAnsi="Times New Roman" w:cs="Times New Roman" w:hint="eastAsia"/>
          <w:sz w:val="24"/>
          <w:szCs w:val="28"/>
        </w:rPr>
        <w:t>℃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, and the supernatants were collected. Protein concentrations were quantified using a BCA Protein Assay Kit (HX18651,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Huaxingbio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>). SDS-PAGE gels (10% or 12.5%) were prepared using the Omni-Easy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™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One-Step Color PAGE Gel Rapid Preparation Kit (PG213,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EpiZyme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, Shanghai, China), and electrophoresis was conducted at a constant voltage of 130 V. Proteins were transferred onto PVDF membranes (GVWP04700, Merck, Darmstadt, Germany) using a constant current of 200 mA. Membranes were then blocked with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NcmBlot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blocking buffer (P30500, New Cell &amp; Molecular Biotech Co., Ltd, Suzhou, China) for 30 minutes at room temperature with gentle agitation. Following blocking, membranes were washed 2</w:t>
      </w:r>
      <w:r w:rsidR="00B01AA8">
        <w:rPr>
          <w:rFonts w:ascii="Times New Roman" w:eastAsia="楷体_GB2312" w:hAnsi="Times New Roman" w:cs="Times New Roman" w:hint="eastAsia"/>
          <w:sz w:val="24"/>
          <w:szCs w:val="28"/>
        </w:rPr>
        <w:t>-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3 times with 1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×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TBST (G0004,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Servicebio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>, Wuhan, China), incubated with primary antibodies overnight at 4</w:t>
      </w:r>
      <w:r w:rsidR="00B01AA8" w:rsidRPr="00B01AA8">
        <w:rPr>
          <w:rFonts w:ascii="Times New Roman" w:eastAsia="楷体_GB2312" w:hAnsi="Times New Roman" w:cs="Times New Roman" w:hint="eastAsia"/>
          <w:sz w:val="24"/>
          <w:szCs w:val="28"/>
        </w:rPr>
        <w:t>℃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on a shaker, and then washed again (2</w:t>
      </w:r>
      <w:r w:rsidR="00B01AA8">
        <w:rPr>
          <w:rFonts w:ascii="Times New Roman" w:eastAsia="楷体_GB2312" w:hAnsi="Times New Roman" w:cs="Times New Roman" w:hint="eastAsia"/>
          <w:sz w:val="24"/>
          <w:szCs w:val="28"/>
        </w:rPr>
        <w:t>-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3 times, 5 minutes each). Membranes were subsequently incubated with appropriate secondary antibodies for 1 hour at room temperature with shaking. After additional washes with 1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×</w:t>
      </w:r>
      <w:r>
        <w:rPr>
          <w:rFonts w:ascii="Times New Roman" w:eastAsia="楷体_GB2312" w:hAnsi="Times New Roman" w:cs="Times New Roman" w:hint="eastAsia"/>
          <w:sz w:val="24"/>
          <w:szCs w:val="28"/>
        </w:rPr>
        <w:t>TBST, immunoreactive bands were visualized by chemiluminescence. Band intensities were quantified using ImageJ software to determine relative protein expression levels across groups.</w:t>
      </w:r>
    </w:p>
    <w:p w14:paraId="6B169749" w14:textId="77777777" w:rsidR="00F215F5" w:rsidRDefault="00000000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8"/>
        </w:rPr>
      </w:pPr>
      <w:r>
        <w:rPr>
          <w:rFonts w:ascii="Times New Roman" w:eastAsia="楷体_GB2312" w:hAnsi="Times New Roman" w:cs="Times New Roman" w:hint="eastAsia"/>
          <w:b/>
          <w:bCs/>
          <w:sz w:val="24"/>
          <w:szCs w:val="28"/>
        </w:rPr>
        <w:t>HUMSCs Labeling and In Vivo Tracking in Mice:</w:t>
      </w:r>
    </w:p>
    <w:p w14:paraId="0DD7EAC7" w14:textId="399711E4" w:rsidR="00107A1A" w:rsidRDefault="00000000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8"/>
        </w:rPr>
      </w:pP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HUMSCs were labeled with the lipophilic carbocyanine dye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DiR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(D12731,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Thermo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Scientific, MA, USA). As previously described, a murine sepsis model was established. At 2 hours post-CLP, </w:t>
      </w:r>
      <w:proofErr w:type="spellStart"/>
      <w:r>
        <w:rPr>
          <w:rFonts w:ascii="Times New Roman" w:eastAsia="楷体_GB2312" w:hAnsi="Times New Roman" w:cs="Times New Roman" w:hint="eastAsia"/>
          <w:sz w:val="24"/>
          <w:szCs w:val="28"/>
        </w:rPr>
        <w:t>DiR</w:t>
      </w:r>
      <w:proofErr w:type="spellEnd"/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-labeled HUMSCs </w:t>
      </w:r>
      <w:r w:rsidRPr="00F215F5">
        <w:rPr>
          <w:rFonts w:ascii="Times New Roman" w:eastAsia="楷体_GB2312" w:hAnsi="Times New Roman" w:cs="Times New Roman" w:hint="eastAsia"/>
          <w:sz w:val="24"/>
          <w:szCs w:val="28"/>
        </w:rPr>
        <w:t>(</w:t>
      </w:r>
      <w:r w:rsidR="00F215F5" w:rsidRPr="00F215F5">
        <w:rPr>
          <w:rFonts w:ascii="Times New Roman" w:eastAsia="楷体_GB2312" w:hAnsi="Times New Roman" w:cs="Times New Roman" w:hint="eastAsia"/>
          <w:sz w:val="24"/>
          <w:szCs w:val="28"/>
        </w:rPr>
        <w:t>1</w:t>
      </w:r>
      <w:r w:rsidR="00F215F5" w:rsidRPr="00F215F5">
        <w:rPr>
          <w:rFonts w:ascii="Times New Roman" w:eastAsia="楷体_GB2312" w:hAnsi="Times New Roman" w:cs="Times New Roman" w:hint="eastAsia"/>
          <w:sz w:val="24"/>
          <w:szCs w:val="28"/>
        </w:rPr>
        <w:t>×</w:t>
      </w:r>
      <w:r w:rsidR="00F215F5" w:rsidRPr="00F215F5">
        <w:rPr>
          <w:rFonts w:ascii="Times New Roman" w:eastAsia="楷体_GB2312" w:hAnsi="Times New Roman" w:cs="Times New Roman" w:hint="eastAsia"/>
          <w:sz w:val="24"/>
          <w:szCs w:val="28"/>
        </w:rPr>
        <w:t>10</w:t>
      </w:r>
      <w:r w:rsidR="00F215F5" w:rsidRPr="00F215F5">
        <w:rPr>
          <w:rFonts w:ascii="Times New Roman" w:eastAsia="楷体_GB2312" w:hAnsi="Times New Roman" w:cs="Times New Roman" w:hint="eastAsia"/>
          <w:sz w:val="24"/>
          <w:szCs w:val="28"/>
          <w:vertAlign w:val="superscript"/>
        </w:rPr>
        <w:t>6</w:t>
      </w:r>
      <w:r w:rsidR="00F215F5" w:rsidRPr="00F215F5">
        <w:rPr>
          <w:rFonts w:ascii="Times New Roman" w:eastAsia="楷体_GB2312" w:hAnsi="Times New Roman" w:cs="Times New Roman" w:hint="eastAsia"/>
          <w:sz w:val="24"/>
          <w:szCs w:val="28"/>
        </w:rPr>
        <w:t xml:space="preserve"> cells</w:t>
      </w:r>
      <w:r w:rsidR="00F215F5">
        <w:rPr>
          <w:rFonts w:ascii="Times New Roman" w:eastAsia="楷体_GB2312" w:hAnsi="Times New Roman" w:cs="Times New Roman" w:hint="eastAsia"/>
          <w:sz w:val="24"/>
          <w:szCs w:val="28"/>
        </w:rPr>
        <w:t>/mouse</w:t>
      </w:r>
      <w:r w:rsidRPr="00F215F5">
        <w:rPr>
          <w:rFonts w:ascii="Times New Roman" w:eastAsia="楷体_GB2312" w:hAnsi="Times New Roman" w:cs="Times New Roman" w:hint="eastAsia"/>
          <w:sz w:val="24"/>
          <w:szCs w:val="28"/>
        </w:rPr>
        <w:t>)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were administered via tail vein injection into both sham-operated and septic mice (</w:t>
      </w:r>
      <w:r w:rsidRPr="00F215F5">
        <w:rPr>
          <w:rFonts w:ascii="Times New Roman" w:eastAsia="楷体_GB2312" w:hAnsi="Times New Roman" w:cs="Times New Roman" w:hint="eastAsia"/>
          <w:i/>
          <w:iCs/>
          <w:sz w:val="24"/>
          <w:szCs w:val="28"/>
        </w:rPr>
        <w:t>n = 5</w:t>
      </w: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). </w:t>
      </w:r>
      <w:r>
        <w:rPr>
          <w:rFonts w:ascii="Times New Roman" w:eastAsia="楷体_GB2312" w:hAnsi="Times New Roman" w:cs="Times New Roman" w:hint="eastAsia"/>
          <w:sz w:val="24"/>
          <w:szCs w:val="28"/>
        </w:rPr>
        <w:lastRenderedPageBreak/>
        <w:t>All animals were anesthetized with isoflurane, and in vivo imaging was performed at 6 and 24 hours post-injection using the IVIS Spectrum imaging system (PerkinElmer). Mice were subsequently euthanized via cervical dislocation, and livers were harvested for ex vivo fluorescence imaging.</w:t>
      </w:r>
    </w:p>
    <w:p w14:paraId="1A288065" w14:textId="77777777" w:rsidR="00F215F5" w:rsidRDefault="00000000" w:rsidP="008041C9">
      <w:pPr>
        <w:spacing w:line="276" w:lineRule="auto"/>
        <w:rPr>
          <w:rFonts w:ascii="Times New Roman" w:eastAsia="楷体_GB2312" w:hAnsi="Times New Roman" w:cs="Times New Roman"/>
          <w:b/>
          <w:bCs/>
          <w:sz w:val="24"/>
          <w:szCs w:val="28"/>
        </w:rPr>
      </w:pPr>
      <w:r>
        <w:rPr>
          <w:rFonts w:ascii="Times New Roman" w:eastAsia="楷体_GB2312" w:hAnsi="Times New Roman" w:cs="Times New Roman"/>
          <w:b/>
          <w:bCs/>
          <w:sz w:val="24"/>
          <w:szCs w:val="28"/>
        </w:rPr>
        <w:t xml:space="preserve">Tissue </w:t>
      </w:r>
      <w:proofErr w:type="spellStart"/>
      <w:r>
        <w:rPr>
          <w:rFonts w:ascii="Times New Roman" w:eastAsia="楷体_GB2312" w:hAnsi="Times New Roman" w:cs="Times New Roman"/>
          <w:b/>
          <w:bCs/>
          <w:sz w:val="24"/>
          <w:szCs w:val="28"/>
        </w:rPr>
        <w:t>Cryosectioning</w:t>
      </w:r>
      <w:proofErr w:type="spellEnd"/>
      <w:r>
        <w:rPr>
          <w:rFonts w:ascii="Times New Roman" w:eastAsia="楷体_GB2312" w:hAnsi="Times New Roman" w:cs="Times New Roman"/>
          <w:b/>
          <w:bCs/>
          <w:sz w:val="24"/>
          <w:szCs w:val="28"/>
        </w:rPr>
        <w:t xml:space="preserve"> and Fluorescence Imaging:</w:t>
      </w:r>
    </w:p>
    <w:p w14:paraId="196150F3" w14:textId="3099DFB9" w:rsidR="00107A1A" w:rsidRDefault="00000000" w:rsidP="008041C9">
      <w:pPr>
        <w:spacing w:line="276" w:lineRule="auto"/>
        <w:ind w:firstLine="420"/>
        <w:rPr>
          <w:rFonts w:ascii="Times New Roman" w:eastAsia="楷体_GB2312" w:hAnsi="Times New Roman" w:cs="Times New Roman"/>
          <w:sz w:val="24"/>
          <w:szCs w:val="28"/>
        </w:rPr>
      </w:pPr>
      <w:r>
        <w:rPr>
          <w:rFonts w:ascii="Times New Roman" w:eastAsia="楷体_GB2312" w:hAnsi="Times New Roman" w:cs="Times New Roman"/>
          <w:sz w:val="24"/>
          <w:szCs w:val="28"/>
        </w:rPr>
        <w:t xml:space="preserve">As previously described, a murine sepsis model was established. At 24 hours post-CLP, liver tissues from all mice—including sham-operated and septic groups—were harvested and fixed in universal tissue fixative (G1101, </w:t>
      </w:r>
      <w:proofErr w:type="spellStart"/>
      <w:r>
        <w:rPr>
          <w:rFonts w:ascii="Times New Roman" w:eastAsia="楷体_GB2312" w:hAnsi="Times New Roman" w:cs="Times New Roman"/>
          <w:sz w:val="24"/>
          <w:szCs w:val="28"/>
        </w:rPr>
        <w:t>Servicebio</w:t>
      </w:r>
      <w:proofErr w:type="spellEnd"/>
      <w:r>
        <w:rPr>
          <w:rFonts w:ascii="Times New Roman" w:eastAsia="楷体_GB2312" w:hAnsi="Times New Roman" w:cs="Times New Roman"/>
          <w:sz w:val="24"/>
          <w:szCs w:val="28"/>
        </w:rPr>
        <w:t xml:space="preserve">, Wuhan, China) to ensure adequate preservation. The samples then underwent </w:t>
      </w:r>
      <w:proofErr w:type="spellStart"/>
      <w:r>
        <w:rPr>
          <w:rFonts w:ascii="Times New Roman" w:eastAsia="楷体_GB2312" w:hAnsi="Times New Roman" w:cs="Times New Roman"/>
          <w:sz w:val="24"/>
          <w:szCs w:val="28"/>
        </w:rPr>
        <w:t>cryosectioning</w:t>
      </w:r>
      <w:proofErr w:type="spellEnd"/>
      <w:r>
        <w:rPr>
          <w:rFonts w:ascii="Times New Roman" w:eastAsia="楷体_GB2312" w:hAnsi="Times New Roman" w:cs="Times New Roman"/>
          <w:sz w:val="24"/>
          <w:szCs w:val="28"/>
        </w:rPr>
        <w:t xml:space="preserve"> followed by a series of steps including antigen retrieval, autofluorescence quenching, blocking, primary antibody incubation, secondary antibody incubation, nuclear counterstaining, and mounting. Fluorescent signals were visualized using a laser scanning confocal microscope.</w:t>
      </w:r>
    </w:p>
    <w:p w14:paraId="0851FE13" w14:textId="77777777" w:rsidR="00107A1A" w:rsidRDefault="00107A1A" w:rsidP="008041C9">
      <w:pPr>
        <w:spacing w:line="276" w:lineRule="auto"/>
        <w:rPr>
          <w:rFonts w:ascii="Times New Roman" w:eastAsia="楷体_GB2312" w:hAnsi="Times New Roman" w:cs="Times New Roman"/>
          <w:sz w:val="24"/>
          <w:szCs w:val="28"/>
        </w:rPr>
      </w:pPr>
    </w:p>
    <w:p w14:paraId="5A2474D6" w14:textId="6459D91D" w:rsidR="00436D13" w:rsidRDefault="00436D13" w:rsidP="008041C9">
      <w:pPr>
        <w:spacing w:line="276" w:lineRule="auto"/>
        <w:rPr>
          <w:rFonts w:ascii="Times New Roman" w:eastAsia="楷体_GB2312" w:hAnsi="Times New Roman" w:cs="Times New Roman"/>
          <w:sz w:val="24"/>
          <w:szCs w:val="28"/>
        </w:rPr>
      </w:pPr>
      <w:r>
        <w:rPr>
          <w:rFonts w:ascii="Times New Roman" w:eastAsia="楷体_GB2312" w:hAnsi="Times New Roman" w:cs="Times New Roman" w:hint="eastAsia"/>
          <w:sz w:val="24"/>
          <w:szCs w:val="28"/>
        </w:rPr>
        <w:t>参考文献：</w:t>
      </w:r>
    </w:p>
    <w:p w14:paraId="0860B331" w14:textId="77777777" w:rsidR="00436D13" w:rsidRDefault="00436D13" w:rsidP="008041C9">
      <w:pPr>
        <w:spacing w:line="276" w:lineRule="auto"/>
        <w:rPr>
          <w:rFonts w:ascii="Times New Roman" w:eastAsia="楷体_GB2312" w:hAnsi="Times New Roman" w:cs="Times New Roman"/>
          <w:sz w:val="24"/>
          <w:szCs w:val="28"/>
        </w:rPr>
      </w:pPr>
    </w:p>
    <w:p w14:paraId="70E6D605" w14:textId="77777777" w:rsidR="00436D13" w:rsidRDefault="00436D13" w:rsidP="008041C9">
      <w:pPr>
        <w:spacing w:line="276" w:lineRule="auto"/>
        <w:rPr>
          <w:rFonts w:ascii="Times New Roman" w:eastAsia="楷体_GB2312" w:hAnsi="Times New Roman" w:cs="Times New Roman"/>
          <w:sz w:val="24"/>
          <w:szCs w:val="28"/>
        </w:rPr>
      </w:pPr>
    </w:p>
    <w:p w14:paraId="359FF954" w14:textId="77777777" w:rsidR="00436D13" w:rsidRDefault="00436D13" w:rsidP="008041C9">
      <w:pPr>
        <w:spacing w:line="276" w:lineRule="auto"/>
        <w:rPr>
          <w:rFonts w:ascii="Times New Roman" w:eastAsia="楷体_GB2312" w:hAnsi="Times New Roman" w:cs="Times New Roman" w:hint="eastAsia"/>
          <w:sz w:val="24"/>
          <w:szCs w:val="28"/>
        </w:rPr>
      </w:pPr>
    </w:p>
    <w:sectPr w:rsidR="00436D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7ECBE" w14:textId="77777777" w:rsidR="000A6B7D" w:rsidRDefault="000A6B7D" w:rsidP="006B3E4A">
      <w:pPr>
        <w:rPr>
          <w:rFonts w:hint="eastAsia"/>
        </w:rPr>
      </w:pPr>
      <w:r>
        <w:separator/>
      </w:r>
    </w:p>
  </w:endnote>
  <w:endnote w:type="continuationSeparator" w:id="0">
    <w:p w14:paraId="00E56745" w14:textId="77777777" w:rsidR="000A6B7D" w:rsidRDefault="000A6B7D" w:rsidP="006B3E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B76C" w14:textId="77777777" w:rsidR="000A6B7D" w:rsidRDefault="000A6B7D" w:rsidP="006B3E4A">
      <w:pPr>
        <w:rPr>
          <w:rFonts w:hint="eastAsia"/>
        </w:rPr>
      </w:pPr>
      <w:r>
        <w:separator/>
      </w:r>
    </w:p>
  </w:footnote>
  <w:footnote w:type="continuationSeparator" w:id="0">
    <w:p w14:paraId="70D99046" w14:textId="77777777" w:rsidR="000A6B7D" w:rsidRDefault="000A6B7D" w:rsidP="006B3E4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DC2"/>
    <w:rsid w:val="000462ED"/>
    <w:rsid w:val="00077E46"/>
    <w:rsid w:val="000807C0"/>
    <w:rsid w:val="000A6B7D"/>
    <w:rsid w:val="000A6C62"/>
    <w:rsid w:val="000D3026"/>
    <w:rsid w:val="000F5F3B"/>
    <w:rsid w:val="00107A1A"/>
    <w:rsid w:val="00112551"/>
    <w:rsid w:val="00115EF5"/>
    <w:rsid w:val="001235A7"/>
    <w:rsid w:val="00180B4D"/>
    <w:rsid w:val="001831D5"/>
    <w:rsid w:val="001A38E2"/>
    <w:rsid w:val="001B0DC2"/>
    <w:rsid w:val="001B6DCB"/>
    <w:rsid w:val="00212CC5"/>
    <w:rsid w:val="00253840"/>
    <w:rsid w:val="00253A81"/>
    <w:rsid w:val="002C1F7A"/>
    <w:rsid w:val="00333545"/>
    <w:rsid w:val="00357265"/>
    <w:rsid w:val="0036316D"/>
    <w:rsid w:val="00396977"/>
    <w:rsid w:val="00396FDE"/>
    <w:rsid w:val="003F2BF6"/>
    <w:rsid w:val="00436D13"/>
    <w:rsid w:val="00486A40"/>
    <w:rsid w:val="004A46F3"/>
    <w:rsid w:val="004C35FD"/>
    <w:rsid w:val="00552100"/>
    <w:rsid w:val="005700D2"/>
    <w:rsid w:val="005C6793"/>
    <w:rsid w:val="006276FD"/>
    <w:rsid w:val="00632ACE"/>
    <w:rsid w:val="00654675"/>
    <w:rsid w:val="006B3E4A"/>
    <w:rsid w:val="006D22DA"/>
    <w:rsid w:val="007123EB"/>
    <w:rsid w:val="00773894"/>
    <w:rsid w:val="007775E0"/>
    <w:rsid w:val="008041C9"/>
    <w:rsid w:val="0081567F"/>
    <w:rsid w:val="00823EA0"/>
    <w:rsid w:val="00840A87"/>
    <w:rsid w:val="009F79D1"/>
    <w:rsid w:val="00A438DF"/>
    <w:rsid w:val="00A7492E"/>
    <w:rsid w:val="00A958FC"/>
    <w:rsid w:val="00AE6DBD"/>
    <w:rsid w:val="00B01AA8"/>
    <w:rsid w:val="00BB3768"/>
    <w:rsid w:val="00BD366B"/>
    <w:rsid w:val="00BD4F7C"/>
    <w:rsid w:val="00C02ECB"/>
    <w:rsid w:val="00C67A64"/>
    <w:rsid w:val="00D21540"/>
    <w:rsid w:val="00D54581"/>
    <w:rsid w:val="00D81A0F"/>
    <w:rsid w:val="00D82550"/>
    <w:rsid w:val="00DA2869"/>
    <w:rsid w:val="00DB3E69"/>
    <w:rsid w:val="00E30E17"/>
    <w:rsid w:val="00EC59AC"/>
    <w:rsid w:val="00EF1288"/>
    <w:rsid w:val="00F215F5"/>
    <w:rsid w:val="00FD2958"/>
    <w:rsid w:val="048C2DBB"/>
    <w:rsid w:val="0FCA3B6C"/>
    <w:rsid w:val="1A1512D0"/>
    <w:rsid w:val="79EC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8F8DD"/>
  <w15:docId w15:val="{70806E6C-3828-452C-AE5C-194F2E04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f3">
    <w:name w:val="Hyperlink"/>
    <w:basedOn w:val="a0"/>
    <w:uiPriority w:val="99"/>
    <w:unhideWhenUsed/>
    <w:rsid w:val="006B3E4A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6B3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3914</Words>
  <Characters>5560</Characters>
  <Application>Microsoft Office Word</Application>
  <DocSecurity>0</DocSecurity>
  <Lines>142</Lines>
  <Paragraphs>29</Paragraphs>
  <ScaleCrop>false</ScaleCrop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奕奇 吴</dc:creator>
  <cp:lastModifiedBy>奕奇 吴</cp:lastModifiedBy>
  <cp:revision>11</cp:revision>
  <dcterms:created xsi:type="dcterms:W3CDTF">2025-06-23T09:32:00Z</dcterms:created>
  <dcterms:modified xsi:type="dcterms:W3CDTF">2026-02-12T14:09:00Z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eyJoZGlkIjoiMjQ3N2I0M2ZhMmI4NGMyOGVjMDRhOTM0Mjk2YjdhODYiLCJ1c2VySWQiOiIzMzEwNTI3ODEifQ==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F57FB68ABD8F44779C27F4A312F72C08_12</vt:lpwstr>
  </property>
</Properties>
</file>