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26B83" w14:textId="77777777" w:rsidR="00BE5A65" w:rsidRPr="00B57B91" w:rsidRDefault="00BE5A65" w:rsidP="00BE5A65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noProof/>
          <w:color w:val="000000" w:themeColor="text1"/>
          <w:sz w:val="24"/>
          <w:szCs w:val="24"/>
        </w:rPr>
        <w:drawing>
          <wp:inline distT="0" distB="0" distL="0" distR="0" wp14:anchorId="12AA0788" wp14:editId="1FEFB3E4">
            <wp:extent cx="5271770" cy="2611755"/>
            <wp:effectExtent l="0" t="0" r="5080" b="0"/>
            <wp:docPr id="119492316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61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37063" w14:textId="77777777" w:rsidR="00BE5A65" w:rsidRPr="005C3055" w:rsidRDefault="00BE5A65" w:rsidP="00BE5A65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305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Supplementary Figure 1.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NM@MRP-NP</w:t>
      </w:r>
      <w:r w:rsidRPr="005C305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promotes the apoptosis of PBMC in an MMP2-responsive manner.</w:t>
      </w:r>
    </w:p>
    <w:p w14:paraId="1CBB39BE" w14:textId="77777777" w:rsidR="00BE5A65" w:rsidRDefault="00BE5A65" w:rsidP="00BE5A65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Flow cytometric analysis of the 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proportions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viable cells treated with vehicle, free AZD1208, </w:t>
      </w:r>
      <w:r>
        <w:rPr>
          <w:rFonts w:ascii="Times New Roman" w:hAnsi="Times New Roman" w:cs="Times New Roman"/>
          <w:kern w:val="0"/>
          <w:sz w:val="24"/>
          <w:szCs w:val="24"/>
        </w:rPr>
        <w:t>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kern w:val="0"/>
          <w:sz w:val="24"/>
          <w:szCs w:val="24"/>
        </w:rPr>
        <w:t>NM@MRP-NP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MMP2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or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NM@MRP-NP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+MMP2 (n=9). The statistical analysis was performed via one-way ANOVA followed by Bonferroni’s post hoc comparisons test. **** 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indicates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p&lt;0.0001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n.s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indicates no 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statistical significance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55A2F534" w14:textId="77777777" w:rsidR="00BE5A65" w:rsidRPr="00D2488A" w:rsidRDefault="00BE5A65" w:rsidP="00BE5A65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49D4F03E" wp14:editId="09116021">
            <wp:extent cx="5271770" cy="7571740"/>
            <wp:effectExtent l="0" t="0" r="5080" b="0"/>
            <wp:docPr id="183397205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757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5BB28" w14:textId="77777777" w:rsidR="00BE5A65" w:rsidRPr="005C3055" w:rsidRDefault="00BE5A65" w:rsidP="00BE5A65">
      <w:pPr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C305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Supplementary Figure 2. Effects of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NM@MRP-NP</w:t>
      </w:r>
      <w:r w:rsidRPr="005C305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on the differentiation of Th1, Th2 and Treg cells</w:t>
      </w:r>
    </w:p>
    <w:p w14:paraId="5C09E39E" w14:textId="77777777" w:rsidR="00BE5A65" w:rsidRDefault="00BE5A65" w:rsidP="00BE5A65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(A) Flow cytometric analysis of the 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proportions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Th1 cells treated with vehicle, free 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AZD1208, </w:t>
      </w:r>
      <w:r>
        <w:rPr>
          <w:rFonts w:ascii="Times New Roman" w:hAnsi="Times New Roman" w:cs="Times New Roman"/>
          <w:kern w:val="0"/>
          <w:sz w:val="24"/>
          <w:szCs w:val="24"/>
        </w:rPr>
        <w:t>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kern w:val="0"/>
          <w:sz w:val="24"/>
          <w:szCs w:val="24"/>
        </w:rPr>
        <w:t>NM@MRP-NP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MMP2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or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NM@MRP-NP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+MMP2 (n=9). (B) Flow cytometric analysis of the 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proportions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Th2 cells treated with vehicle, free AZD1208, </w:t>
      </w:r>
      <w:r>
        <w:rPr>
          <w:rFonts w:ascii="Times New Roman" w:hAnsi="Times New Roman" w:cs="Times New Roman"/>
          <w:kern w:val="0"/>
          <w:sz w:val="24"/>
          <w:szCs w:val="24"/>
        </w:rPr>
        <w:t>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kern w:val="0"/>
          <w:sz w:val="24"/>
          <w:szCs w:val="24"/>
        </w:rPr>
        <w:t>NM@MRP-NP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MMP2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or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NM@MRP-NP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+MMP2 (n=9). (C) Flow cytometric analysis of the 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proportions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Treg cells treated with vehicle, free AZD1208, </w:t>
      </w:r>
      <w:r>
        <w:rPr>
          <w:rFonts w:ascii="Times New Roman" w:hAnsi="Times New Roman" w:cs="Times New Roman"/>
          <w:kern w:val="0"/>
          <w:sz w:val="24"/>
          <w:szCs w:val="24"/>
        </w:rPr>
        <w:t>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kern w:val="0"/>
          <w:sz w:val="24"/>
          <w:szCs w:val="24"/>
        </w:rPr>
        <w:t>NM@MRP-NP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MMP2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or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NM@MRP-NP</w:t>
      </w:r>
      <w:r w:rsidRPr="00CB49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+MMP2 (n=9). The statistical analyses were performed as follows: one-way ANOVA followed by Bonferroni’s post hoc comparisons test (A-C). * </w:t>
      </w:r>
      <w:proofErr w:type="gramStart"/>
      <w:r w:rsidRPr="00CB4933">
        <w:rPr>
          <w:rFonts w:ascii="Times New Roman" w:hAnsi="Times New Roman" w:cs="Times New Roman"/>
          <w:color w:val="000000" w:themeColor="text1"/>
          <w:sz w:val="24"/>
          <w:szCs w:val="24"/>
        </w:rPr>
        <w:t>indicates</w:t>
      </w:r>
      <w:proofErr w:type="gramEnd"/>
      <w:r w:rsidRPr="00CB49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p&lt;0.05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n.s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indicates no 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statistical significance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026E086F" w14:textId="77777777" w:rsidR="00BE5A65" w:rsidRPr="00D2488A" w:rsidRDefault="00BE5A65" w:rsidP="00BE5A65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14:ligatures w14:val="standardContextual"/>
        </w:rPr>
        <w:lastRenderedPageBreak/>
        <w:drawing>
          <wp:inline distT="0" distB="0" distL="0" distR="0" wp14:anchorId="7AA19126" wp14:editId="234A63BB">
            <wp:extent cx="5274310" cy="6492875"/>
            <wp:effectExtent l="0" t="0" r="2540" b="3175"/>
            <wp:docPr id="107251456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514564" name="图片 107251456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49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62A3E" w14:textId="77777777" w:rsidR="00BE5A65" w:rsidRPr="005C3055" w:rsidRDefault="00BE5A65" w:rsidP="00BE5A65">
      <w:pPr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C305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Supplementary Figure 3. Safety of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NM@MRP-NP</w:t>
      </w:r>
      <w:r w:rsidRPr="005C305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in vivo</w:t>
      </w:r>
    </w:p>
    <w:p w14:paraId="68CF74E6" w14:textId="77777777" w:rsidR="00BE5A65" w:rsidRDefault="00BE5A65" w:rsidP="00BE5A65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(A) 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Changes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the 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body 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weights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SKG mice after treatment with vehicle, free AZD1208, </w:t>
      </w:r>
      <w:r>
        <w:rPr>
          <w:rFonts w:ascii="Times New Roman" w:hAnsi="Times New Roman" w:cs="Times New Roman"/>
          <w:kern w:val="0"/>
          <w:sz w:val="24"/>
          <w:szCs w:val="24"/>
        </w:rPr>
        <w:t>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or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NM@MRP-NP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(n=5). (B) RBC, WBC and PLT </w:t>
      </w:r>
      <w:proofErr w:type="gramStart"/>
      <w:r>
        <w:rPr>
          <w:rFonts w:ascii="Times New Roman" w:eastAsia="等线" w:hAnsi="Times New Roman" w:cs="Times New Roman"/>
          <w:color w:val="000000"/>
          <w:sz w:val="24"/>
          <w:szCs w:val="24"/>
        </w:rPr>
        <w:t>counts</w:t>
      </w:r>
      <w:proofErr w:type="gramEnd"/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SKG mice after treatment with vehicle, free AZD1208, </w:t>
      </w:r>
      <w:r>
        <w:rPr>
          <w:rFonts w:ascii="Times New Roman" w:hAnsi="Times New Roman" w:cs="Times New Roman"/>
          <w:kern w:val="0"/>
          <w:sz w:val="24"/>
          <w:szCs w:val="24"/>
        </w:rPr>
        <w:t>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or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NM@MRP-NP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(n=5). (C) Serum ALT and AST 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levels in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SKG mice after treatment with vehicle, free AZD1208, </w:t>
      </w:r>
      <w:r>
        <w:rPr>
          <w:rFonts w:ascii="Times New Roman" w:hAnsi="Times New Roman" w:cs="Times New Roman"/>
          <w:kern w:val="0"/>
          <w:sz w:val="24"/>
          <w:szCs w:val="24"/>
        </w:rPr>
        <w:t>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or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NM@MRP-NP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(n=5). (D) Serum creatinine and BUN 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levels in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SKG mice after treatment with vehicle, free AZD1208, </w:t>
      </w:r>
      <w:r>
        <w:rPr>
          <w:rFonts w:ascii="Times New Roman" w:hAnsi="Times New Roman" w:cs="Times New Roman"/>
          <w:kern w:val="0"/>
          <w:sz w:val="24"/>
          <w:szCs w:val="24"/>
        </w:rPr>
        <w:t>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or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NM@MRP-NP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(n=5). (E) H&amp;E staining analysis of the major organs of SKG mice after treatment with vehicle, free AZD1208, </w:t>
      </w:r>
      <w:r>
        <w:rPr>
          <w:rFonts w:ascii="Times New Roman" w:hAnsi="Times New Roman" w:cs="Times New Roman"/>
          <w:kern w:val="0"/>
          <w:sz w:val="24"/>
          <w:szCs w:val="24"/>
        </w:rPr>
        <w:t>MRP-NP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or</w:t>
      </w:r>
      <w:r w:rsidRPr="005C3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NM@MRP-NP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Scale bar=200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μm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The statistical analyses were performed as follows: one-way ANOVA followed by Bonferroni’s post hoc comparisons test (A-D). *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indicates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p&lt;0.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05, and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n.s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indicates no </w:t>
      </w:r>
      <w:r>
        <w:rPr>
          <w:rFonts w:ascii="Times New Roman" w:eastAsia="等线" w:hAnsi="Times New Roman" w:cs="Times New Roman"/>
          <w:color w:val="000000"/>
          <w:sz w:val="24"/>
          <w:szCs w:val="24"/>
        </w:rPr>
        <w:t>statistical significance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tbl>
      <w:tblPr>
        <w:tblStyle w:val="af2"/>
        <w:tblpPr w:leftFromText="180" w:rightFromText="180" w:horzAnchor="margin" w:tblpY="610"/>
        <w:tblW w:w="8647" w:type="dxa"/>
        <w:tblInd w:w="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9"/>
        <w:gridCol w:w="3404"/>
        <w:gridCol w:w="3544"/>
      </w:tblGrid>
      <w:tr w:rsidR="00BE5A65" w:rsidRPr="007F02EF" w14:paraId="548511F9" w14:textId="77777777" w:rsidTr="00563E15">
        <w:trPr>
          <w:trHeight w:hRule="exact" w:val="567"/>
        </w:trPr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C48D5E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Gene </w:t>
            </w: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704BFC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 xml:space="preserve">Forward primer </w:t>
            </w:r>
          </w:p>
          <w:p w14:paraId="631FA756" w14:textId="77777777" w:rsidR="00BE5A65" w:rsidRPr="007F02EF" w:rsidRDefault="00BE5A65" w:rsidP="00563E15">
            <w:pPr>
              <w:ind w:firstLineChars="200" w:firstLine="420"/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(5’-3’)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636F33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Reverse primer</w:t>
            </w:r>
          </w:p>
          <w:p w14:paraId="11ADD305" w14:textId="77777777" w:rsidR="00BE5A65" w:rsidRPr="007F02EF" w:rsidRDefault="00BE5A65" w:rsidP="00563E15">
            <w:pPr>
              <w:ind w:firstLineChars="200" w:firstLine="420"/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(3’-5’)</w:t>
            </w:r>
          </w:p>
        </w:tc>
      </w:tr>
      <w:tr w:rsidR="00BE5A65" w:rsidRPr="007F02EF" w14:paraId="45B590F8" w14:textId="77777777" w:rsidTr="00563E15">
        <w:trPr>
          <w:trHeight w:hRule="exact" w:val="397"/>
        </w:trPr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0F6F47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 xml:space="preserve">Mouse </w:t>
            </w:r>
            <w:proofErr w:type="spellStart"/>
            <w:r w:rsidRPr="007F02EF">
              <w:rPr>
                <w:rFonts w:ascii="Times New Roman" w:hAnsi="Times New Roman" w:cs="Times New Roman"/>
                <w:color w:val="000000" w:themeColor="text1"/>
              </w:rPr>
              <w:t>RORγt</w:t>
            </w:r>
            <w:proofErr w:type="spellEnd"/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2CA6E6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GACCCACACCTCACAAATTGA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0B908F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AGTAGGCCACATTACACTGCT</w:t>
            </w:r>
          </w:p>
        </w:tc>
      </w:tr>
      <w:tr w:rsidR="00BE5A65" w:rsidRPr="007F02EF" w14:paraId="0CBAF209" w14:textId="77777777" w:rsidTr="00563E15">
        <w:trPr>
          <w:trHeight w:hRule="exact" w:val="397"/>
        </w:trPr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14:paraId="61875DD2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Mouse IL-17A</w:t>
            </w:r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14:paraId="2127386D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GGCCCTCAGACTACCTCAAC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78AC8017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TCTCGACCCTGAAAGTGAAGG</w:t>
            </w:r>
          </w:p>
        </w:tc>
      </w:tr>
      <w:tr w:rsidR="00BE5A65" w:rsidRPr="007F02EF" w14:paraId="0F8BBA9B" w14:textId="77777777" w:rsidTr="00563E15">
        <w:trPr>
          <w:trHeight w:hRule="exact" w:val="397"/>
        </w:trPr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14:paraId="7AE40A86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Mouse GM-CSF</w:t>
            </w:r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14:paraId="1974ACEB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 w:hint="eastAsia"/>
                <w:color w:val="000000" w:themeColor="text1"/>
              </w:rPr>
              <w:t>GGCCTTGGAAGCATGTAGAGG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2C1A7F20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 w:hint="eastAsia"/>
                <w:color w:val="000000" w:themeColor="text1"/>
              </w:rPr>
              <w:t>GGAGAACTCGTTAGAGACGACTT</w:t>
            </w:r>
          </w:p>
        </w:tc>
      </w:tr>
      <w:tr w:rsidR="00BE5A65" w:rsidRPr="007F02EF" w14:paraId="373F35A9" w14:textId="77777777" w:rsidTr="00563E15">
        <w:trPr>
          <w:trHeight w:hRule="exact" w:val="397"/>
        </w:trPr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14:paraId="7E8286D3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Mouse Hprt1</w:t>
            </w:r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14:paraId="707B4788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CCTGGCGTCGTGATTAGTGAT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4474286A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AGACGTTCAGTCCTGTCCATAA</w:t>
            </w:r>
          </w:p>
        </w:tc>
      </w:tr>
      <w:tr w:rsidR="00BE5A65" w:rsidRPr="007F02EF" w14:paraId="2BF60609" w14:textId="77777777" w:rsidTr="00563E15">
        <w:trPr>
          <w:trHeight w:hRule="exact" w:val="397"/>
        </w:trPr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14:paraId="0EFA755B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Human IL-17A</w:t>
            </w:r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14:paraId="3974D92F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GCTGTCGATATTGGGGCTTG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52BCB198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GGGGACAGAGTTCATGTGGTA</w:t>
            </w:r>
          </w:p>
        </w:tc>
      </w:tr>
      <w:tr w:rsidR="00BE5A65" w:rsidRPr="007F02EF" w14:paraId="7150E805" w14:textId="77777777" w:rsidTr="00563E15">
        <w:trPr>
          <w:trHeight w:hRule="exact" w:val="397"/>
        </w:trPr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14:paraId="18525DBD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Human IL-17F</w:t>
            </w:r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14:paraId="2AE2E6AA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GCTGTCGATATTGGGGCTTG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5DB7DAC7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GGAAACGCGCTGGTTTTCAT</w:t>
            </w:r>
            <w:r w:rsidRPr="007F02EF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</w:tc>
      </w:tr>
      <w:tr w:rsidR="00BE5A65" w:rsidRPr="007F02EF" w14:paraId="797536F1" w14:textId="77777777" w:rsidTr="00563E15">
        <w:trPr>
          <w:trHeight w:hRule="exact" w:val="397"/>
        </w:trPr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14:paraId="47E1FEF4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Human IL-26</w:t>
            </w:r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14:paraId="43FEA949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GCTGTTAGTCACTCTGTCTCTTG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1BB13CC6" w14:textId="77777777" w:rsidR="00BE5A65" w:rsidRPr="007F02EF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F02EF">
              <w:rPr>
                <w:rFonts w:ascii="Times New Roman" w:hAnsi="Times New Roman" w:cs="Times New Roman"/>
                <w:color w:val="000000" w:themeColor="text1"/>
              </w:rPr>
              <w:t>GGACAATGTTCCCCTTGGGTA</w:t>
            </w:r>
          </w:p>
        </w:tc>
      </w:tr>
      <w:tr w:rsidR="00BE5A65" w:rsidRPr="001546DC" w14:paraId="4B352594" w14:textId="77777777" w:rsidTr="00563E15">
        <w:trPr>
          <w:trHeight w:hRule="exact" w:val="397"/>
        </w:trPr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14:paraId="20C9B28A" w14:textId="77777777" w:rsidR="00BE5A65" w:rsidRPr="001546DC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546DC">
              <w:rPr>
                <w:rFonts w:ascii="Times New Roman" w:hAnsi="Times New Roman" w:cs="Times New Roman"/>
                <w:color w:val="000000" w:themeColor="text1"/>
              </w:rPr>
              <w:t>Human CXCR6</w:t>
            </w:r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14:paraId="74D31CB0" w14:textId="77777777" w:rsidR="00BE5A65" w:rsidRPr="001546DC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546DC">
              <w:rPr>
                <w:rFonts w:ascii="Times New Roman" w:hAnsi="Times New Roman" w:cs="Times New Roman"/>
                <w:color w:val="000000" w:themeColor="text1"/>
              </w:rPr>
              <w:t>GACTATGGGTTCAGCAGTTTCA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620093DB" w14:textId="77777777" w:rsidR="00BE5A65" w:rsidRPr="001546DC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546DC">
              <w:rPr>
                <w:rFonts w:ascii="Times New Roman" w:hAnsi="Times New Roman" w:cs="Times New Roman"/>
                <w:color w:val="000000" w:themeColor="text1"/>
              </w:rPr>
              <w:t>GACTATGGGTTCAGCAGTTTCA</w:t>
            </w:r>
          </w:p>
        </w:tc>
      </w:tr>
      <w:tr w:rsidR="00BE5A65" w:rsidRPr="001546DC" w14:paraId="11A6BC70" w14:textId="77777777" w:rsidTr="00563E15">
        <w:trPr>
          <w:trHeight w:hRule="exact" w:val="397"/>
        </w:trPr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14:paraId="50EF839E" w14:textId="77777777" w:rsidR="00BE5A65" w:rsidRPr="001546DC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546DC">
              <w:rPr>
                <w:rFonts w:ascii="Times New Roman" w:hAnsi="Times New Roman" w:cs="Times New Roman"/>
                <w:color w:val="000000" w:themeColor="text1"/>
              </w:rPr>
              <w:t>Human</w:t>
            </w:r>
            <w:r w:rsidRPr="001546DC">
              <w:rPr>
                <w:rFonts w:ascii="Times New Roman" w:hAnsi="Times New Roman" w:cs="Times New Roman" w:hint="eastAsia"/>
                <w:color w:val="000000" w:themeColor="text1"/>
              </w:rPr>
              <w:t xml:space="preserve"> </w:t>
            </w:r>
            <w:r w:rsidRPr="001546DC">
              <w:rPr>
                <w:rFonts w:ascii="Times New Roman" w:hAnsi="Times New Roman" w:cs="Times New Roman"/>
                <w:color w:val="000000" w:themeColor="text1"/>
              </w:rPr>
              <w:t>GM-CSF</w:t>
            </w:r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14:paraId="0F9930F9" w14:textId="77777777" w:rsidR="00BE5A65" w:rsidRPr="001546DC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546DC">
              <w:rPr>
                <w:rFonts w:ascii="Times New Roman" w:hAnsi="Times New Roman" w:cs="Times New Roman" w:hint="eastAsia"/>
                <w:color w:val="000000" w:themeColor="text1"/>
              </w:rPr>
              <w:t>TCCTGAACCTGAGTAGAGACAC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02F87B81" w14:textId="77777777" w:rsidR="00BE5A65" w:rsidRPr="001546DC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546DC">
              <w:rPr>
                <w:rFonts w:ascii="Times New Roman" w:hAnsi="Times New Roman" w:cs="Times New Roman" w:hint="eastAsia"/>
                <w:color w:val="000000" w:themeColor="text1"/>
              </w:rPr>
              <w:t>TGCTGCTTGTAGTGGCTGG</w:t>
            </w:r>
          </w:p>
        </w:tc>
      </w:tr>
      <w:tr w:rsidR="00BE5A65" w:rsidRPr="001546DC" w14:paraId="5CBE2F40" w14:textId="77777777" w:rsidTr="00563E15">
        <w:trPr>
          <w:trHeight w:hRule="exact" w:val="397"/>
        </w:trPr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97CD7C" w14:textId="77777777" w:rsidR="00BE5A65" w:rsidRPr="001546DC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546DC">
              <w:rPr>
                <w:rFonts w:ascii="Times New Roman" w:hAnsi="Times New Roman" w:cs="Times New Roman"/>
                <w:color w:val="000000" w:themeColor="text1"/>
              </w:rPr>
              <w:t>Human Hprt1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B2F2C1" w14:textId="77777777" w:rsidR="00BE5A65" w:rsidRPr="001546DC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546DC">
              <w:rPr>
                <w:rFonts w:ascii="Times New Roman" w:hAnsi="Times New Roman" w:cs="Times New Roman"/>
                <w:color w:val="000000" w:themeColor="text1"/>
              </w:rPr>
              <w:t>CCTGGCGTCGTGATTAGTGAT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178E63" w14:textId="77777777" w:rsidR="00BE5A65" w:rsidRPr="001546DC" w:rsidRDefault="00BE5A65" w:rsidP="00563E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546DC">
              <w:rPr>
                <w:rFonts w:ascii="Times New Roman" w:hAnsi="Times New Roman" w:cs="Times New Roman"/>
                <w:color w:val="000000" w:themeColor="text1"/>
              </w:rPr>
              <w:t>AGACGTTCAGTCCTGTCCATAA</w:t>
            </w:r>
          </w:p>
        </w:tc>
      </w:tr>
    </w:tbl>
    <w:p w14:paraId="07278871" w14:textId="77777777" w:rsidR="00BE5A65" w:rsidRPr="00F3541C" w:rsidRDefault="00BE5A65" w:rsidP="00BE5A65">
      <w:pPr>
        <w:spacing w:line="48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DC17A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Supplementary Table 1. Primer sequences used in this study</w:t>
      </w:r>
    </w:p>
    <w:p w14:paraId="7A9B9679" w14:textId="77777777" w:rsidR="00473CE1" w:rsidRPr="00BE5A65" w:rsidRDefault="00473CE1" w:rsidP="00BE5A65">
      <w:pPr>
        <w:rPr>
          <w:rFonts w:hint="eastAsia"/>
        </w:rPr>
      </w:pPr>
    </w:p>
    <w:sectPr w:rsidR="00473CE1" w:rsidRPr="00BE5A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94E2F" w14:textId="77777777" w:rsidR="0023132D" w:rsidRDefault="0023132D" w:rsidP="00473CE1">
      <w:pPr>
        <w:rPr>
          <w:rFonts w:hint="eastAsia"/>
        </w:rPr>
      </w:pPr>
      <w:r>
        <w:separator/>
      </w:r>
    </w:p>
  </w:endnote>
  <w:endnote w:type="continuationSeparator" w:id="0">
    <w:p w14:paraId="47102462" w14:textId="77777777" w:rsidR="0023132D" w:rsidRDefault="0023132D" w:rsidP="00473CE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91916" w14:textId="77777777" w:rsidR="0023132D" w:rsidRDefault="0023132D" w:rsidP="00473CE1">
      <w:pPr>
        <w:rPr>
          <w:rFonts w:hint="eastAsia"/>
        </w:rPr>
      </w:pPr>
      <w:r>
        <w:separator/>
      </w:r>
    </w:p>
  </w:footnote>
  <w:footnote w:type="continuationSeparator" w:id="0">
    <w:p w14:paraId="45F0791F" w14:textId="77777777" w:rsidR="0023132D" w:rsidRDefault="0023132D" w:rsidP="00473CE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5DC"/>
    <w:rsid w:val="00097312"/>
    <w:rsid w:val="001E05DC"/>
    <w:rsid w:val="0023132D"/>
    <w:rsid w:val="00473CE1"/>
    <w:rsid w:val="0086301D"/>
    <w:rsid w:val="00AE0475"/>
    <w:rsid w:val="00BE5A65"/>
    <w:rsid w:val="00C34FE8"/>
    <w:rsid w:val="00C8441E"/>
    <w:rsid w:val="00E4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159181"/>
  <w15:chartTrackingRefBased/>
  <w15:docId w15:val="{36D544F4-64FE-4333-98D7-6E5F65D0D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3CE1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E05DC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05DC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05DC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05DC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05DC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05DC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05DC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05DC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05DC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E05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E05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E05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E05D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E05DC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E05D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E05D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E05D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E05D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E05D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1E05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05DC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1E05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E05DC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1E05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E05DC"/>
    <w:pPr>
      <w:spacing w:after="160" w:line="278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1E05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E05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1E05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E05DC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73CE1"/>
    <w:pPr>
      <w:tabs>
        <w:tab w:val="center" w:pos="4153"/>
        <w:tab w:val="right" w:pos="8306"/>
      </w:tabs>
      <w:snapToGrid w:val="0"/>
      <w:spacing w:after="160"/>
      <w:jc w:val="center"/>
    </w:pPr>
    <w:rPr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473CE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473CE1"/>
    <w:pPr>
      <w:tabs>
        <w:tab w:val="center" w:pos="4153"/>
        <w:tab w:val="right" w:pos="8306"/>
      </w:tabs>
      <w:snapToGrid w:val="0"/>
      <w:spacing w:after="160"/>
      <w:jc w:val="left"/>
    </w:pPr>
    <w:rPr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473CE1"/>
    <w:rPr>
      <w:sz w:val="18"/>
      <w:szCs w:val="18"/>
    </w:rPr>
  </w:style>
  <w:style w:type="table" w:styleId="af2">
    <w:name w:val="Table Grid"/>
    <w:basedOn w:val="a1"/>
    <w:uiPriority w:val="39"/>
    <w:rsid w:val="00473CE1"/>
    <w:pPr>
      <w:spacing w:after="0" w:line="240" w:lineRule="auto"/>
    </w:pPr>
    <w:rPr>
      <w:sz w:val="21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212</Words>
  <Characters>2480</Characters>
  <Application>Microsoft Office Word</Application>
  <DocSecurity>0</DocSecurity>
  <Lines>248</Lines>
  <Paragraphs>158</Paragraphs>
  <ScaleCrop>false</ScaleCrop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圆 圆</dc:creator>
  <cp:keywords/>
  <dc:description/>
  <cp:lastModifiedBy>圆 圆</cp:lastModifiedBy>
  <cp:revision>3</cp:revision>
  <dcterms:created xsi:type="dcterms:W3CDTF">2025-11-20T15:21:00Z</dcterms:created>
  <dcterms:modified xsi:type="dcterms:W3CDTF">2025-12-21T02:22:00Z</dcterms:modified>
</cp:coreProperties>
</file>