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A632E">
      <w:pPr>
        <w:pStyle w:val="2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480" w:lineRule="auto"/>
        <w:ind w:left="0"/>
        <w:jc w:val="both"/>
        <w:textAlignment w:val="auto"/>
        <w:rPr>
          <w:rFonts w:hint="default" w:ascii="Times New Roman" w:hAnsi="Times New Roman" w:cs="Times New Roman"/>
          <w:b/>
          <w:bCs/>
          <w:i w:val="0"/>
          <w:color w:val="auto"/>
          <w:sz w:val="32"/>
          <w:szCs w:val="32"/>
          <w:lang w:val="en-US" w:eastAsia="zh-CN"/>
        </w:rPr>
      </w:pPr>
      <w:bookmarkStart w:id="0" w:name="OLE_LINK9"/>
      <w:bookmarkStart w:id="1" w:name="OLE_LINK51"/>
      <w:bookmarkStart w:id="2" w:name="_Hlk119441874"/>
      <w:bookmarkStart w:id="3" w:name="OLE_LINK127"/>
      <w:r>
        <w:rPr>
          <w:rFonts w:hint="default" w:ascii="Times New Roman" w:hAnsi="Times New Roman" w:cs="Times New Roman"/>
          <w:b/>
          <w:bCs/>
          <w:i w:val="0"/>
          <w:color w:val="auto"/>
          <w:sz w:val="32"/>
          <w:szCs w:val="32"/>
          <w:lang w:val="en-US" w:eastAsia="zh-CN"/>
        </w:rPr>
        <w:t>A photothermal immune hydrogel dressing for enhanced post-melanoma resection treatment</w:t>
      </w:r>
      <w:r>
        <w:rPr>
          <w:rFonts w:hint="eastAsia" w:cs="Times New Roman"/>
          <w:b/>
          <w:bCs/>
          <w:i w:val="0"/>
          <w:color w:val="auto"/>
          <w:sz w:val="32"/>
          <w:szCs w:val="32"/>
          <w:lang w:val="en-US" w:eastAsia="zh-CN"/>
        </w:rPr>
        <w:t xml:space="preserve"> </w:t>
      </w:r>
    </w:p>
    <w:p w14:paraId="1AF9A461">
      <w:pPr>
        <w:pStyle w:val="2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auto"/>
        <w:ind w:left="0"/>
        <w:jc w:val="both"/>
        <w:textAlignment w:val="auto"/>
        <w:rPr>
          <w:rFonts w:hint="default" w:ascii="Times New Roman" w:hAnsi="Times New Roman" w:cs="Times New Roman"/>
          <w:iCs/>
          <w:color w:val="auto"/>
          <w:sz w:val="28"/>
          <w:szCs w:val="28"/>
          <w:vertAlign w:val="superscript"/>
          <w:lang w:eastAsia="zh-CN"/>
        </w:rPr>
      </w:pPr>
      <w:r>
        <w:rPr>
          <w:rFonts w:hint="default" w:ascii="Times New Roman" w:hAnsi="Times New Roman" w:cs="Times New Roman"/>
          <w:iCs/>
          <w:color w:val="auto"/>
          <w:sz w:val="28"/>
          <w:szCs w:val="28"/>
          <w:lang w:val="de-DE" w:eastAsia="zh-CN"/>
        </w:rPr>
        <w:t>Dehong Tan</w:t>
      </w:r>
      <w:r>
        <w:rPr>
          <w:rFonts w:hint="default" w:ascii="Times New Roman" w:hAnsi="Times New Roman" w:cs="Times New Roman"/>
          <w:i w:val="0"/>
          <w:color w:val="auto"/>
          <w:sz w:val="28"/>
          <w:szCs w:val="28"/>
          <w:vertAlign w:val="superscript"/>
          <w:lang w:eastAsia="zh-CN"/>
        </w:rPr>
        <w:t>1,</w:t>
      </w:r>
      <w:r>
        <w:rPr>
          <w:rFonts w:hint="eastAsia" w:cs="Times New Roman"/>
          <w:i w:val="0"/>
          <w:color w:val="auto"/>
          <w:sz w:val="28"/>
          <w:szCs w:val="28"/>
          <w:vertAlign w:val="superscript"/>
          <w:lang w:val="en-US" w:eastAsia="zh-CN"/>
        </w:rPr>
        <w:t xml:space="preserve"> 6</w:t>
      </w:r>
      <w:r>
        <w:rPr>
          <w:rFonts w:ascii="Times New Roman" w:hAnsi="Times New Roman" w:eastAsia="等线" w:cs="Times New Roman"/>
          <w:iCs/>
          <w:color w:val="000000" w:themeColor="text1"/>
          <w:kern w:val="0"/>
          <w:sz w:val="28"/>
          <w:szCs w:val="28"/>
          <w:vertAlign w:val="superscript"/>
        </w:rPr>
        <w:t>,#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val="de-DE" w:eastAsia="zh-CN"/>
        </w:rPr>
        <w:t xml:space="preserve">, 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Wenxiang Zhu</w:t>
      </w:r>
      <w:r>
        <w:rPr>
          <w:rFonts w:hint="eastAsia" w:cs="Times New Roman"/>
          <w:iCs/>
          <w:color w:val="auto"/>
          <w:sz w:val="28"/>
          <w:szCs w:val="28"/>
          <w:vertAlign w:val="superscript"/>
          <w:lang w:val="en-US" w:eastAsia="zh-CN"/>
        </w:rPr>
        <w:t>2</w:t>
      </w:r>
      <w:r>
        <w:rPr>
          <w:rFonts w:ascii="Times New Roman" w:hAnsi="Times New Roman" w:eastAsia="等线" w:cs="Times New Roman"/>
          <w:iCs/>
          <w:color w:val="000000" w:themeColor="text1"/>
          <w:kern w:val="0"/>
          <w:sz w:val="28"/>
          <w:szCs w:val="28"/>
          <w:vertAlign w:val="superscript"/>
        </w:rPr>
        <w:t>,#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,</w:t>
      </w:r>
      <w:r>
        <w:rPr>
          <w:rFonts w:hint="eastAsia" w:cs="Times New Roman"/>
          <w:i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Shilei Liu</w:t>
      </w:r>
      <w:r>
        <w:rPr>
          <w:rFonts w:hint="default" w:ascii="Times New Roman" w:hAnsi="Times New Roman" w:cs="Times New Roman"/>
          <w:i w:val="0"/>
          <w:color w:val="auto"/>
          <w:sz w:val="28"/>
          <w:szCs w:val="28"/>
          <w:vertAlign w:val="superscript"/>
          <w:lang w:eastAsia="zh-CN"/>
        </w:rPr>
        <w:t>1,</w:t>
      </w:r>
      <w:r>
        <w:rPr>
          <w:rFonts w:hint="eastAsia" w:cs="Times New Roman"/>
          <w:i w:val="0"/>
          <w:color w:val="auto"/>
          <w:sz w:val="28"/>
          <w:szCs w:val="28"/>
          <w:vertAlign w:val="superscript"/>
          <w:lang w:val="en-US" w:eastAsia="zh-CN"/>
        </w:rPr>
        <w:t xml:space="preserve"> 6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val="de-DE" w:eastAsia="zh-CN"/>
        </w:rPr>
        <w:t xml:space="preserve"> 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Fengchu Liao</w:t>
      </w:r>
      <w:r>
        <w:rPr>
          <w:rFonts w:hint="eastAsia" w:cs="Times New Roman"/>
          <w:iCs/>
          <w:color w:val="auto"/>
          <w:sz w:val="28"/>
          <w:szCs w:val="28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, Xuesheng Xu</w:t>
      </w:r>
      <w:r>
        <w:rPr>
          <w:rFonts w:hint="eastAsia" w:cs="Times New Roman"/>
          <w:iCs/>
          <w:color w:val="auto"/>
          <w:sz w:val="28"/>
          <w:szCs w:val="28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, Jianlan Luo</w:t>
      </w:r>
      <w:r>
        <w:rPr>
          <w:rFonts w:hint="eastAsia" w:cs="Times New Roman"/>
          <w:iCs/>
          <w:color w:val="auto"/>
          <w:sz w:val="28"/>
          <w:szCs w:val="28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, Sai Zhang</w:t>
      </w:r>
      <w:r>
        <w:rPr>
          <w:rFonts w:hint="default" w:ascii="Times New Roman" w:hAnsi="Times New Roman" w:cs="Times New Roman"/>
          <w:i w:val="0"/>
          <w:color w:val="auto"/>
          <w:sz w:val="28"/>
          <w:szCs w:val="28"/>
          <w:vertAlign w:val="superscript"/>
          <w:lang w:eastAsia="zh-CN"/>
        </w:rPr>
        <w:t>1,</w:t>
      </w:r>
      <w:r>
        <w:rPr>
          <w:rFonts w:hint="eastAsia" w:cs="Times New Roman"/>
          <w:i w:val="0"/>
          <w:color w:val="auto"/>
          <w:sz w:val="28"/>
          <w:szCs w:val="28"/>
          <w:vertAlign w:val="superscript"/>
          <w:lang w:val="en-US" w:eastAsia="zh-CN"/>
        </w:rPr>
        <w:t xml:space="preserve"> 6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,Qingming Xie</w:t>
      </w:r>
      <w:r>
        <w:rPr>
          <w:rFonts w:hint="default" w:ascii="Times New Roman" w:hAnsi="Times New Roman" w:cs="Times New Roman"/>
          <w:i w:val="0"/>
          <w:color w:val="auto"/>
          <w:sz w:val="28"/>
          <w:szCs w:val="28"/>
          <w:vertAlign w:val="superscript"/>
          <w:lang w:eastAsia="zh-CN"/>
        </w:rPr>
        <w:t>1,</w:t>
      </w:r>
      <w:r>
        <w:rPr>
          <w:rFonts w:hint="eastAsia" w:cs="Times New Roman"/>
          <w:i w:val="0"/>
          <w:color w:val="auto"/>
          <w:sz w:val="28"/>
          <w:szCs w:val="28"/>
          <w:vertAlign w:val="superscript"/>
          <w:lang w:val="en-US" w:eastAsia="zh-CN"/>
        </w:rPr>
        <w:t xml:space="preserve"> 6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,Yuan Liang</w:t>
      </w:r>
      <w:r>
        <w:rPr>
          <w:rFonts w:hint="eastAsia" w:cs="Times New Roman"/>
          <w:iCs/>
          <w:color w:val="auto"/>
          <w:sz w:val="28"/>
          <w:szCs w:val="28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vertAlign w:val="superscript"/>
          <w:lang w:eastAsia="zh-CN"/>
        </w:rPr>
        <w:t>*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, Zhiqiang Yu</w:t>
      </w:r>
      <w:r>
        <w:rPr>
          <w:rFonts w:hint="eastAsia" w:cs="Times New Roman"/>
          <w:iCs/>
          <w:color w:val="auto"/>
          <w:sz w:val="28"/>
          <w:szCs w:val="28"/>
          <w:vertAlign w:val="superscript"/>
          <w:lang w:val="en-US" w:eastAsia="zh-CN"/>
        </w:rPr>
        <w:t>5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vertAlign w:val="superscript"/>
          <w:lang w:eastAsia="zh-CN"/>
        </w:rPr>
        <w:t>*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lang w:eastAsia="zh-CN"/>
        </w:rPr>
        <w:t>,Pengfei Zhang</w:t>
      </w:r>
      <w:r>
        <w:rPr>
          <w:rFonts w:hint="default" w:ascii="Times New Roman" w:hAnsi="Times New Roman" w:cs="Times New Roman"/>
          <w:i w:val="0"/>
          <w:color w:val="auto"/>
          <w:sz w:val="28"/>
          <w:szCs w:val="28"/>
          <w:vertAlign w:val="superscript"/>
          <w:lang w:eastAsia="zh-CN"/>
        </w:rPr>
        <w:t>1,</w:t>
      </w:r>
      <w:r>
        <w:rPr>
          <w:rFonts w:hint="eastAsia" w:cs="Times New Roman"/>
          <w:i w:val="0"/>
          <w:color w:val="auto"/>
          <w:sz w:val="28"/>
          <w:szCs w:val="28"/>
          <w:vertAlign w:val="superscript"/>
          <w:lang w:val="en-US" w:eastAsia="zh-CN"/>
        </w:rPr>
        <w:t xml:space="preserve"> 6</w:t>
      </w:r>
      <w:r>
        <w:rPr>
          <w:rFonts w:hint="default" w:ascii="Times New Roman" w:hAnsi="Times New Roman" w:cs="Times New Roman"/>
          <w:iCs/>
          <w:color w:val="auto"/>
          <w:sz w:val="28"/>
          <w:szCs w:val="28"/>
          <w:vertAlign w:val="superscript"/>
          <w:lang w:eastAsia="zh-CN"/>
        </w:rPr>
        <w:t>*</w:t>
      </w:r>
    </w:p>
    <w:p w14:paraId="20518B87">
      <w:pPr>
        <w:pStyle w:val="2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auto"/>
        <w:ind w:left="0"/>
        <w:jc w:val="both"/>
        <w:textAlignment w:val="auto"/>
        <w:rPr>
          <w:rFonts w:hint="default" w:ascii="Times New Roman" w:hAnsi="Times New Roman" w:cs="Times New Roman"/>
          <w:iCs/>
          <w:color w:val="auto"/>
          <w:sz w:val="24"/>
          <w:szCs w:val="24"/>
          <w:vertAlign w:val="superscript"/>
          <w:lang w:val="en-US" w:eastAsia="zh-CN"/>
        </w:rPr>
      </w:pPr>
    </w:p>
    <w:p w14:paraId="579A87A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ascii="Times New Roman" w:hAnsi="Times New Roman" w:eastAsia="MS Mincho" w:cs="Times New Roman"/>
          <w:iCs/>
          <w:color w:val="000000" w:themeColor="text1"/>
          <w:kern w:val="0"/>
          <w:sz w:val="28"/>
          <w:szCs w:val="28"/>
          <w:vertAlign w:val="superscript"/>
          <w:lang w:eastAsia="ja-JP"/>
        </w:rPr>
        <w:t>1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NHC Key Laboratory of Cancer Proteomics, Department of Oncology, Xiangya Hospital, Central South University, Changsha, Hunan 410008, P.R. China. </w:t>
      </w:r>
    </w:p>
    <w:p w14:paraId="46C641F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cs="Times New Roman"/>
          <w:color w:val="auto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lang w:val="en-US" w:eastAsia="zh-CN"/>
        </w:rPr>
        <w:t>Aier Academy of Opthamology, Central South University, Changsha, Hunan 410015, P.R.China.</w:t>
      </w:r>
    </w:p>
    <w:p w14:paraId="08F14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cs="Times New Roman" w:eastAsiaTheme="minorEastAsia"/>
          <w:color w:val="auto"/>
          <w:lang w:val="en-US" w:eastAsia="zh-CN"/>
        </w:rPr>
      </w:pPr>
      <w:r>
        <w:rPr>
          <w:rFonts w:hint="eastAsia" w:cs="Times New Roman"/>
          <w:color w:val="auto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color w:val="auto"/>
        </w:rPr>
        <w:t>Hunan Provincial Key</w:t>
      </w:r>
      <w:r>
        <w:rPr>
          <w:rFonts w:hint="default" w:ascii="Times New Roman" w:hAnsi="Times New Roman" w:cs="Times New Roman"/>
          <w:color w:val="auto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</w:rPr>
        <w:t>Laboratory of Geochemical Processes and Resource Environmental</w:t>
      </w:r>
      <w:r>
        <w:rPr>
          <w:rFonts w:hint="eastAsia" w:cs="Times New Roman" w:eastAsiaTheme="minorEastAsia"/>
          <w:color w:val="auto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</w:rPr>
        <w:t>Effects,</w:t>
      </w:r>
      <w:r>
        <w:rPr>
          <w:rFonts w:hint="default" w:ascii="Times New Roman" w:hAnsi="Times New Roman" w:cs="Times New Roman"/>
          <w:color w:val="auto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</w:rPr>
        <w:t>Geophysical and Geochemical Survey institute of Hu</w:t>
      </w:r>
      <w:r>
        <w:rPr>
          <w:rFonts w:hint="default" w:ascii="Times New Roman" w:hAnsi="Times New Roman" w:cs="Times New Roman"/>
          <w:color w:val="auto"/>
        </w:rPr>
        <w:t>n</w:t>
      </w:r>
      <w:r>
        <w:rPr>
          <w:rFonts w:hint="default" w:ascii="Times New Roman" w:hAnsi="Times New Roman" w:cs="Times New Roman" w:eastAsiaTheme="minorEastAsia"/>
          <w:color w:val="auto"/>
        </w:rPr>
        <w:t>an</w:t>
      </w:r>
      <w:r>
        <w:rPr>
          <w:rFonts w:hint="default" w:ascii="Times New Roman" w:hAnsi="Times New Roman" w:cs="Times New Roman"/>
          <w:color w:val="auto"/>
        </w:rPr>
        <w:t>,Changsha, Hunan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</w:rPr>
        <w:t>410114</w:t>
      </w:r>
      <w:r>
        <w:rPr>
          <w:rFonts w:hint="default" w:ascii="Times New Roman" w:hAnsi="Times New Roman" w:cs="Times New Roman"/>
          <w:color w:val="auto"/>
        </w:rPr>
        <w:t>, P.R. China</w:t>
      </w:r>
      <w:r>
        <w:rPr>
          <w:rFonts w:hint="default" w:ascii="Times New Roman" w:hAnsi="Times New Roman" w:cs="Times New Roman" w:eastAsiaTheme="minorEastAsia"/>
          <w:color w:val="auto"/>
          <w:lang w:val="en-US" w:eastAsia="zh-CN"/>
        </w:rPr>
        <w:t>.</w:t>
      </w:r>
    </w:p>
    <w:p w14:paraId="27B096CC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cs="Times New Roman"/>
          <w:color w:val="auto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Department of Orthopedics, Northern Jiangsu People’s Hospital Affiliated to Yangzhou University, Yangzhou, Jiangsu 225000, P.R. China. </w:t>
      </w:r>
    </w:p>
    <w:p w14:paraId="48EFC60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cs="Times New Roman"/>
          <w:color w:val="auto"/>
          <w:vertAlign w:val="superscript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lang w:val="en-US" w:eastAsia="zh-CN"/>
        </w:rPr>
        <w:t>Department of Laboratory Medicine, Dongguan Institute of Clinical Cancer Research, The Tenth Affiliated Hospital</w:t>
      </w:r>
      <w:r>
        <w:rPr>
          <w:rFonts w:hint="eastAsia" w:cs="Times New Roman"/>
          <w:color w:val="auto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lang w:val="en-US" w:eastAsia="zh-CN"/>
        </w:rPr>
        <w:t>Southern Medical University (Dongguan People's Hospital), Dongguan, Guangdong, 523018,</w:t>
      </w:r>
      <w:r>
        <w:rPr>
          <w:rFonts w:hint="eastAsia" w:cs="Times New Roman"/>
          <w:color w:val="auto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lang w:eastAsia="zh-CN"/>
        </w:rPr>
        <w:t>P.R.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China</w:t>
      </w:r>
    </w:p>
    <w:p w14:paraId="017C53E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left="0"/>
        <w:jc w:val="both"/>
        <w:textAlignment w:val="auto"/>
        <w:rPr>
          <w:rFonts w:hint="eastAsia" w:cs="Times New Roman"/>
          <w:color w:val="auto"/>
          <w:lang w:val="en-US" w:eastAsia="zh-CN"/>
        </w:rPr>
      </w:pPr>
      <w:r>
        <w:rPr>
          <w:rFonts w:hint="eastAsia" w:cs="Times New Roman"/>
          <w:color w:val="auto"/>
          <w:vertAlign w:val="superscript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lang w:eastAsia="zh-CN"/>
        </w:rPr>
        <w:t>National Clinical Research Center for Geriatric Disorders, Xiangya Hospital, Central South University, Changsha, Hunan 410008, P.R. China</w:t>
      </w:r>
      <w:r>
        <w:rPr>
          <w:rFonts w:hint="default" w:ascii="Times New Roman" w:hAnsi="Times New Roman" w:cs="Times New Roman"/>
          <w:color w:val="auto"/>
          <w:lang w:val="en-US" w:eastAsia="zh-CN"/>
        </w:rPr>
        <w:t>.</w:t>
      </w:r>
      <w:r>
        <w:rPr>
          <w:rFonts w:hint="eastAsia" w:cs="Times New Roman"/>
          <w:color w:val="auto"/>
          <w:lang w:val="en-US" w:eastAsia="zh-CN"/>
        </w:rPr>
        <w:t xml:space="preserve"> </w:t>
      </w:r>
    </w:p>
    <w:p w14:paraId="2CA9CCB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vertAlign w:val="superscript"/>
          <w:lang w:val="en-US" w:eastAsia="zh-CN"/>
        </w:rPr>
        <w:t>#</w:t>
      </w:r>
      <w:r>
        <w:rPr>
          <w:rFonts w:hint="default" w:ascii="Times New Roman" w:hAnsi="Times New Roman" w:cs="Times New Roman"/>
          <w:color w:val="auto"/>
          <w:lang w:val="en-US" w:eastAsia="zh-CN"/>
        </w:rPr>
        <w:t>These authors contributed equally to this work.</w:t>
      </w:r>
    </w:p>
    <w:p w14:paraId="0A4D1A8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cs="Times New Roman"/>
          <w:color w:val="auto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lang w:val="en-US"/>
        </w:rPr>
        <w:t>Corresponding Authors</w:t>
      </w: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color w:val="auto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Yuan Liang: </w:t>
      </w:r>
      <w:r>
        <w:rPr>
          <w:rFonts w:hint="default" w:ascii="Times New Roman" w:hAnsi="Times New Roman" w:cs="Times New Roman"/>
          <w:color w:val="auto"/>
          <w:u w:val="none"/>
        </w:rPr>
        <w:fldChar w:fldCharType="begin"/>
      </w:r>
      <w:r>
        <w:rPr>
          <w:rFonts w:hint="default" w:ascii="Times New Roman" w:hAnsi="Times New Roman" w:cs="Times New Roman"/>
          <w:color w:val="auto"/>
          <w:u w:val="none"/>
        </w:rPr>
        <w:instrText xml:space="preserve"> HYPERLINK "mailto:liangyuan996@126.com" </w:instrText>
      </w:r>
      <w:r>
        <w:rPr>
          <w:rFonts w:hint="default" w:ascii="Times New Roman" w:hAnsi="Times New Roman" w:cs="Times New Roman"/>
          <w:color w:val="auto"/>
          <w:u w:val="none"/>
        </w:rPr>
        <w:fldChar w:fldCharType="separate"/>
      </w:r>
      <w:r>
        <w:rPr>
          <w:rStyle w:val="9"/>
          <w:rFonts w:hint="default" w:ascii="Times New Roman" w:hAnsi="Times New Roman" w:cs="Times New Roman"/>
          <w:color w:val="auto"/>
          <w:u w:val="none"/>
          <w:lang w:val="en-US" w:eastAsia="zh-CN"/>
        </w:rPr>
        <w:t>liangyuan996@126.com</w:t>
      </w:r>
      <w:r>
        <w:rPr>
          <w:rStyle w:val="9"/>
          <w:rFonts w:hint="default" w:ascii="Times New Roman" w:hAnsi="Times New Roman" w:cs="Times New Roman"/>
          <w:color w:val="auto"/>
          <w:u w:val="none"/>
          <w:lang w:val="en-US" w:eastAsia="zh-CN"/>
        </w:rPr>
        <w:fldChar w:fldCharType="end"/>
      </w:r>
      <w:r>
        <w:rPr>
          <w:rStyle w:val="9"/>
          <w:rFonts w:hint="default" w:ascii="Times New Roman" w:hAnsi="Times New Roman" w:cs="Times New Roman"/>
          <w:color w:val="auto"/>
          <w:u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auto"/>
          <w:u w:val="none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color w:val="auto"/>
          <w:u w:val="none"/>
          <w:lang w:val="en-US" w:eastAsia="zh-CN"/>
        </w:rPr>
        <w:t xml:space="preserve">Zhiqiang Yu: </w:t>
      </w:r>
      <w:r>
        <w:rPr>
          <w:rStyle w:val="9"/>
          <w:rFonts w:hint="default" w:ascii="Times New Roman" w:hAnsi="Times New Roman" w:cs="Times New Roman"/>
          <w:color w:val="auto"/>
          <w:u w:val="none"/>
          <w:lang w:val="en-US" w:eastAsia="zh-CN"/>
        </w:rPr>
        <w:t xml:space="preserve">yuzq@smu.edu.cn, </w:t>
      </w:r>
      <w:r>
        <w:rPr>
          <w:rFonts w:hint="default" w:ascii="Times New Roman" w:hAnsi="Times New Roman" w:cs="Times New Roman"/>
          <w:color w:val="auto"/>
          <w:u w:val="none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color w:val="auto"/>
          <w:u w:val="none"/>
          <w:lang w:val="en-US" w:eastAsia="zh-CN"/>
        </w:rPr>
        <w:t>Pengfei Zhang:</w:t>
      </w:r>
      <w:r>
        <w:rPr>
          <w:rStyle w:val="9"/>
          <w:rFonts w:hint="default" w:ascii="Times New Roman" w:hAnsi="Times New Roman" w:cs="Times New Roman"/>
          <w:color w:val="auto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u w:val="none"/>
        </w:rPr>
        <w:fldChar w:fldCharType="begin"/>
      </w:r>
      <w:r>
        <w:rPr>
          <w:rFonts w:hint="default" w:ascii="Times New Roman" w:hAnsi="Times New Roman" w:cs="Times New Roman"/>
          <w:color w:val="auto"/>
          <w:u w:val="none"/>
        </w:rPr>
        <w:instrText xml:space="preserve"> HYPERLINK "mailto:zhangpf690421@csu.edu.cn" </w:instrText>
      </w:r>
      <w:r>
        <w:rPr>
          <w:rFonts w:hint="default" w:ascii="Times New Roman" w:hAnsi="Times New Roman" w:cs="Times New Roman"/>
          <w:color w:val="auto"/>
          <w:u w:val="none"/>
        </w:rPr>
        <w:fldChar w:fldCharType="separate"/>
      </w:r>
      <w:r>
        <w:rPr>
          <w:rStyle w:val="9"/>
          <w:rFonts w:hint="default" w:ascii="Times New Roman" w:hAnsi="Times New Roman" w:cs="Times New Roman"/>
          <w:color w:val="auto"/>
          <w:u w:val="none"/>
          <w:lang w:val="en-US" w:eastAsia="zh-CN"/>
        </w:rPr>
        <w:t>zhangpf690421@csu.edu.cn</w:t>
      </w:r>
      <w:r>
        <w:rPr>
          <w:rStyle w:val="9"/>
          <w:rFonts w:hint="default" w:ascii="Times New Roman" w:hAnsi="Times New Roman" w:cs="Times New Roman"/>
          <w:color w:val="auto"/>
          <w:u w:val="none"/>
          <w:lang w:val="en-US" w:eastAsia="zh-CN"/>
        </w:rPr>
        <w:fldChar w:fldCharType="end"/>
      </w:r>
    </w:p>
    <w:p w14:paraId="262BAA1C">
      <w:pPr>
        <w:spacing w:line="360" w:lineRule="auto"/>
        <w:rPr>
          <w:rFonts w:eastAsiaTheme="minorEastAsia"/>
          <w:lang w:eastAsia="zh-CN"/>
        </w:rPr>
      </w:pPr>
    </w:p>
    <w:p w14:paraId="1D76DD10">
      <w:pPr>
        <w:spacing w:line="360" w:lineRule="auto"/>
      </w:pPr>
      <w:r>
        <w:br w:type="page"/>
      </w:r>
    </w:p>
    <w:bookmarkEnd w:id="0"/>
    <w:bookmarkEnd w:id="1"/>
    <w:p w14:paraId="740B6B0D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eastAsiaTheme="minorEastAsia"/>
          <w:b/>
          <w:bCs/>
          <w:color w:val="000000"/>
          <w:sz w:val="28"/>
          <w:szCs w:val="28"/>
          <w:lang w:eastAsia="zh-CN"/>
        </w:rPr>
      </w:pPr>
      <w:r>
        <w:rPr>
          <w:b/>
          <w:bCs/>
          <w:color w:val="000000"/>
          <w:sz w:val="28"/>
          <w:szCs w:val="28"/>
          <w:lang w:eastAsia="zh-CN"/>
        </w:rPr>
        <w:t>Supplementary Fig</w:t>
      </w:r>
      <w:r>
        <w:rPr>
          <w:rFonts w:eastAsiaTheme="minorEastAsia"/>
          <w:b/>
          <w:bCs/>
          <w:color w:val="000000"/>
          <w:sz w:val="28"/>
          <w:szCs w:val="28"/>
          <w:lang w:eastAsia="zh-CN"/>
        </w:rPr>
        <w:t>ures</w:t>
      </w:r>
    </w:p>
    <w:p w14:paraId="1D965572">
      <w:pPr>
        <w:widowControl w:val="0"/>
        <w:autoSpaceDE w:val="0"/>
        <w:autoSpaceDN w:val="0"/>
        <w:adjustRightInd w:val="0"/>
        <w:spacing w:after="240" w:line="480" w:lineRule="auto"/>
        <w:jc w:val="center"/>
      </w:pPr>
      <w:r>
        <w:drawing>
          <wp:inline distT="0" distB="0" distL="114300" distR="114300">
            <wp:extent cx="2049145" cy="1739900"/>
            <wp:effectExtent l="0" t="0" r="8255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BA58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b w:val="0"/>
          <w:bCs/>
          <w:color w:val="auto"/>
          <w:lang w:eastAsia="zh-CN"/>
        </w:rPr>
      </w:pPr>
      <w:r>
        <w:rPr>
          <w:rFonts w:hint="eastAsia"/>
          <w:b/>
          <w:bCs w:val="0"/>
          <w:color w:val="auto"/>
          <w:lang w:eastAsia="zh-CN"/>
        </w:rPr>
        <w:t>Fig. S</w:t>
      </w:r>
      <w:r>
        <w:rPr>
          <w:rFonts w:hint="eastAsia"/>
          <w:b/>
          <w:bCs w:val="0"/>
          <w:color w:val="auto"/>
          <w:lang w:val="en-US" w:eastAsia="zh-CN"/>
        </w:rPr>
        <w:t>1</w:t>
      </w:r>
      <w:r>
        <w:rPr>
          <w:rFonts w:hint="eastAsia"/>
          <w:b/>
          <w:bCs w:val="0"/>
          <w:color w:val="auto"/>
          <w:lang w:eastAsia="zh-CN"/>
        </w:rPr>
        <w:t xml:space="preserve">. </w:t>
      </w:r>
      <w:r>
        <w:rPr>
          <w:rFonts w:hint="eastAsia"/>
          <w:b w:val="0"/>
          <w:bCs/>
          <w:color w:val="auto"/>
          <w:lang w:eastAsia="zh-CN"/>
        </w:rPr>
        <w:t>Changes in the hydrodynamic diameter of Pd nanosheets in PBS on days 1, 3, 5, and 7.</w:t>
      </w:r>
    </w:p>
    <w:p w14:paraId="16BAD84F">
      <w:pPr>
        <w:widowControl w:val="0"/>
        <w:autoSpaceDE w:val="0"/>
        <w:autoSpaceDN w:val="0"/>
        <w:adjustRightInd w:val="0"/>
        <w:spacing w:after="240" w:line="480" w:lineRule="auto"/>
        <w:jc w:val="center"/>
        <w:rPr>
          <w:color w:val="auto"/>
        </w:rPr>
      </w:pPr>
      <w:r>
        <w:rPr>
          <w:color w:val="auto"/>
          <w:lang w:eastAsia="zh-CN"/>
        </w:rPr>
        <w:drawing>
          <wp:inline distT="0" distB="0" distL="114300" distR="114300">
            <wp:extent cx="2318385" cy="1732280"/>
            <wp:effectExtent l="0" t="0" r="5715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8385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75648">
      <w:pPr>
        <w:widowControl w:val="0"/>
        <w:autoSpaceDE w:val="0"/>
        <w:autoSpaceDN w:val="0"/>
        <w:adjustRightInd w:val="0"/>
        <w:spacing w:after="240" w:line="480" w:lineRule="auto"/>
        <w:rPr>
          <w:rFonts w:hint="eastAsia"/>
          <w:color w:val="auto"/>
          <w:lang w:eastAsia="zh-CN"/>
        </w:rPr>
      </w:pPr>
      <w:r>
        <w:rPr>
          <w:b/>
          <w:color w:val="auto"/>
          <w:lang w:eastAsia="zh-CN"/>
        </w:rPr>
        <w:t>Fig. S</w:t>
      </w:r>
      <w:r>
        <w:rPr>
          <w:rFonts w:hint="eastAsia"/>
          <w:b/>
          <w:color w:val="auto"/>
          <w:lang w:val="en-US" w:eastAsia="zh-CN"/>
        </w:rPr>
        <w:t>2</w:t>
      </w:r>
      <w:r>
        <w:rPr>
          <w:b/>
          <w:color w:val="auto"/>
          <w:lang w:eastAsia="zh-CN"/>
        </w:rPr>
        <w:t xml:space="preserve">. </w:t>
      </w:r>
      <w:r>
        <w:rPr>
          <w:rFonts w:hint="eastAsia"/>
          <w:color w:val="auto"/>
          <w:lang w:eastAsia="zh-CN"/>
        </w:rPr>
        <w:t>Photothermal temperature profiles under varying NIR laser power densities (0.1–0.75 W/cm²).</w:t>
      </w:r>
    </w:p>
    <w:p w14:paraId="1CAE2842">
      <w:pPr>
        <w:spacing w:line="360" w:lineRule="auto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2190115" cy="1860550"/>
            <wp:effectExtent l="0" t="0" r="6985" b="635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978FB">
      <w:pPr>
        <w:spacing w:line="360" w:lineRule="auto"/>
        <w:jc w:val="center"/>
        <w:rPr>
          <w:rFonts w:eastAsiaTheme="minorEastAsia"/>
          <w:b/>
          <w:bCs/>
          <w:color w:val="auto"/>
          <w:sz w:val="28"/>
          <w:szCs w:val="28"/>
          <w:lang w:eastAsia="zh-CN"/>
        </w:rPr>
      </w:pPr>
      <w:r>
        <w:rPr>
          <w:b/>
          <w:color w:val="auto"/>
          <w:lang w:eastAsia="zh-CN"/>
        </w:rPr>
        <w:t>Fig. S</w:t>
      </w:r>
      <w:r>
        <w:rPr>
          <w:rFonts w:hint="eastAsia"/>
          <w:b/>
          <w:color w:val="auto"/>
          <w:lang w:val="en-US" w:eastAsia="zh-CN"/>
        </w:rPr>
        <w:t>3</w:t>
      </w:r>
      <w:r>
        <w:rPr>
          <w:b/>
          <w:color w:val="auto"/>
          <w:lang w:eastAsia="zh-CN"/>
        </w:rPr>
        <w:t xml:space="preserve">. </w:t>
      </w:r>
      <w:r>
        <w:rPr>
          <w:rFonts w:hint="eastAsia"/>
          <w:color w:val="auto"/>
          <w:lang w:eastAsia="zh-CN"/>
        </w:rPr>
        <w:t>Cell viability of B16F10 cells assessed using the CCK-8 assay following different treatments.</w:t>
      </w:r>
    </w:p>
    <w:p w14:paraId="1264AEC7">
      <w:pPr>
        <w:spacing w:line="360" w:lineRule="auto"/>
        <w:jc w:val="center"/>
        <w:rPr>
          <w:b/>
          <w:color w:val="auto"/>
          <w:sz w:val="28"/>
          <w:szCs w:val="28"/>
          <w:lang w:eastAsia="zh-CN"/>
        </w:rPr>
      </w:pPr>
      <w:r>
        <w:rPr>
          <w:color w:val="auto"/>
          <w:lang w:eastAsia="zh-CN"/>
        </w:rPr>
        <w:drawing>
          <wp:inline distT="0" distB="0" distL="114300" distR="114300">
            <wp:extent cx="1105535" cy="1798320"/>
            <wp:effectExtent l="0" t="0" r="1206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1D23F">
      <w:pPr>
        <w:autoSpaceDE w:val="0"/>
        <w:autoSpaceDN w:val="0"/>
        <w:adjustRightInd w:val="0"/>
        <w:spacing w:after="120" w:line="480" w:lineRule="auto"/>
        <w:jc w:val="both"/>
        <w:rPr>
          <w:color w:val="auto"/>
          <w:lang w:eastAsia="zh-CN"/>
        </w:rPr>
      </w:pPr>
      <w:r>
        <w:rPr>
          <w:b/>
          <w:color w:val="auto"/>
          <w:lang w:eastAsia="zh-CN"/>
        </w:rPr>
        <w:t>Fig. S</w:t>
      </w:r>
      <w:r>
        <w:rPr>
          <w:rFonts w:hint="eastAsia"/>
          <w:b/>
          <w:color w:val="auto"/>
          <w:lang w:val="en-US" w:eastAsia="zh-CN"/>
        </w:rPr>
        <w:t>4</w:t>
      </w:r>
      <w:r>
        <w:rPr>
          <w:b/>
          <w:color w:val="auto"/>
          <w:lang w:eastAsia="zh-CN"/>
        </w:rPr>
        <w:t>.</w:t>
      </w:r>
      <w:r>
        <w:rPr>
          <w:rFonts w:hint="eastAsia" w:eastAsiaTheme="minorEastAsia"/>
          <w:b/>
          <w:color w:val="auto"/>
          <w:lang w:eastAsia="zh-CN"/>
        </w:rPr>
        <w:t xml:space="preserve"> </w:t>
      </w:r>
      <w:r>
        <w:rPr>
          <w:rFonts w:hint="eastAsia"/>
          <w:color w:val="auto"/>
          <w:lang w:eastAsia="zh-CN"/>
        </w:rPr>
        <w:t>Images</w:t>
      </w:r>
      <w:r>
        <w:rPr>
          <w:rFonts w:hint="eastAsia" w:eastAsiaTheme="minorEastAsia"/>
          <w:color w:val="auto"/>
          <w:lang w:eastAsia="zh-CN"/>
        </w:rPr>
        <w:t xml:space="preserve"> </w:t>
      </w:r>
      <w:r>
        <w:rPr>
          <w:rFonts w:hint="eastAsia"/>
          <w:color w:val="auto"/>
          <w:lang w:eastAsia="zh-CN"/>
        </w:rPr>
        <w:t>depicting Pd/JQ1@SerMA hydrogel in both sol and gel states.</w:t>
      </w:r>
    </w:p>
    <w:p w14:paraId="382CF0C6">
      <w:pPr>
        <w:widowControl w:val="0"/>
        <w:autoSpaceDE w:val="0"/>
        <w:autoSpaceDN w:val="0"/>
        <w:adjustRightInd w:val="0"/>
        <w:spacing w:after="240" w:line="480" w:lineRule="auto"/>
        <w:jc w:val="center"/>
        <w:rPr>
          <w:rFonts w:hint="eastAsia"/>
          <w:b w:val="0"/>
          <w:bCs/>
          <w:color w:val="auto"/>
          <w:lang w:eastAsia="zh-CN"/>
        </w:rPr>
      </w:pPr>
      <w:r>
        <w:rPr>
          <w:color w:val="auto"/>
        </w:rPr>
        <w:drawing>
          <wp:inline distT="0" distB="0" distL="114300" distR="114300">
            <wp:extent cx="3939540" cy="1569720"/>
            <wp:effectExtent l="0" t="0" r="10160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954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A6330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hint="eastAsia"/>
          <w:b w:val="0"/>
          <w:bCs/>
          <w:color w:val="auto"/>
          <w:lang w:eastAsia="zh-CN"/>
        </w:rPr>
      </w:pPr>
      <w:r>
        <w:rPr>
          <w:rFonts w:hint="eastAsia"/>
          <w:b/>
          <w:bCs w:val="0"/>
          <w:color w:val="auto"/>
          <w:lang w:eastAsia="zh-CN"/>
        </w:rPr>
        <w:t>Fig. S</w:t>
      </w:r>
      <w:r>
        <w:rPr>
          <w:rFonts w:hint="eastAsia"/>
          <w:b/>
          <w:bCs w:val="0"/>
          <w:color w:val="auto"/>
          <w:lang w:val="en-US" w:eastAsia="zh-CN"/>
        </w:rPr>
        <w:t>5</w:t>
      </w:r>
      <w:r>
        <w:rPr>
          <w:rFonts w:hint="eastAsia"/>
          <w:b/>
          <w:bCs w:val="0"/>
          <w:color w:val="auto"/>
          <w:lang w:eastAsia="zh-CN"/>
        </w:rPr>
        <w:t>.</w:t>
      </w:r>
      <w:r>
        <w:rPr>
          <w:rFonts w:hint="eastAsia"/>
          <w:b w:val="0"/>
          <w:bCs/>
          <w:color w:val="auto"/>
          <w:lang w:eastAsia="zh-CN"/>
        </w:rPr>
        <w:t xml:space="preserve"> SEM images of hydrogels. (a) SEM image of Pd@SerMA; (b) SEM image of Pd/JQ1@SerMA.</w:t>
      </w:r>
    </w:p>
    <w:p w14:paraId="6D7A48FD">
      <w:pPr>
        <w:widowControl w:val="0"/>
        <w:autoSpaceDE w:val="0"/>
        <w:autoSpaceDN w:val="0"/>
        <w:adjustRightInd w:val="0"/>
        <w:spacing w:after="240" w:line="480" w:lineRule="auto"/>
        <w:jc w:val="center"/>
        <w:rPr>
          <w:rFonts w:hint="eastAsia"/>
          <w:b w:val="0"/>
          <w:bCs/>
          <w:color w:val="auto"/>
          <w:lang w:eastAsia="zh-CN"/>
        </w:rPr>
      </w:pPr>
    </w:p>
    <w:p w14:paraId="561B10F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/>
        <w:jc w:val="center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3086735" cy="1100455"/>
            <wp:effectExtent l="0" t="0" r="12065" b="444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86735" cy="110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1C0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color w:val="auto"/>
          <w:lang w:eastAsia="zh-CN"/>
        </w:rPr>
      </w:pPr>
      <w:r>
        <w:rPr>
          <w:b/>
          <w:color w:val="auto"/>
          <w:lang w:eastAsia="zh-CN"/>
        </w:rPr>
        <w:t>Fig. S</w:t>
      </w:r>
      <w:r>
        <w:rPr>
          <w:rFonts w:hint="eastAsia"/>
          <w:b/>
          <w:color w:val="auto"/>
          <w:lang w:val="en-US" w:eastAsia="zh-CN"/>
        </w:rPr>
        <w:t>6</w:t>
      </w:r>
      <w:r>
        <w:rPr>
          <w:b/>
          <w:color w:val="auto"/>
          <w:lang w:eastAsia="zh-CN"/>
        </w:rPr>
        <w:t>.</w:t>
      </w:r>
      <w:r>
        <w:rPr>
          <w:rFonts w:hint="eastAsia" w:eastAsiaTheme="minorEastAsia"/>
          <w:b/>
          <w:color w:val="auto"/>
          <w:lang w:eastAsia="zh-CN"/>
        </w:rPr>
        <w:t xml:space="preserve"> </w:t>
      </w:r>
      <w:r>
        <w:rPr>
          <w:rFonts w:hint="eastAsia"/>
          <w:color w:val="auto"/>
          <w:lang w:eastAsia="zh-CN"/>
        </w:rPr>
        <w:t>Characterization of the adhesive property of Pd/JQ1@SerMA hydrogel on the porcine skin surface.</w:t>
      </w:r>
    </w:p>
    <w:p w14:paraId="4F03D6C4">
      <w:pPr>
        <w:autoSpaceDE w:val="0"/>
        <w:autoSpaceDN w:val="0"/>
        <w:adjustRightInd w:val="0"/>
        <w:spacing w:after="120" w:line="480" w:lineRule="auto"/>
        <w:jc w:val="both"/>
        <w:rPr>
          <w:b/>
          <w:color w:val="auto"/>
          <w:sz w:val="28"/>
          <w:szCs w:val="28"/>
          <w:lang w:eastAsia="zh-CN"/>
        </w:rPr>
      </w:pPr>
    </w:p>
    <w:p w14:paraId="5E6082BF">
      <w:pPr>
        <w:spacing w:line="360" w:lineRule="auto"/>
        <w:jc w:val="center"/>
        <w:rPr>
          <w:b/>
          <w:color w:val="auto"/>
          <w:sz w:val="28"/>
          <w:szCs w:val="28"/>
          <w:lang w:eastAsia="zh-CN"/>
        </w:rPr>
      </w:pPr>
      <w:r>
        <w:rPr>
          <w:color w:val="auto"/>
          <w:lang w:eastAsia="zh-CN"/>
        </w:rPr>
        <w:drawing>
          <wp:inline distT="0" distB="0" distL="114300" distR="114300">
            <wp:extent cx="2352040" cy="1604645"/>
            <wp:effectExtent l="0" t="0" r="1016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7403A">
      <w:pPr>
        <w:autoSpaceDE w:val="0"/>
        <w:autoSpaceDN w:val="0"/>
        <w:adjustRightInd w:val="0"/>
        <w:spacing w:after="120" w:line="480" w:lineRule="auto"/>
        <w:jc w:val="both"/>
        <w:rPr>
          <w:color w:val="auto"/>
          <w:lang w:eastAsia="zh-CN"/>
        </w:rPr>
      </w:pPr>
      <w:r>
        <w:rPr>
          <w:b/>
          <w:color w:val="auto"/>
          <w:lang w:eastAsia="zh-CN"/>
        </w:rPr>
        <w:t>Fig. S</w:t>
      </w:r>
      <w:r>
        <w:rPr>
          <w:rFonts w:hint="eastAsia"/>
          <w:b/>
          <w:color w:val="auto"/>
          <w:lang w:val="en-US" w:eastAsia="zh-CN"/>
        </w:rPr>
        <w:t>7</w:t>
      </w:r>
      <w:r>
        <w:rPr>
          <w:b/>
          <w:color w:val="auto"/>
          <w:lang w:eastAsia="zh-CN"/>
        </w:rPr>
        <w:t xml:space="preserve">. </w:t>
      </w:r>
      <w:r>
        <w:rPr>
          <w:rFonts w:hint="eastAsia"/>
          <w:color w:val="auto"/>
          <w:lang w:eastAsia="zh-CN"/>
        </w:rPr>
        <w:t xml:space="preserve">The swelling ratios of SerMA、Pd@SerMA and Pd/JQ1@SerMA. </w:t>
      </w:r>
    </w:p>
    <w:p w14:paraId="05E7DE52">
      <w:pPr>
        <w:spacing w:line="360" w:lineRule="auto"/>
        <w:jc w:val="center"/>
        <w:rPr>
          <w:b/>
          <w:color w:val="auto"/>
          <w:sz w:val="28"/>
          <w:szCs w:val="28"/>
          <w:lang w:eastAsia="zh-CN"/>
        </w:rPr>
      </w:pPr>
      <w:r>
        <w:rPr>
          <w:color w:val="auto"/>
          <w:lang w:eastAsia="zh-CN"/>
        </w:rPr>
        <w:drawing>
          <wp:inline distT="0" distB="0" distL="114300" distR="114300">
            <wp:extent cx="2796540" cy="2258060"/>
            <wp:effectExtent l="0" t="0" r="1016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89CF9">
      <w:pPr>
        <w:spacing w:line="360" w:lineRule="auto"/>
        <w:jc w:val="both"/>
        <w:rPr>
          <w:rFonts w:hint="eastAsia"/>
          <w:color w:val="auto"/>
          <w:lang w:eastAsia="zh-CN"/>
        </w:rPr>
      </w:pPr>
      <w:r>
        <w:rPr>
          <w:b/>
          <w:bCs/>
          <w:color w:val="auto"/>
          <w:lang w:eastAsia="zh-CN"/>
        </w:rPr>
        <w:t>Fig. S</w:t>
      </w:r>
      <w:r>
        <w:rPr>
          <w:rFonts w:hint="eastAsia"/>
          <w:b/>
          <w:bCs/>
          <w:color w:val="auto"/>
          <w:lang w:val="en-US" w:eastAsia="zh-CN"/>
        </w:rPr>
        <w:t>8</w:t>
      </w:r>
      <w:r>
        <w:rPr>
          <w:color w:val="auto"/>
          <w:lang w:eastAsia="zh-CN"/>
        </w:rPr>
        <w:t xml:space="preserve">. </w:t>
      </w:r>
      <w:r>
        <w:rPr>
          <w:rFonts w:hint="eastAsia"/>
          <w:color w:val="auto"/>
          <w:lang w:eastAsia="zh-CN"/>
        </w:rPr>
        <w:t>The standard curves for JQ1 was</w:t>
      </w:r>
      <w:r>
        <w:rPr>
          <w:rFonts w:hint="eastAsia" w:eastAsiaTheme="minorEastAsia"/>
          <w:color w:val="auto"/>
          <w:lang w:eastAsia="zh-CN"/>
        </w:rPr>
        <w:t xml:space="preserve"> </w:t>
      </w:r>
      <w:r>
        <w:rPr>
          <w:rFonts w:hint="eastAsia"/>
          <w:color w:val="auto"/>
          <w:lang w:eastAsia="zh-CN"/>
        </w:rPr>
        <w:t>established using HPLC.</w:t>
      </w:r>
    </w:p>
    <w:p w14:paraId="3FF039BF">
      <w:pPr>
        <w:spacing w:line="360" w:lineRule="auto"/>
        <w:jc w:val="both"/>
        <w:rPr>
          <w:rFonts w:hint="eastAsia"/>
          <w:color w:val="auto"/>
          <w:lang w:eastAsia="zh-CN"/>
        </w:rPr>
      </w:pPr>
    </w:p>
    <w:p w14:paraId="30B5939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2346325" cy="2108835"/>
            <wp:effectExtent l="0" t="0" r="3175" b="1206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9318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b/>
          <w:color w:val="auto"/>
          <w:lang w:eastAsia="zh-CN"/>
        </w:rPr>
        <w:t>Fig. S</w:t>
      </w:r>
      <w:r>
        <w:rPr>
          <w:rFonts w:hint="eastAsia"/>
          <w:b/>
          <w:color w:val="auto"/>
          <w:lang w:val="en-US" w:eastAsia="zh-CN"/>
        </w:rPr>
        <w:t>9</w:t>
      </w:r>
      <w:r>
        <w:rPr>
          <w:b/>
          <w:color w:val="auto"/>
          <w:lang w:eastAsia="zh-CN"/>
        </w:rPr>
        <w:t>.</w:t>
      </w:r>
      <w:r>
        <w:rPr>
          <w:rFonts w:hint="eastAsia" w:eastAsiaTheme="minorEastAsia"/>
          <w:b/>
          <w:color w:val="auto"/>
          <w:lang w:eastAsia="zh-CN"/>
        </w:rPr>
        <w:t xml:space="preserve"> </w:t>
      </w:r>
      <w:r>
        <w:rPr>
          <w:rFonts w:hint="eastAsia"/>
          <w:color w:val="auto"/>
          <w:lang w:eastAsia="zh-CN"/>
        </w:rPr>
        <w:t>Release of ATP from B16F10 cells in different treatment groups.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lang w:val="en-US" w:eastAsia="zh-CN"/>
        </w:rPr>
        <w:tab/>
      </w:r>
      <w:r>
        <w:rPr>
          <w:rFonts w:hint="default" w:ascii="Times New Roman" w:hAnsi="Times New Roman" w:cs="Times New Roman"/>
          <w:color w:val="auto"/>
          <w:lang w:val="en-US" w:eastAsia="zh-CN"/>
        </w:rPr>
        <w:t>Ⅰ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color w:val="auto"/>
          <w:lang w:val="en-US" w:eastAsia="zh-CN"/>
        </w:rPr>
        <w:t>PBS, Ⅱ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color w:val="auto"/>
          <w:lang w:val="en-US" w:eastAsia="zh-CN"/>
        </w:rPr>
        <w:t>SerMA, Ⅲ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color w:val="auto"/>
          <w:lang w:val="en-US" w:eastAsia="zh-CN"/>
        </w:rPr>
        <w:t>Pd/SerMA, Ⅳ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color w:val="auto"/>
          <w:lang w:val="en-US" w:eastAsia="zh-CN"/>
        </w:rPr>
        <w:t>Pd/JQ1@SerMA, Ⅴ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color w:val="auto"/>
          <w:lang w:val="en-US" w:eastAsia="zh-CN"/>
        </w:rPr>
        <w:t>Pd/JQ1@SerMA (+).</w:t>
      </w:r>
    </w:p>
    <w:p w14:paraId="1AA86052">
      <w:pPr>
        <w:spacing w:line="360" w:lineRule="auto"/>
        <w:jc w:val="both"/>
        <w:rPr>
          <w:b/>
          <w:color w:val="auto"/>
          <w:sz w:val="28"/>
          <w:szCs w:val="28"/>
          <w:lang w:eastAsia="zh-CN"/>
        </w:rPr>
      </w:pPr>
    </w:p>
    <w:p w14:paraId="67073272">
      <w:pPr>
        <w:spacing w:line="360" w:lineRule="auto"/>
        <w:jc w:val="center"/>
        <w:rPr>
          <w:b/>
          <w:color w:val="auto"/>
          <w:sz w:val="28"/>
          <w:szCs w:val="28"/>
          <w:lang w:eastAsia="zh-CN"/>
        </w:rPr>
      </w:pPr>
      <w:r>
        <w:rPr>
          <w:color w:val="auto"/>
          <w:lang w:eastAsia="zh-CN"/>
        </w:rPr>
        <w:drawing>
          <wp:inline distT="0" distB="0" distL="114300" distR="114300">
            <wp:extent cx="4959985" cy="1784350"/>
            <wp:effectExtent l="0" t="0" r="5715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59985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73AE6">
      <w:pPr>
        <w:autoSpaceDE w:val="0"/>
        <w:autoSpaceDN w:val="0"/>
        <w:adjustRightInd w:val="0"/>
        <w:spacing w:after="120" w:line="480" w:lineRule="auto"/>
        <w:jc w:val="both"/>
        <w:rPr>
          <w:color w:val="auto"/>
          <w:lang w:eastAsia="zh-CN"/>
        </w:rPr>
      </w:pPr>
      <w:r>
        <w:rPr>
          <w:b/>
          <w:color w:val="auto"/>
          <w:lang w:eastAsia="zh-CN"/>
        </w:rPr>
        <w:t>Fig. S</w:t>
      </w:r>
      <w:r>
        <w:rPr>
          <w:rFonts w:hint="eastAsia"/>
          <w:b/>
          <w:color w:val="auto"/>
          <w:lang w:val="en-US" w:eastAsia="zh-CN"/>
        </w:rPr>
        <w:t>10</w:t>
      </w:r>
      <w:r>
        <w:rPr>
          <w:b/>
          <w:color w:val="auto"/>
          <w:lang w:eastAsia="zh-CN"/>
        </w:rPr>
        <w:t>.</w:t>
      </w:r>
      <w:bookmarkEnd w:id="2"/>
      <w:bookmarkEnd w:id="3"/>
      <w:r>
        <w:rPr>
          <w:rFonts w:hint="eastAsia" w:eastAsiaTheme="minorEastAsia"/>
          <w:b/>
          <w:color w:val="auto"/>
          <w:lang w:eastAsia="zh-CN"/>
        </w:rPr>
        <w:t xml:space="preserve"> </w:t>
      </w:r>
      <w:r>
        <w:rPr>
          <w:rFonts w:hint="eastAsia"/>
          <w:color w:val="auto"/>
          <w:lang w:eastAsia="zh-CN"/>
        </w:rPr>
        <w:t>Bacterial</w:t>
      </w:r>
      <w:r>
        <w:rPr>
          <w:rFonts w:hint="eastAsia" w:eastAsiaTheme="minorEastAsia"/>
          <w:color w:val="auto"/>
          <w:lang w:eastAsia="zh-CN"/>
        </w:rPr>
        <w:t xml:space="preserve"> </w:t>
      </w:r>
      <w:r>
        <w:rPr>
          <w:rFonts w:hint="eastAsia"/>
          <w:color w:val="auto"/>
          <w:lang w:eastAsia="zh-CN"/>
        </w:rPr>
        <w:t xml:space="preserve">survival rate of </w:t>
      </w:r>
      <w:r>
        <w:rPr>
          <w:rFonts w:hint="eastAsia"/>
          <w:i/>
          <w:iCs/>
          <w:color w:val="auto"/>
          <w:lang w:eastAsia="zh-CN"/>
        </w:rPr>
        <w:t>S. aureus</w:t>
      </w:r>
      <w:r>
        <w:rPr>
          <w:rFonts w:hint="eastAsia"/>
          <w:color w:val="auto"/>
          <w:lang w:eastAsia="zh-CN"/>
        </w:rPr>
        <w:t xml:space="preserve"> (a) and </w:t>
      </w:r>
      <w:r>
        <w:rPr>
          <w:rFonts w:hint="eastAsia"/>
          <w:i/>
          <w:iCs/>
          <w:color w:val="auto"/>
          <w:lang w:eastAsia="zh-CN"/>
        </w:rPr>
        <w:t xml:space="preserve">E. coli </w:t>
      </w:r>
      <w:r>
        <w:rPr>
          <w:rFonts w:hint="eastAsia"/>
          <w:color w:val="auto"/>
          <w:lang w:eastAsia="zh-CN"/>
        </w:rPr>
        <w:t>(b).</w:t>
      </w:r>
    </w:p>
    <w:p w14:paraId="6E0B4A37">
      <w:pPr>
        <w:autoSpaceDE w:val="0"/>
        <w:autoSpaceDN w:val="0"/>
        <w:adjustRightInd w:val="0"/>
        <w:spacing w:after="120" w:line="480" w:lineRule="auto"/>
        <w:jc w:val="both"/>
        <w:rPr>
          <w:b/>
          <w:color w:val="auto"/>
          <w:sz w:val="28"/>
          <w:szCs w:val="28"/>
          <w:lang w:eastAsia="zh-CN"/>
        </w:rPr>
      </w:pPr>
    </w:p>
    <w:p w14:paraId="422B16D1">
      <w:pPr>
        <w:autoSpaceDE w:val="0"/>
        <w:autoSpaceDN w:val="0"/>
        <w:adjustRightInd w:val="0"/>
        <w:spacing w:after="120" w:line="480" w:lineRule="auto"/>
        <w:jc w:val="center"/>
        <w:rPr>
          <w:b/>
          <w:color w:val="auto"/>
          <w:sz w:val="28"/>
          <w:szCs w:val="28"/>
          <w:lang w:eastAsia="zh-CN"/>
        </w:rPr>
      </w:pPr>
      <w:bookmarkStart w:id="4" w:name="_GoBack"/>
      <w:r>
        <w:rPr>
          <w:color w:val="auto"/>
          <w:lang w:eastAsia="zh-CN"/>
        </w:rPr>
        <w:drawing>
          <wp:inline distT="0" distB="0" distL="114300" distR="114300">
            <wp:extent cx="4065905" cy="2480310"/>
            <wp:effectExtent l="0" t="0" r="1079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590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0A172D11">
      <w:pPr>
        <w:autoSpaceDE w:val="0"/>
        <w:autoSpaceDN w:val="0"/>
        <w:adjustRightInd w:val="0"/>
        <w:spacing w:after="120" w:line="480" w:lineRule="auto"/>
        <w:jc w:val="both"/>
        <w:rPr>
          <w:color w:val="auto"/>
          <w:lang w:eastAsia="zh-CN"/>
        </w:rPr>
      </w:pPr>
      <w:r>
        <w:rPr>
          <w:b/>
          <w:color w:val="auto"/>
          <w:lang w:eastAsia="zh-CN"/>
        </w:rPr>
        <w:t>Fig. S</w:t>
      </w:r>
      <w:r>
        <w:rPr>
          <w:rFonts w:hint="eastAsia"/>
          <w:b/>
          <w:color w:val="auto"/>
          <w:lang w:val="en-US" w:eastAsia="zh-CN"/>
        </w:rPr>
        <w:t>11</w:t>
      </w:r>
      <w:r>
        <w:rPr>
          <w:b/>
          <w:color w:val="auto"/>
          <w:lang w:eastAsia="zh-CN"/>
        </w:rPr>
        <w:t xml:space="preserve">. </w:t>
      </w:r>
      <w:r>
        <w:rPr>
          <w:rFonts w:hint="eastAsia"/>
          <w:bCs/>
          <w:color w:val="auto"/>
          <w:lang w:eastAsia="zh-CN"/>
        </w:rPr>
        <w:t>The H&amp;E staine</w:t>
      </w:r>
      <w:r>
        <w:rPr>
          <w:rFonts w:hint="eastAsia"/>
          <w:color w:val="auto"/>
          <w:lang w:eastAsia="zh-CN"/>
        </w:rPr>
        <w:t>d of heart, liver, spleen, lung, and kidney after treatment by different formulations. Scale bar: 200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color w:val="auto"/>
        </w:rPr>
        <w:t>μm</w:t>
      </w:r>
      <w:r>
        <w:rPr>
          <w:rFonts w:hint="eastAsia"/>
          <w:color w:val="auto"/>
          <w:lang w:eastAsia="zh-CN"/>
        </w:rPr>
        <w:t>.</w:t>
      </w:r>
    </w:p>
    <w:p w14:paraId="36289030">
      <w:pPr>
        <w:autoSpaceDE w:val="0"/>
        <w:autoSpaceDN w:val="0"/>
        <w:adjustRightInd w:val="0"/>
        <w:spacing w:after="120" w:line="480" w:lineRule="auto"/>
        <w:jc w:val="center"/>
        <w:rPr>
          <w:b/>
          <w:color w:val="auto"/>
          <w:sz w:val="28"/>
          <w:szCs w:val="28"/>
          <w:lang w:eastAsia="zh-CN"/>
        </w:rPr>
      </w:pPr>
      <w:r>
        <w:rPr>
          <w:color w:val="auto"/>
          <w:lang w:eastAsia="zh-CN"/>
        </w:rPr>
        <w:drawing>
          <wp:inline distT="0" distB="0" distL="114300" distR="114300">
            <wp:extent cx="5724525" cy="1012190"/>
            <wp:effectExtent l="0" t="0" r="3175" b="381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03EF4">
      <w:pPr>
        <w:autoSpaceDE w:val="0"/>
        <w:autoSpaceDN w:val="0"/>
        <w:adjustRightInd w:val="0"/>
        <w:spacing w:after="120" w:line="480" w:lineRule="auto"/>
        <w:jc w:val="both"/>
        <w:rPr>
          <w:color w:val="auto"/>
          <w:lang w:eastAsia="zh-CN"/>
        </w:rPr>
      </w:pPr>
      <w:r>
        <w:rPr>
          <w:b/>
          <w:color w:val="auto"/>
          <w:lang w:eastAsia="zh-CN"/>
        </w:rPr>
        <w:t>Fig. S</w:t>
      </w:r>
      <w:r>
        <w:rPr>
          <w:rFonts w:hint="eastAsia"/>
          <w:b/>
          <w:color w:val="auto"/>
          <w:lang w:val="en-US" w:eastAsia="zh-CN"/>
        </w:rPr>
        <w:t>12</w:t>
      </w:r>
      <w:r>
        <w:rPr>
          <w:b/>
          <w:color w:val="auto"/>
          <w:lang w:eastAsia="zh-CN"/>
        </w:rPr>
        <w:t xml:space="preserve">. </w:t>
      </w:r>
      <w:r>
        <w:rPr>
          <w:rFonts w:hint="eastAsia"/>
          <w:bCs/>
          <w:color w:val="auto"/>
          <w:lang w:eastAsia="zh-CN"/>
        </w:rPr>
        <w:t>The PD-L</w:t>
      </w:r>
      <w:r>
        <w:rPr>
          <w:rFonts w:hint="eastAsia"/>
          <w:color w:val="auto"/>
          <w:lang w:eastAsia="zh-CN"/>
        </w:rPr>
        <w:t>1 immunohistochemistry staining of tumor tissues after different treatments. Scale bar: 50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color w:val="auto"/>
        </w:rPr>
        <w:t>μm</w:t>
      </w:r>
      <w:r>
        <w:rPr>
          <w:rFonts w:hint="eastAsia"/>
          <w:color w:val="auto"/>
          <w:lang w:eastAsia="zh-CN"/>
        </w:rPr>
        <w:t xml:space="preserve">. </w:t>
      </w:r>
    </w:p>
    <w:p w14:paraId="0BC0B82D">
      <w:pPr>
        <w:rPr>
          <w:color w:val="auto"/>
          <w:lang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BB19C">
    <w:pPr>
      <w:pStyle w:val="4"/>
      <w:jc w:val="center"/>
    </w:pPr>
    <w:r>
      <w:t>S</w:t>
    </w: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 w:eastAsia="zh-CN"/>
      </w:rPr>
      <w:t>1</w:t>
    </w:r>
    <w:r>
      <w:fldChar w:fldCharType="end"/>
    </w:r>
  </w:p>
  <w:p w14:paraId="4E295EA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C2BE1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31DC2ABC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AA009">
    <w:pPr>
      <w:pStyle w:val="5"/>
      <w:tabs>
        <w:tab w:val="left" w:pos="5003"/>
      </w:tabs>
      <w:spacing w:after="24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2NDRlYTkxNDVkYzMyMjlkNmUxNzVmMmRlMTdiNjEifQ=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649D4"/>
    <w:rsid w:val="000271E7"/>
    <w:rsid w:val="000360B8"/>
    <w:rsid w:val="0008673B"/>
    <w:rsid w:val="000E1F5C"/>
    <w:rsid w:val="000E7BAC"/>
    <w:rsid w:val="001125C5"/>
    <w:rsid w:val="00152461"/>
    <w:rsid w:val="001649D4"/>
    <w:rsid w:val="00170FED"/>
    <w:rsid w:val="00186292"/>
    <w:rsid w:val="001937B0"/>
    <w:rsid w:val="001B4025"/>
    <w:rsid w:val="001D0A93"/>
    <w:rsid w:val="001E6425"/>
    <w:rsid w:val="001F7B7D"/>
    <w:rsid w:val="002069ED"/>
    <w:rsid w:val="0023210B"/>
    <w:rsid w:val="00235906"/>
    <w:rsid w:val="00237E2E"/>
    <w:rsid w:val="00245B16"/>
    <w:rsid w:val="00276A16"/>
    <w:rsid w:val="00281BFB"/>
    <w:rsid w:val="002D456A"/>
    <w:rsid w:val="00316361"/>
    <w:rsid w:val="00382491"/>
    <w:rsid w:val="003969C6"/>
    <w:rsid w:val="00427599"/>
    <w:rsid w:val="00430388"/>
    <w:rsid w:val="0046189F"/>
    <w:rsid w:val="004878D7"/>
    <w:rsid w:val="004A731A"/>
    <w:rsid w:val="004D2024"/>
    <w:rsid w:val="00541642"/>
    <w:rsid w:val="005E7673"/>
    <w:rsid w:val="005F4066"/>
    <w:rsid w:val="0064079E"/>
    <w:rsid w:val="00645365"/>
    <w:rsid w:val="00663E51"/>
    <w:rsid w:val="006768EB"/>
    <w:rsid w:val="00691AA4"/>
    <w:rsid w:val="006B797A"/>
    <w:rsid w:val="006E1797"/>
    <w:rsid w:val="0070006D"/>
    <w:rsid w:val="00730DC1"/>
    <w:rsid w:val="007328CB"/>
    <w:rsid w:val="007E1051"/>
    <w:rsid w:val="008852B7"/>
    <w:rsid w:val="008C20A4"/>
    <w:rsid w:val="008C756E"/>
    <w:rsid w:val="008D769D"/>
    <w:rsid w:val="008E045F"/>
    <w:rsid w:val="008F6120"/>
    <w:rsid w:val="00912384"/>
    <w:rsid w:val="0094642B"/>
    <w:rsid w:val="00946CB0"/>
    <w:rsid w:val="00963CCD"/>
    <w:rsid w:val="00983D17"/>
    <w:rsid w:val="009B5E52"/>
    <w:rsid w:val="009C4147"/>
    <w:rsid w:val="009C6DE7"/>
    <w:rsid w:val="009C73E4"/>
    <w:rsid w:val="009D7D41"/>
    <w:rsid w:val="009F03BC"/>
    <w:rsid w:val="00A41663"/>
    <w:rsid w:val="00A434CA"/>
    <w:rsid w:val="00A437EC"/>
    <w:rsid w:val="00A62159"/>
    <w:rsid w:val="00A671DF"/>
    <w:rsid w:val="00A8340F"/>
    <w:rsid w:val="00B0185A"/>
    <w:rsid w:val="00B42935"/>
    <w:rsid w:val="00B53741"/>
    <w:rsid w:val="00B604EB"/>
    <w:rsid w:val="00B619AA"/>
    <w:rsid w:val="00BA6C68"/>
    <w:rsid w:val="00BD77A5"/>
    <w:rsid w:val="00C0561D"/>
    <w:rsid w:val="00C2629E"/>
    <w:rsid w:val="00C931CE"/>
    <w:rsid w:val="00C95EF0"/>
    <w:rsid w:val="00CA2C50"/>
    <w:rsid w:val="00CB695E"/>
    <w:rsid w:val="00CC30AC"/>
    <w:rsid w:val="00CC4BDF"/>
    <w:rsid w:val="00CD46CD"/>
    <w:rsid w:val="00CF169C"/>
    <w:rsid w:val="00D3598B"/>
    <w:rsid w:val="00D40324"/>
    <w:rsid w:val="00D6047B"/>
    <w:rsid w:val="00D66FBA"/>
    <w:rsid w:val="00D746E2"/>
    <w:rsid w:val="00D75714"/>
    <w:rsid w:val="00D75FBA"/>
    <w:rsid w:val="00DB02F7"/>
    <w:rsid w:val="00DB04F5"/>
    <w:rsid w:val="00DB2472"/>
    <w:rsid w:val="00DB3E84"/>
    <w:rsid w:val="00E02A53"/>
    <w:rsid w:val="00E160AC"/>
    <w:rsid w:val="00E43B4C"/>
    <w:rsid w:val="00E64FF7"/>
    <w:rsid w:val="00E6678B"/>
    <w:rsid w:val="00EB01F0"/>
    <w:rsid w:val="00EB5622"/>
    <w:rsid w:val="00EC60BB"/>
    <w:rsid w:val="00EE5243"/>
    <w:rsid w:val="00EF27C7"/>
    <w:rsid w:val="00EF2972"/>
    <w:rsid w:val="00F45FC9"/>
    <w:rsid w:val="00F548E3"/>
    <w:rsid w:val="00F92B80"/>
    <w:rsid w:val="00F94646"/>
    <w:rsid w:val="00FB080C"/>
    <w:rsid w:val="00FB3D1C"/>
    <w:rsid w:val="00FC15FE"/>
    <w:rsid w:val="00FC1F5C"/>
    <w:rsid w:val="00FD3800"/>
    <w:rsid w:val="00FF5B72"/>
    <w:rsid w:val="01BA30DA"/>
    <w:rsid w:val="02852330"/>
    <w:rsid w:val="03C71A42"/>
    <w:rsid w:val="042A0462"/>
    <w:rsid w:val="04D94675"/>
    <w:rsid w:val="05AB50DB"/>
    <w:rsid w:val="06E6773D"/>
    <w:rsid w:val="08C83C0F"/>
    <w:rsid w:val="09A920E8"/>
    <w:rsid w:val="0A3C4AB0"/>
    <w:rsid w:val="0A66650B"/>
    <w:rsid w:val="0B6423BD"/>
    <w:rsid w:val="0BDA3681"/>
    <w:rsid w:val="0C093F0C"/>
    <w:rsid w:val="0C440027"/>
    <w:rsid w:val="0C765ED2"/>
    <w:rsid w:val="0CC457FD"/>
    <w:rsid w:val="0CD87D21"/>
    <w:rsid w:val="0DCF495E"/>
    <w:rsid w:val="0EA43B14"/>
    <w:rsid w:val="10D64D2E"/>
    <w:rsid w:val="10F15A88"/>
    <w:rsid w:val="10F526F8"/>
    <w:rsid w:val="10F91173"/>
    <w:rsid w:val="112D6D48"/>
    <w:rsid w:val="12C46E9E"/>
    <w:rsid w:val="130030B9"/>
    <w:rsid w:val="14950F51"/>
    <w:rsid w:val="149E664B"/>
    <w:rsid w:val="14DD36E3"/>
    <w:rsid w:val="15633968"/>
    <w:rsid w:val="15643BA8"/>
    <w:rsid w:val="16B80A6F"/>
    <w:rsid w:val="18787932"/>
    <w:rsid w:val="18DE63DD"/>
    <w:rsid w:val="197B6C4C"/>
    <w:rsid w:val="19A03A86"/>
    <w:rsid w:val="1BEA0FE8"/>
    <w:rsid w:val="1F5943A9"/>
    <w:rsid w:val="1F93617C"/>
    <w:rsid w:val="1F9B1C69"/>
    <w:rsid w:val="1FD02D82"/>
    <w:rsid w:val="200F7A29"/>
    <w:rsid w:val="206E238A"/>
    <w:rsid w:val="20F14799"/>
    <w:rsid w:val="22077B64"/>
    <w:rsid w:val="221F5670"/>
    <w:rsid w:val="22657C6B"/>
    <w:rsid w:val="22CA78A2"/>
    <w:rsid w:val="23A04402"/>
    <w:rsid w:val="24070189"/>
    <w:rsid w:val="2428794A"/>
    <w:rsid w:val="24F56F32"/>
    <w:rsid w:val="26555830"/>
    <w:rsid w:val="26CA0394"/>
    <w:rsid w:val="270A6B1F"/>
    <w:rsid w:val="2A897858"/>
    <w:rsid w:val="2B802CE6"/>
    <w:rsid w:val="2B836D64"/>
    <w:rsid w:val="2BE61D13"/>
    <w:rsid w:val="2C2445C2"/>
    <w:rsid w:val="2C7B0C0D"/>
    <w:rsid w:val="2CB00693"/>
    <w:rsid w:val="2D0440C7"/>
    <w:rsid w:val="2D0568E8"/>
    <w:rsid w:val="2D086C87"/>
    <w:rsid w:val="2D337A8A"/>
    <w:rsid w:val="2D4E7FE1"/>
    <w:rsid w:val="2D553362"/>
    <w:rsid w:val="2D69660C"/>
    <w:rsid w:val="2DAB0707"/>
    <w:rsid w:val="2DB46A8B"/>
    <w:rsid w:val="2EA96F04"/>
    <w:rsid w:val="313E0256"/>
    <w:rsid w:val="323E7DF9"/>
    <w:rsid w:val="327A7C5E"/>
    <w:rsid w:val="32B026B6"/>
    <w:rsid w:val="32B2202A"/>
    <w:rsid w:val="32DE5784"/>
    <w:rsid w:val="33CB0884"/>
    <w:rsid w:val="34983880"/>
    <w:rsid w:val="355A0096"/>
    <w:rsid w:val="362A70EA"/>
    <w:rsid w:val="36381C83"/>
    <w:rsid w:val="36F32938"/>
    <w:rsid w:val="37BE34D8"/>
    <w:rsid w:val="388114A1"/>
    <w:rsid w:val="39006C13"/>
    <w:rsid w:val="3AC345FA"/>
    <w:rsid w:val="3BCD3EFF"/>
    <w:rsid w:val="3CBC5107"/>
    <w:rsid w:val="3E235F81"/>
    <w:rsid w:val="3EE92299"/>
    <w:rsid w:val="3FC933FC"/>
    <w:rsid w:val="41225137"/>
    <w:rsid w:val="414016D1"/>
    <w:rsid w:val="466D5B1B"/>
    <w:rsid w:val="4A10240E"/>
    <w:rsid w:val="4AC23537"/>
    <w:rsid w:val="4C4345A9"/>
    <w:rsid w:val="4CE63941"/>
    <w:rsid w:val="4D1C2677"/>
    <w:rsid w:val="4D5368C5"/>
    <w:rsid w:val="4E237D58"/>
    <w:rsid w:val="4ED35EDF"/>
    <w:rsid w:val="4F3F2E1E"/>
    <w:rsid w:val="4FE415A0"/>
    <w:rsid w:val="50BA5D6F"/>
    <w:rsid w:val="50D21228"/>
    <w:rsid w:val="50E720C7"/>
    <w:rsid w:val="51347B3B"/>
    <w:rsid w:val="5149710B"/>
    <w:rsid w:val="519B2E6F"/>
    <w:rsid w:val="52D65D91"/>
    <w:rsid w:val="532E38DE"/>
    <w:rsid w:val="54ED7D64"/>
    <w:rsid w:val="55286102"/>
    <w:rsid w:val="55B31451"/>
    <w:rsid w:val="567948FF"/>
    <w:rsid w:val="56C152CF"/>
    <w:rsid w:val="57374425"/>
    <w:rsid w:val="575710D7"/>
    <w:rsid w:val="57B343A9"/>
    <w:rsid w:val="59305624"/>
    <w:rsid w:val="5A2055DD"/>
    <w:rsid w:val="5AE46A98"/>
    <w:rsid w:val="5B4E4478"/>
    <w:rsid w:val="5BAD4574"/>
    <w:rsid w:val="5C1761A2"/>
    <w:rsid w:val="5CC62AC2"/>
    <w:rsid w:val="5E7E7C15"/>
    <w:rsid w:val="5EC8231C"/>
    <w:rsid w:val="5F0F007C"/>
    <w:rsid w:val="5F225C82"/>
    <w:rsid w:val="60B50B3A"/>
    <w:rsid w:val="60F2511B"/>
    <w:rsid w:val="62086E62"/>
    <w:rsid w:val="62385432"/>
    <w:rsid w:val="62A938A8"/>
    <w:rsid w:val="6492262F"/>
    <w:rsid w:val="64A62FAD"/>
    <w:rsid w:val="654D6C3E"/>
    <w:rsid w:val="65503446"/>
    <w:rsid w:val="65F20A51"/>
    <w:rsid w:val="67C279C8"/>
    <w:rsid w:val="67EE0AE5"/>
    <w:rsid w:val="68355788"/>
    <w:rsid w:val="688C2914"/>
    <w:rsid w:val="68C04067"/>
    <w:rsid w:val="693276B8"/>
    <w:rsid w:val="6A046C7D"/>
    <w:rsid w:val="6A8E5906"/>
    <w:rsid w:val="6BC914AA"/>
    <w:rsid w:val="6D721E1C"/>
    <w:rsid w:val="6DCE6CB3"/>
    <w:rsid w:val="6EAB66A1"/>
    <w:rsid w:val="6F011A46"/>
    <w:rsid w:val="702E0619"/>
    <w:rsid w:val="71305B21"/>
    <w:rsid w:val="71502A8E"/>
    <w:rsid w:val="71DB032D"/>
    <w:rsid w:val="72D92B78"/>
    <w:rsid w:val="7395275D"/>
    <w:rsid w:val="73C12672"/>
    <w:rsid w:val="743957DE"/>
    <w:rsid w:val="74F80974"/>
    <w:rsid w:val="75925EC5"/>
    <w:rsid w:val="75C655A6"/>
    <w:rsid w:val="763C358A"/>
    <w:rsid w:val="76BE3817"/>
    <w:rsid w:val="76CD0B4C"/>
    <w:rsid w:val="794E6262"/>
    <w:rsid w:val="796B33C1"/>
    <w:rsid w:val="79C908E3"/>
    <w:rsid w:val="7A306137"/>
    <w:rsid w:val="7AE3772B"/>
    <w:rsid w:val="7B1E3775"/>
    <w:rsid w:val="7B2335C6"/>
    <w:rsid w:val="7B6312FE"/>
    <w:rsid w:val="7CA83A4A"/>
    <w:rsid w:val="7DD16A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sz w:val="24"/>
      <w:szCs w:val="24"/>
      <w:lang w:val="en-US" w:eastAsia="ja-JP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rPr>
      <w:rFonts w:eastAsia="宋体"/>
      <w:sz w:val="20"/>
      <w:szCs w:val="20"/>
    </w:r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536"/>
        <w:tab w:val="right" w:pos="9072"/>
      </w:tabs>
    </w:pPr>
    <w:rPr>
      <w:rFonts w:eastAsia="宋体"/>
    </w:rPr>
  </w:style>
  <w:style w:type="paragraph" w:styleId="5">
    <w:name w:val="header"/>
    <w:basedOn w:val="1"/>
    <w:link w:val="14"/>
    <w:qFormat/>
    <w:uiPriority w:val="99"/>
    <w:pPr>
      <w:tabs>
        <w:tab w:val="center" w:pos="4536"/>
        <w:tab w:val="right" w:pos="9072"/>
      </w:tabs>
    </w:pPr>
    <w:rPr>
      <w:rFonts w:eastAsia="宋体"/>
    </w:rPr>
  </w:style>
  <w:style w:type="character" w:styleId="8">
    <w:name w:val="page number"/>
    <w:unhideWhenUsed/>
    <w:qFormat/>
    <w:uiPriority w:val="99"/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styleId="10">
    <w:name w:val="annotation reference"/>
    <w:unhideWhenUsed/>
    <w:qFormat/>
    <w:uiPriority w:val="99"/>
    <w:rPr>
      <w:sz w:val="16"/>
      <w:szCs w:val="16"/>
    </w:rPr>
  </w:style>
  <w:style w:type="character" w:customStyle="1" w:styleId="11">
    <w:name w:val="批注文字 字符"/>
    <w:link w:val="2"/>
    <w:qFormat/>
    <w:uiPriority w:val="99"/>
    <w:rPr>
      <w:rFonts w:ascii="Times New Roman" w:hAnsi="Times New Roman" w:eastAsia="宋体" w:cs="Times New Roman"/>
      <w:kern w:val="0"/>
      <w:sz w:val="20"/>
      <w:szCs w:val="20"/>
      <w:lang w:eastAsia="ja-JP"/>
    </w:rPr>
  </w:style>
  <w:style w:type="character" w:customStyle="1" w:styleId="12">
    <w:name w:val="批注框文本 字符"/>
    <w:link w:val="3"/>
    <w:semiHidden/>
    <w:qFormat/>
    <w:uiPriority w:val="99"/>
    <w:rPr>
      <w:rFonts w:ascii="Times New Roman" w:hAnsi="Times New Roman" w:eastAsia="MS Mincho" w:cs="Times New Roman"/>
      <w:kern w:val="0"/>
      <w:sz w:val="18"/>
      <w:szCs w:val="18"/>
      <w:lang w:eastAsia="ja-JP"/>
    </w:rPr>
  </w:style>
  <w:style w:type="character" w:customStyle="1" w:styleId="13">
    <w:name w:val="页脚 字符"/>
    <w:link w:val="4"/>
    <w:qFormat/>
    <w:uiPriority w:val="99"/>
    <w:rPr>
      <w:rFonts w:ascii="Times New Roman" w:hAnsi="Times New Roman" w:eastAsia="宋体" w:cs="Times New Roman"/>
      <w:kern w:val="0"/>
      <w:sz w:val="24"/>
      <w:szCs w:val="24"/>
      <w:lang w:eastAsia="ja-JP"/>
    </w:rPr>
  </w:style>
  <w:style w:type="character" w:customStyle="1" w:styleId="14">
    <w:name w:val="页眉 字符"/>
    <w:link w:val="5"/>
    <w:qFormat/>
    <w:uiPriority w:val="99"/>
    <w:rPr>
      <w:rFonts w:ascii="Times New Roman" w:hAnsi="Times New Roman" w:eastAsia="宋体" w:cs="Times New Roman"/>
      <w:kern w:val="0"/>
      <w:sz w:val="24"/>
      <w:szCs w:val="24"/>
      <w:lang w:eastAsia="ja-JP"/>
    </w:rPr>
  </w:style>
  <w:style w:type="paragraph" w:customStyle="1" w:styleId="15">
    <w:name w:val="p15"/>
    <w:basedOn w:val="1"/>
    <w:qFormat/>
    <w:uiPriority w:val="0"/>
    <w:pPr>
      <w:spacing w:line="480" w:lineRule="auto"/>
    </w:pPr>
    <w:rPr>
      <w:rFonts w:eastAsia="宋体"/>
      <w:b/>
      <w:bCs/>
      <w:color w:val="000000"/>
      <w:lang w:eastAsia="zh-CN"/>
    </w:rPr>
  </w:style>
  <w:style w:type="paragraph" w:customStyle="1" w:styleId="16">
    <w:name w:val="Keywords"/>
    <w:basedOn w:val="1"/>
    <w:qFormat/>
    <w:uiPriority w:val="0"/>
    <w:pPr>
      <w:spacing w:before="240" w:after="240" w:line="250" w:lineRule="exact"/>
    </w:pPr>
    <w:rPr>
      <w:rFonts w:ascii="Arial" w:hAnsi="Arial"/>
      <w:sz w:val="17"/>
      <w:szCs w:val="20"/>
      <w:lang w:val="en-GB"/>
    </w:rPr>
  </w:style>
  <w:style w:type="paragraph" w:customStyle="1" w:styleId="17">
    <w:name w:val="TA_Main_Text"/>
    <w:basedOn w:val="1"/>
    <w:qFormat/>
    <w:uiPriority w:val="0"/>
    <w:pPr>
      <w:spacing w:line="480" w:lineRule="auto"/>
      <w:ind w:firstLine="202"/>
    </w:pPr>
  </w:style>
  <w:style w:type="paragraph" w:customStyle="1" w:styleId="18">
    <w:name w:val="Teaser"/>
    <w:basedOn w:val="1"/>
    <w:qFormat/>
    <w:uiPriority w:val="0"/>
    <w:pPr>
      <w:spacing w:before="120" w:after="200"/>
      <w:jc w:val="both"/>
    </w:pPr>
    <w:rPr>
      <w:rFonts w:eastAsia="Times New Roman"/>
      <w:szCs w:val="20"/>
      <w:lang w:eastAsia="en-US"/>
    </w:rPr>
  </w:style>
  <w:style w:type="paragraph" w:customStyle="1" w:styleId="19">
    <w:name w:val="EndNote Bibliography"/>
    <w:basedOn w:val="1"/>
    <w:link w:val="20"/>
    <w:qFormat/>
    <w:uiPriority w:val="0"/>
  </w:style>
  <w:style w:type="character" w:customStyle="1" w:styleId="20">
    <w:name w:val="EndNote Bibliography 字符"/>
    <w:link w:val="19"/>
    <w:qFormat/>
    <w:uiPriority w:val="0"/>
    <w:rPr>
      <w:rFonts w:ascii="Times New Roman" w:hAnsi="Times New Roman" w:eastAsia="MS Mincho" w:cs="Times New Roman"/>
      <w:kern w:val="0"/>
      <w:sz w:val="24"/>
      <w:szCs w:val="24"/>
      <w:lang w:eastAsia="ja-JP"/>
    </w:rPr>
  </w:style>
  <w:style w:type="paragraph" w:customStyle="1" w:styleId="21">
    <w:name w:val="EndNote Bibliography Title"/>
    <w:basedOn w:val="1"/>
    <w:link w:val="22"/>
    <w:qFormat/>
    <w:uiPriority w:val="0"/>
    <w:pPr>
      <w:jc w:val="center"/>
    </w:pPr>
  </w:style>
  <w:style w:type="character" w:customStyle="1" w:styleId="22">
    <w:name w:val="EndNote Bibliography Title 字符"/>
    <w:link w:val="21"/>
    <w:qFormat/>
    <w:uiPriority w:val="0"/>
    <w:rPr>
      <w:rFonts w:ascii="Times New Roman" w:hAnsi="Times New Roman" w:eastAsia="MS Mincho" w:cs="Times New Roman"/>
      <w:kern w:val="0"/>
      <w:sz w:val="24"/>
      <w:szCs w:val="24"/>
      <w:lang w:eastAsia="ja-JP"/>
    </w:rPr>
  </w:style>
  <w:style w:type="paragraph" w:customStyle="1" w:styleId="23">
    <w:name w:val="Authors Full"/>
    <w:basedOn w:val="1"/>
    <w:qFormat/>
    <w:uiPriority w:val="0"/>
    <w:rPr>
      <w:rFonts w:eastAsia="宋体"/>
      <w:i/>
    </w:rPr>
  </w:style>
  <w:style w:type="paragraph" w:customStyle="1" w:styleId="24">
    <w:name w:val="BB_Author_Name"/>
    <w:basedOn w:val="1"/>
    <w:next w:val="25"/>
    <w:qFormat/>
    <w:uiPriority w:val="0"/>
    <w:pPr>
      <w:spacing w:after="240" w:line="480" w:lineRule="auto"/>
    </w:pPr>
    <w:rPr>
      <w:i/>
      <w:lang w:val="en-GB"/>
    </w:rPr>
  </w:style>
  <w:style w:type="paragraph" w:customStyle="1" w:styleId="25">
    <w:name w:val="BC_Author_Address"/>
    <w:basedOn w:val="1"/>
    <w:next w:val="26"/>
    <w:qFormat/>
    <w:uiPriority w:val="0"/>
    <w:pPr>
      <w:spacing w:after="240" w:line="480" w:lineRule="auto"/>
      <w:jc w:val="center"/>
    </w:pPr>
  </w:style>
  <w:style w:type="paragraph" w:customStyle="1" w:styleId="26">
    <w:name w:val="BI_Email_Address"/>
    <w:basedOn w:val="1"/>
    <w:next w:val="27"/>
    <w:qFormat/>
    <w:uiPriority w:val="0"/>
    <w:pPr>
      <w:spacing w:line="480" w:lineRule="auto"/>
    </w:pPr>
  </w:style>
  <w:style w:type="paragraph" w:customStyle="1" w:styleId="27">
    <w:name w:val="AI_Received_Date"/>
    <w:basedOn w:val="1"/>
    <w:next w:val="28"/>
    <w:qFormat/>
    <w:uiPriority w:val="0"/>
    <w:pPr>
      <w:spacing w:after="240" w:line="480" w:lineRule="auto"/>
    </w:pPr>
    <w:rPr>
      <w:b/>
    </w:rPr>
  </w:style>
  <w:style w:type="paragraph" w:customStyle="1" w:styleId="28">
    <w:name w:val="BD_Abstract"/>
    <w:basedOn w:val="1"/>
    <w:next w:val="17"/>
    <w:qFormat/>
    <w:uiPriority w:val="0"/>
    <w:pPr>
      <w:spacing w:before="360" w:after="360" w:line="480" w:lineRule="auto"/>
    </w:pPr>
    <w:rPr>
      <w:lang w:val="en-GB"/>
    </w:rPr>
  </w:style>
  <w:style w:type="paragraph" w:styleId="29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="Calibri" w:hAnsi="Calibri" w:eastAsia="宋体"/>
      <w:kern w:val="2"/>
      <w:sz w:val="21"/>
    </w:rPr>
  </w:style>
  <w:style w:type="paragraph" w:customStyle="1" w:styleId="30">
    <w:name w:val="TF_References_Section"/>
    <w:basedOn w:val="1"/>
    <w:qFormat/>
    <w:uiPriority w:val="0"/>
    <w:pPr>
      <w:spacing w:line="480" w:lineRule="auto"/>
    </w:pPr>
    <w:rPr>
      <w:b/>
      <w:sz w:val="28"/>
      <w:szCs w:val="28"/>
    </w:rPr>
  </w:style>
  <w:style w:type="paragraph" w:customStyle="1" w:styleId="31">
    <w:name w:val="TE_Supporting_Information"/>
    <w:basedOn w:val="1"/>
    <w:next w:val="1"/>
    <w:qFormat/>
    <w:uiPriority w:val="0"/>
    <w:pPr>
      <w:spacing w:after="200" w:line="480" w:lineRule="auto"/>
      <w:ind w:firstLine="187"/>
      <w:jc w:val="both"/>
    </w:pPr>
    <w:rPr>
      <w:rFonts w:ascii="Times" w:hAnsi="Times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351</Words>
  <Characters>2175</Characters>
  <Lines>15</Lines>
  <Paragraphs>4</Paragraphs>
  <TotalTime>3</TotalTime>
  <ScaleCrop>false</ScaleCrop>
  <LinksUpToDate>false</LinksUpToDate>
  <CharactersWithSpaces>2506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2025-05-23T10:01:00Z</dcterms:created>
  <dc:creator>谭 黛雅</dc:creator>
  <cp:lastModifiedBy>文祥</cp:lastModifiedBy>
  <dcterms:modified xsi:type="dcterms:W3CDTF">2026-03-01T03:48:47Z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31E3C58E840043D2A00B2FAF4455F7D7_13</vt:lpwstr>
  </property>
  <property fmtid="{D5CDD505-2E9C-101B-9397-08002B2CF9AE}" pid="4" name="KSOTemplateDocerSaveRecord">
    <vt:lpwstr>eyJoZGlkIjoiNTFiMGRiNzM3MTQyN2Q3NjdmOTRkMTg1ODg5NDUxMjEiLCJ1c2VySWQiOiIxNTU1NzUyNDUzIn0=</vt:lpwstr>
  </property>
</Properties>
</file>