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A2FAF" w14:textId="77777777" w:rsidR="00887797" w:rsidRPr="00BC640C" w:rsidRDefault="00000000">
      <w:pPr>
        <w:spacing w:beforeLines="50" w:before="156" w:afterLines="50" w:after="156"/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de-DE"/>
        </w:rPr>
      </w:pPr>
      <w:bookmarkStart w:id="0" w:name="_Hlk204777902"/>
      <w:bookmarkEnd w:id="0"/>
      <w:r w:rsidRPr="00BC640C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de-DE"/>
        </w:rPr>
        <w:t>Supp</w:t>
      </w:r>
      <w:r w:rsidRPr="00BC640C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:lang w:val="de-DE"/>
        </w:rPr>
        <w:t>orting</w:t>
      </w:r>
      <w:r w:rsidRPr="00BC640C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de-DE"/>
        </w:rPr>
        <w:t xml:space="preserve"> Information</w:t>
      </w:r>
      <w:r w:rsidRPr="00BC640C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:lang w:val="de-DE"/>
        </w:rPr>
        <w:t xml:space="preserve"> for</w:t>
      </w:r>
    </w:p>
    <w:p w14:paraId="24D4473C" w14:textId="77777777" w:rsidR="00887797" w:rsidRPr="00BC640C" w:rsidRDefault="00887797">
      <w:pPr>
        <w:spacing w:beforeLines="50" w:before="156" w:afterLines="50" w:after="156"/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de-DE"/>
        </w:rPr>
      </w:pPr>
    </w:p>
    <w:p w14:paraId="7EBD8988" w14:textId="77777777" w:rsidR="00887797" w:rsidRPr="00BC640C" w:rsidRDefault="00000000">
      <w:pPr>
        <w:spacing w:after="160" w:line="278" w:lineRule="auto"/>
        <w:rPr>
          <w:rFonts w:ascii="Times New Roman" w:eastAsia="MS Mincho" w:hAnsi="Times New Roman" w:cs="Times New Roman"/>
          <w:b/>
          <w:color w:val="000000" w:themeColor="text1"/>
          <w:kern w:val="0"/>
          <w:sz w:val="28"/>
          <w:szCs w:val="28"/>
          <w:lang w:eastAsia="ja-JP"/>
        </w:rPr>
      </w:pPr>
      <w:r w:rsidRPr="00BC640C">
        <w:rPr>
          <w:rFonts w:ascii="Times New Roman" w:eastAsia="MS Mincho" w:hAnsi="Times New Roman" w:cs="Times New Roman"/>
          <w:b/>
          <w:color w:val="000000" w:themeColor="text1"/>
          <w:kern w:val="0"/>
          <w:sz w:val="28"/>
          <w:szCs w:val="28"/>
          <w:lang w:eastAsia="ja-JP"/>
        </w:rPr>
        <w:t>Porphyrin Oriented Bimetallic Sonodynamic MOF for Enhanced Ferroptosis and cGAS-STING Pathway Mediated Antitumor Immunotherapy</w:t>
      </w:r>
    </w:p>
    <w:p w14:paraId="48522436" w14:textId="77777777" w:rsidR="00887797" w:rsidRPr="00BC640C" w:rsidRDefault="00000000">
      <w:pPr>
        <w:pStyle w:val="Head1"/>
        <w:rPr>
          <w:rFonts w:eastAsia="MS Mincho"/>
          <w:b w:val="0"/>
          <w:sz w:val="24"/>
          <w:szCs w:val="24"/>
          <w:lang w:eastAsia="ja-JP"/>
        </w:rPr>
      </w:pPr>
      <w:r w:rsidRPr="00BC640C">
        <w:rPr>
          <w:rFonts w:eastAsia="MS Mincho"/>
          <w:b w:val="0"/>
          <w:sz w:val="24"/>
          <w:szCs w:val="24"/>
          <w:lang w:eastAsia="ja-JP"/>
        </w:rPr>
        <w:t>Huan-Hui Wang</w:t>
      </w:r>
      <w:r w:rsidRPr="00BC640C">
        <w:rPr>
          <w:rFonts w:eastAsia="MS Mincho"/>
          <w:b w:val="0"/>
          <w:sz w:val="24"/>
          <w:szCs w:val="24"/>
          <w:vertAlign w:val="superscript"/>
          <w:lang w:eastAsia="ja-JP"/>
        </w:rPr>
        <w:t>1</w:t>
      </w:r>
      <w:r w:rsidRPr="00BC640C">
        <w:rPr>
          <w:rFonts w:eastAsia="MS Mincho"/>
          <w:b w:val="0"/>
          <w:sz w:val="24"/>
          <w:szCs w:val="24"/>
          <w:lang w:eastAsia="ja-JP"/>
        </w:rPr>
        <w:t>, Long-Yi Nan</w:t>
      </w:r>
      <w:r w:rsidRPr="00BC640C">
        <w:rPr>
          <w:rFonts w:eastAsia="MS Mincho"/>
          <w:b w:val="0"/>
          <w:sz w:val="24"/>
          <w:szCs w:val="24"/>
          <w:vertAlign w:val="superscript"/>
          <w:lang w:eastAsia="ja-JP"/>
        </w:rPr>
        <w:t>1</w:t>
      </w:r>
      <w:r w:rsidRPr="00BC640C">
        <w:rPr>
          <w:rFonts w:eastAsia="MS Mincho"/>
          <w:b w:val="0"/>
          <w:sz w:val="24"/>
          <w:szCs w:val="24"/>
          <w:lang w:eastAsia="ja-JP"/>
        </w:rPr>
        <w:t>, Yan Zheng</w:t>
      </w:r>
      <w:r w:rsidRPr="00BC640C">
        <w:rPr>
          <w:rFonts w:eastAsia="MS Mincho"/>
          <w:b w:val="0"/>
          <w:sz w:val="24"/>
          <w:szCs w:val="24"/>
          <w:vertAlign w:val="superscript"/>
          <w:lang w:eastAsia="ja-JP"/>
        </w:rPr>
        <w:t>1, *</w:t>
      </w:r>
      <w:r w:rsidRPr="00BC640C">
        <w:rPr>
          <w:rFonts w:eastAsia="MS Mincho"/>
          <w:b w:val="0"/>
          <w:sz w:val="24"/>
          <w:szCs w:val="24"/>
          <w:lang w:eastAsia="ja-JP"/>
        </w:rPr>
        <w:t>, Jian-Peng Guo</w:t>
      </w:r>
      <w:r w:rsidRPr="00BC640C">
        <w:rPr>
          <w:rFonts w:eastAsia="MS Mincho"/>
          <w:b w:val="0"/>
          <w:sz w:val="24"/>
          <w:szCs w:val="24"/>
          <w:vertAlign w:val="superscript"/>
          <w:lang w:eastAsia="ja-JP"/>
        </w:rPr>
        <w:t>1, *</w:t>
      </w:r>
    </w:p>
    <w:p w14:paraId="1244048F" w14:textId="77777777" w:rsidR="00887797" w:rsidRPr="00BC640C" w:rsidRDefault="00000000">
      <w:pPr>
        <w:pStyle w:val="Head1"/>
        <w:rPr>
          <w:rFonts w:eastAsia="MS Mincho"/>
          <w:b w:val="0"/>
          <w:sz w:val="24"/>
          <w:szCs w:val="24"/>
          <w:lang w:eastAsia="ja-JP"/>
        </w:rPr>
      </w:pPr>
      <w:r w:rsidRPr="00BC640C">
        <w:rPr>
          <w:rFonts w:eastAsia="MS Mincho"/>
          <w:b w:val="0"/>
          <w:sz w:val="24"/>
          <w:szCs w:val="24"/>
          <w:vertAlign w:val="superscript"/>
          <w:lang w:eastAsia="ja-JP"/>
        </w:rPr>
        <w:t>1</w:t>
      </w:r>
      <w:r w:rsidRPr="00BC640C">
        <w:rPr>
          <w:rFonts w:eastAsia="MS Mincho"/>
          <w:b w:val="0"/>
          <w:sz w:val="24"/>
          <w:szCs w:val="24"/>
          <w:lang w:eastAsia="ja-JP"/>
        </w:rPr>
        <w:t xml:space="preserve"> College of Pharmacy, Yanbian University, 977 Gongyuan Road, Yanji 133002, PR China</w:t>
      </w:r>
    </w:p>
    <w:p w14:paraId="566FACBA" w14:textId="77777777" w:rsidR="00887797" w:rsidRPr="00BC640C" w:rsidRDefault="00000000">
      <w:pPr>
        <w:pStyle w:val="Head1"/>
        <w:rPr>
          <w:rFonts w:eastAsia="MS Mincho"/>
          <w:b w:val="0"/>
          <w:sz w:val="24"/>
          <w:szCs w:val="24"/>
          <w:lang w:eastAsia="ja-JP"/>
        </w:rPr>
      </w:pPr>
      <w:r w:rsidRPr="00BC640C">
        <w:rPr>
          <w:rFonts w:eastAsia="MS Mincho"/>
          <w:b w:val="0"/>
          <w:sz w:val="24"/>
          <w:szCs w:val="24"/>
          <w:vertAlign w:val="superscript"/>
          <w:lang w:eastAsia="ja-JP"/>
        </w:rPr>
        <w:t>*</w:t>
      </w:r>
      <w:r w:rsidRPr="00BC640C">
        <w:rPr>
          <w:rFonts w:eastAsia="MS Mincho"/>
          <w:b w:val="0"/>
          <w:sz w:val="24"/>
          <w:szCs w:val="24"/>
          <w:lang w:eastAsia="ja-JP"/>
        </w:rPr>
        <w:t>Corresponding author. E-mail: zhengyan_0308@163.com (Y. Zheng); gjp807@ybu.edu.cn (J. P. Guo)</w:t>
      </w:r>
    </w:p>
    <w:p w14:paraId="1542400D" w14:textId="77777777" w:rsidR="00887797" w:rsidRPr="00BC640C" w:rsidRDefault="00000000">
      <w:pPr>
        <w:adjustRightInd w:val="0"/>
        <w:snapToGrid w:val="0"/>
        <w:spacing w:beforeLines="100" w:before="312" w:afterLines="100" w:after="312"/>
        <w:jc w:val="left"/>
        <w:outlineLvl w:val="0"/>
        <w:rPr>
          <w:rFonts w:ascii="Times New Roman" w:eastAsia="等线" w:hAnsi="Times New Roman" w:cs="Times New Roman"/>
          <w:b/>
          <w:bCs/>
          <w:kern w:val="44"/>
          <w:sz w:val="28"/>
          <w:szCs w:val="44"/>
        </w:rPr>
      </w:pPr>
      <w:r w:rsidRPr="00BC640C">
        <w:rPr>
          <w:rFonts w:ascii="Times New Roman" w:eastAsia="等线" w:hAnsi="Times New Roman" w:cs="Times New Roman"/>
          <w:b/>
          <w:bCs/>
          <w:kern w:val="44"/>
          <w:sz w:val="28"/>
          <w:szCs w:val="44"/>
        </w:rPr>
        <w:t>Supplementary Figures and Tables</w:t>
      </w:r>
    </w:p>
    <w:p w14:paraId="299FFC74" w14:textId="77777777" w:rsidR="00887797" w:rsidRPr="00BC640C" w:rsidRDefault="00000000">
      <w:pPr>
        <w:spacing w:line="360" w:lineRule="auto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32647E54" wp14:editId="544F17C8">
            <wp:extent cx="5263515" cy="12954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4BDC9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</w:t>
      </w:r>
      <w:r w:rsidRPr="00BC640C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BC640C">
        <w:rPr>
          <w:rFonts w:ascii="Times New Roman" w:hAnsi="Times New Roman" w:cs="Times New Roman"/>
          <w:bCs/>
          <w:sz w:val="24"/>
          <w:szCs w:val="24"/>
        </w:rPr>
        <w:t>. Three-dimensional reciprocal lattice of Mn–Fe(TCPP) MOF reconstructed from cRED data. (a) Reconstructed three-dimensional reciprocal lattice showing the overall reflection distribution. (b–d) Selected reciprocal lattice sections viewed along the a*, b*, and c* directions, respectively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4011CB72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</w:rPr>
      </w:pPr>
      <w:r w:rsidRPr="00BC640C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7950477E" wp14:editId="17D3A5EF">
            <wp:extent cx="3227070" cy="5581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707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69EF9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S2</w:t>
      </w:r>
      <w:r w:rsidRPr="00BC640C">
        <w:rPr>
          <w:rFonts w:ascii="Times New Roman" w:hAnsi="Times New Roman" w:cs="Times New Roman"/>
          <w:bCs/>
          <w:sz w:val="24"/>
          <w:szCs w:val="24"/>
        </w:rPr>
        <w:t>.</w:t>
      </w:r>
      <w:r w:rsidRPr="00BC640C">
        <w:rPr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Crystal structure of Mn–Fe(TCPP) MOF. (a-c) The crystal structure models of Mn–Fe(TCPP) MOF viewed along the a, b, and c crystallographic axes, respectively.</w:t>
      </w:r>
    </w:p>
    <w:p w14:paraId="49FD5FAB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</w:rPr>
      </w:pPr>
      <w:r w:rsidRPr="00BC640C">
        <w:rPr>
          <w:rFonts w:ascii="Times New Roman" w:hAnsi="Times New Roman" w:cs="Times New Roman"/>
          <w:bCs/>
        </w:rPr>
        <w:lastRenderedPageBreak/>
        <w:t xml:space="preserve"> </w:t>
      </w:r>
      <w:r w:rsidRPr="00BC640C">
        <w:rPr>
          <w:rFonts w:ascii="Times New Roman" w:hAnsi="Times New Roman" w:cs="Times New Roman"/>
          <w:bCs/>
          <w:noProof/>
        </w:rPr>
        <w:drawing>
          <wp:inline distT="0" distB="0" distL="0" distR="0" wp14:anchorId="2D9190BA" wp14:editId="4469ED50">
            <wp:extent cx="3159760" cy="269684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1119" cy="27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BF937" w14:textId="5C8B992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S3</w:t>
      </w:r>
      <w:r w:rsidRPr="00BC640C">
        <w:rPr>
          <w:rFonts w:ascii="Times New Roman" w:hAnsi="Times New Roman" w:cs="Times New Roman"/>
          <w:bCs/>
          <w:sz w:val="24"/>
          <w:szCs w:val="24"/>
        </w:rPr>
        <w:t>. PXRD patterns of simulated Mn–Fe(TCPP) MOF (</w:t>
      </w:r>
      <w:r w:rsidR="00191699" w:rsidRPr="00BC640C">
        <w:rPr>
          <w:rFonts w:ascii="Times New Roman" w:hAnsi="Times New Roman" w:cs="Times New Roman" w:hint="eastAsia"/>
          <w:bCs/>
          <w:sz w:val="24"/>
          <w:szCs w:val="24"/>
        </w:rPr>
        <w:t>blue</w:t>
      </w:r>
      <w:r w:rsidRPr="00BC640C">
        <w:rPr>
          <w:rFonts w:ascii="Times New Roman" w:hAnsi="Times New Roman" w:cs="Times New Roman"/>
          <w:bCs/>
          <w:sz w:val="24"/>
          <w:szCs w:val="24"/>
        </w:rPr>
        <w:t>) and as-synthesized Mn–Fe(TCPP) MOF (red).</w:t>
      </w:r>
    </w:p>
    <w:p w14:paraId="35A48182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 w:hint="eastAsia"/>
          <w:bCs/>
          <w:noProof/>
          <w:sz w:val="24"/>
          <w:szCs w:val="24"/>
        </w:rPr>
        <w:drawing>
          <wp:inline distT="0" distB="0" distL="0" distR="0" wp14:anchorId="2EC1E351" wp14:editId="5F3A5851">
            <wp:extent cx="5271770" cy="2202815"/>
            <wp:effectExtent l="0" t="0" r="508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9197E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S4</w:t>
      </w:r>
      <w:r w:rsidRPr="00BC640C">
        <w:rPr>
          <w:rFonts w:ascii="Times New Roman" w:hAnsi="Times New Roman" w:cs="Times New Roman"/>
          <w:bCs/>
          <w:sz w:val="24"/>
          <w:szCs w:val="24"/>
        </w:rPr>
        <w:t>. Metal ion release behavior of Mn–Fe(TCPP) MOF under (a) physiological conditions and (b) tumor-mimicking microenvironment.</w:t>
      </w:r>
    </w:p>
    <w:p w14:paraId="0F23B245" w14:textId="77777777" w:rsidR="00887797" w:rsidRPr="00BC640C" w:rsidRDefault="00887797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77ABD16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lastRenderedPageBreak/>
        <w:drawing>
          <wp:inline distT="0" distB="0" distL="0" distR="0" wp14:anchorId="5C5AF69D" wp14:editId="28B3C10D">
            <wp:extent cx="3028950" cy="263461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2246" cy="26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4D26D" w14:textId="77777777" w:rsidR="00887797" w:rsidRPr="00BC640C" w:rsidRDefault="00000000">
      <w:pPr>
        <w:spacing w:line="360" w:lineRule="auto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 xml:space="preserve">Fig. S5. </w:t>
      </w:r>
      <w:r w:rsidRPr="00BC640C">
        <w:rPr>
          <w:rFonts w:ascii="Times New Roman" w:hAnsi="Times New Roman" w:cs="Times New Roman"/>
          <w:bCs/>
          <w:sz w:val="24"/>
          <w:szCs w:val="24"/>
        </w:rPr>
        <w:t>FT-IR spectra of F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e</w:t>
      </w:r>
      <w:r w:rsidRPr="00BC640C">
        <w:rPr>
          <w:rFonts w:ascii="Times New Roman" w:hAnsi="Times New Roman" w:cs="Times New Roman"/>
          <w:bCs/>
          <w:sz w:val="24"/>
          <w:szCs w:val="24"/>
        </w:rPr>
        <w:t>TCPP, Fe(TCPP)-MOF, and FMP.</w:t>
      </w:r>
    </w:p>
    <w:p w14:paraId="35F98CD8" w14:textId="77777777" w:rsidR="00887797" w:rsidRPr="00BC640C" w:rsidRDefault="00887797">
      <w:pPr>
        <w:spacing w:line="360" w:lineRule="auto"/>
        <w:ind w:firstLineChars="200" w:firstLine="480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</w:p>
    <w:p w14:paraId="419D0DDD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1301C54D" wp14:editId="45FAC994">
            <wp:extent cx="3131820" cy="268732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9048" cy="270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9B77E" w14:textId="77777777" w:rsidR="00887797" w:rsidRPr="00BC640C" w:rsidRDefault="00000000">
      <w:pPr>
        <w:spacing w:line="360" w:lineRule="auto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 xml:space="preserve">Fig. S6. </w:t>
      </w:r>
      <w:r w:rsidRPr="00BC640C">
        <w:rPr>
          <w:rFonts w:ascii="Times New Roman" w:hAnsi="Times New Roman" w:cs="Times New Roman"/>
          <w:bCs/>
          <w:sz w:val="24"/>
          <w:szCs w:val="24"/>
        </w:rPr>
        <w:t>PXRD patterns of TCPP, FeCl</w:t>
      </w:r>
      <w:r w:rsidRPr="00BC640C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BC640C">
        <w:rPr>
          <w:rFonts w:ascii="Times New Roman" w:hAnsi="Times New Roman" w:cs="Times New Roman"/>
          <w:bCs/>
          <w:sz w:val="24"/>
          <w:szCs w:val="24"/>
        </w:rPr>
        <w:t>, and Fe(TCPP)-MOF.</w:t>
      </w:r>
    </w:p>
    <w:p w14:paraId="78713F4D" w14:textId="77777777" w:rsidR="00887797" w:rsidRPr="00BC640C" w:rsidRDefault="00887797">
      <w:pPr>
        <w:spacing w:line="360" w:lineRule="auto"/>
        <w:ind w:firstLineChars="200" w:firstLine="480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</w:p>
    <w:p w14:paraId="2B9667B5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lastRenderedPageBreak/>
        <w:drawing>
          <wp:inline distT="0" distB="0" distL="0" distR="0" wp14:anchorId="41140BDB" wp14:editId="3917A946">
            <wp:extent cx="3489960" cy="24003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1827" cy="240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5529C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 xml:space="preserve">Fig. S7. </w:t>
      </w:r>
      <w:r w:rsidRPr="00BC640C">
        <w:rPr>
          <w:rFonts w:ascii="Times New Roman" w:hAnsi="Times New Roman" w:cs="Times New Roman"/>
          <w:bCs/>
          <w:sz w:val="24"/>
          <w:szCs w:val="24"/>
        </w:rPr>
        <w:t>RGD@Mn-Fe(TCPP) MOF exhibited excellent stability, maintaining its structural integrity for up to 7 days under simulated physiological conditions. Data are presented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3).</w:t>
      </w:r>
    </w:p>
    <w:p w14:paraId="010F0BEF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497A76" w14:textId="77777777" w:rsidR="00887797" w:rsidRPr="00BC640C" w:rsidRDefault="00000000">
      <w:pPr>
        <w:spacing w:line="36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eastAsia="SimSun" w:hAnsi="Times New Roman" w:cs="Times New Roman" w:hint="eastAsia"/>
          <w:noProof/>
          <w:kern w:val="0"/>
          <w:sz w:val="24"/>
          <w:szCs w:val="24"/>
        </w:rPr>
        <w:drawing>
          <wp:inline distT="0" distB="0" distL="0" distR="0" wp14:anchorId="5BC5BEAA" wp14:editId="4C307099">
            <wp:extent cx="5264785" cy="231394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BC1E8" w14:textId="77777777" w:rsidR="00887797" w:rsidRPr="00BC640C" w:rsidRDefault="00000000">
      <w:pPr>
        <w:spacing w:line="360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Pr="00BC640C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BC640C">
        <w:rPr>
          <w:rFonts w:ascii="Times New Roman" w:hAnsi="Times New Roman" w:cs="Times New Roman"/>
          <w:b/>
          <w:sz w:val="24"/>
          <w:szCs w:val="24"/>
        </w:rPr>
        <w:t>.</w:t>
      </w:r>
      <w:r w:rsidRPr="00BC640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>PL spectra of (a) FeTCPP and (b) MFMP in DMF with different water fractions (f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  <w:vertAlign w:val="subscript"/>
        </w:rPr>
        <w:t>w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= 0% and 90%).</w:t>
      </w:r>
    </w:p>
    <w:p w14:paraId="45F41EC9" w14:textId="77777777" w:rsidR="00531ADF" w:rsidRPr="00BC640C" w:rsidRDefault="00531ADF">
      <w:pPr>
        <w:spacing w:line="360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14:paraId="1321564A" w14:textId="3DEA1E2F" w:rsidR="00531ADF" w:rsidRPr="00BC640C" w:rsidRDefault="00531ADF" w:rsidP="00531ADF">
      <w:pPr>
        <w:spacing w:line="36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eastAsia="SimSu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6CE54AD0" wp14:editId="1EBCE550">
            <wp:extent cx="4431030" cy="1776095"/>
            <wp:effectExtent l="0" t="0" r="7620" b="0"/>
            <wp:docPr id="1212463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030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16BC" w14:textId="4AD80B5A" w:rsidR="00531ADF" w:rsidRPr="00BC640C" w:rsidRDefault="00531ADF" w:rsidP="009468A3">
      <w:pPr>
        <w:spacing w:line="360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Fig. S9.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Optimization of ultrasound irradiation parameters for intracellular ROS generation.</w:t>
      </w:r>
    </w:p>
    <w:p w14:paraId="6C62DEA1" w14:textId="5B8CD3AA" w:rsidR="00531ADF" w:rsidRPr="00BC640C" w:rsidRDefault="00531ADF" w:rsidP="009468A3">
      <w:pPr>
        <w:spacing w:line="360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eastAsia="SimSun" w:hAnsi="Times New Roman" w:cs="Times New Roman"/>
          <w:kern w:val="0"/>
          <w:sz w:val="24"/>
          <w:szCs w:val="24"/>
        </w:rPr>
        <w:lastRenderedPageBreak/>
        <w:t>(a) Time-dependent intracellular ROS levels under ultrasound irradiation (1.5 W·cm</w:t>
      </w:r>
      <w:r w:rsidRPr="00BC640C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-2</w:t>
      </w:r>
      <w:r w:rsidRPr="00BC640C">
        <w:rPr>
          <w:rFonts w:ascii="Times New Roman" w:eastAsia="SimSun" w:hAnsi="Times New Roman" w:cs="Times New Roman"/>
          <w:kern w:val="0"/>
          <w:sz w:val="24"/>
          <w:szCs w:val="24"/>
        </w:rPr>
        <w:t xml:space="preserve">) for 1, 5, 10, and 15 min. (b) Power-dependent intracellular ROS levels under 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>US</w:t>
      </w:r>
      <w:r w:rsidRPr="00BC640C">
        <w:rPr>
          <w:rFonts w:ascii="Times New Roman" w:eastAsia="SimSun" w:hAnsi="Times New Roman" w:cs="Times New Roman"/>
          <w:kern w:val="0"/>
          <w:sz w:val="24"/>
          <w:szCs w:val="24"/>
        </w:rPr>
        <w:t xml:space="preserve"> irradiation for 5 min at different power densities (0.5, 1.0, 1.5, and 2.0 W·cm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-2</w:t>
      </w:r>
      <w:r w:rsidRPr="00BC640C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. Data are presented as mean 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>±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SD (n = 3). ***</w:t>
      </w:r>
      <w:r w:rsidRPr="00BC640C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P</w:t>
      </w:r>
      <w:r w:rsidRPr="00BC640C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&lt; 0.001.</w:t>
      </w:r>
    </w:p>
    <w:p w14:paraId="397AB9B3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795C8C8C" wp14:editId="6E88D76F">
            <wp:extent cx="5272405" cy="5080635"/>
            <wp:effectExtent l="0" t="0" r="444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08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2C864" w14:textId="1FD3AD84" w:rsidR="00887797" w:rsidRPr="00BC640C" w:rsidRDefault="00000000">
      <w:pPr>
        <w:spacing w:line="360" w:lineRule="auto"/>
        <w:rPr>
          <w:rFonts w:ascii="Times New Roman" w:eastAsia="Yu Mincho" w:hAnsi="Times New Roman" w:cs="Times New Roman"/>
          <w:bCs/>
          <w:kern w:val="0"/>
          <w:sz w:val="24"/>
          <w:szCs w:val="24"/>
          <w:lang w:eastAsia="ja-JP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10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Representative CLSM images of 4T1 cells after 12 h incubation with FITC@FeTCPP, FITC@FMP, and FITC@MFMP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1B3E7F4B" w14:textId="77777777" w:rsidR="00887797" w:rsidRPr="00BC640C" w:rsidRDefault="00887797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</w:p>
    <w:p w14:paraId="47A6275A" w14:textId="77777777" w:rsidR="00887797" w:rsidRPr="00BC640C" w:rsidRDefault="00000000">
      <w:pPr>
        <w:spacing w:line="36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eastAsia="SimSun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12BDB1D7" wp14:editId="125C49F8">
            <wp:extent cx="5270500" cy="2603500"/>
            <wp:effectExtent l="0" t="0" r="6350" b="635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08FFF" w14:textId="006BD53D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BC640C">
        <w:rPr>
          <w:rFonts w:ascii="Times New Roman" w:hAnsi="Times New Roman" w:cs="Times New Roman"/>
          <w:b/>
          <w:sz w:val="24"/>
          <w:szCs w:val="24"/>
        </w:rPr>
        <w:t>. (</w:t>
      </w:r>
      <w:r w:rsidRPr="00BC640C">
        <w:rPr>
          <w:rFonts w:ascii="Times New Roman" w:hAnsi="Times New Roman" w:cs="Times New Roman"/>
          <w:bCs/>
          <w:sz w:val="24"/>
          <w:szCs w:val="24"/>
        </w:rPr>
        <w:t>a)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Flow cytometry analysis of 4T1 cells after 12 h incubation with FITC@FeTCPP, FITC@FMP, and FITC@MFMP. (b) Quantification of fluorescence intensity in 4T1 cells treated with FITC@FeTCPP, FITC@FMP, and FITC@MFMP.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Data are expressed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3</w:t>
      </w:r>
      <w:r w:rsidRPr="00BC640C">
        <w:rPr>
          <w:rFonts w:ascii="Times New Roman" w:hAnsi="Times New Roman" w:cs="Times New Roman"/>
          <w:bCs/>
          <w:sz w:val="24"/>
          <w:szCs w:val="24"/>
        </w:rPr>
        <w:t>).</w:t>
      </w:r>
      <w:r w:rsidRPr="00BC640C">
        <w:rPr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63E0FD7B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49693B57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798E5FCB" wp14:editId="65FDF17E">
            <wp:extent cx="5251450" cy="1384300"/>
            <wp:effectExtent l="0" t="0" r="6350" b="635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64268" w14:textId="287EF2DC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Cell viability of 4T1 cells under different treatment conditions. Data are expressed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5).</w:t>
      </w:r>
      <w:r w:rsidRPr="00BC640C">
        <w:rPr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ns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&gt; 0.05;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0.05; 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0.01; 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0A2AD620" w14:textId="77777777" w:rsidR="00B12024" w:rsidRPr="00BC640C" w:rsidRDefault="00B1202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CD7903" w14:textId="77777777" w:rsidR="00B12024" w:rsidRPr="00BC640C" w:rsidRDefault="00B12024">
      <w:pPr>
        <w:spacing w:line="360" w:lineRule="auto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4CAF9998" w14:textId="59C536E0" w:rsidR="00B12024" w:rsidRPr="00BC640C" w:rsidRDefault="00B12024" w:rsidP="00B12024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4DAB186" wp14:editId="5CF0030C">
            <wp:extent cx="3059430" cy="1341714"/>
            <wp:effectExtent l="0" t="0" r="7620" b="0"/>
            <wp:docPr id="3823937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79" t="16472" r="35654" b="42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127" cy="134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50880" w14:textId="180CEBDC" w:rsidR="00B12024" w:rsidRPr="00BC640C" w:rsidRDefault="00B12024" w:rsidP="00B1202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C640C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C640C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455EE9" w:rsidRPr="00BC640C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C640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Representative high-magnification bright-field images of 4T1 cells treated with MFMP + US.</w:t>
      </w:r>
      <w:r w:rsidR="00E677FB" w:rsidRPr="00BC640C">
        <w:rPr>
          <w:rFonts w:ascii="Times New Roman" w:hAnsi="Times New Roman" w:cs="Times New Roman"/>
          <w:sz w:val="24"/>
        </w:rPr>
        <w:t xml:space="preserve"> Scale bar = 20 μm.</w:t>
      </w:r>
    </w:p>
    <w:p w14:paraId="21FE8CC4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6AEDC8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5A266DA0" wp14:editId="0F4880D3">
            <wp:extent cx="5270500" cy="1238250"/>
            <wp:effectExtent l="0" t="0" r="635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0DC6F" w14:textId="21382C92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Analysis of (a) IL-1β release, (b) LDH activity, and (c) IL-1β expression levels. Data are presented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5).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ns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&gt; 0.05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; </w:t>
      </w:r>
      <w:r w:rsidRPr="00BC640C">
        <w:rPr>
          <w:rFonts w:ascii="Times New Roman" w:hAnsi="Times New Roman" w:cs="Times New Roman"/>
          <w:bCs/>
          <w:sz w:val="24"/>
          <w:szCs w:val="24"/>
        </w:rPr>
        <w:t>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0.01;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4F8572CD" w14:textId="77777777" w:rsidR="00887797" w:rsidRPr="00BC640C" w:rsidRDefault="00887797">
      <w:pPr>
        <w:spacing w:line="360" w:lineRule="auto"/>
        <w:ind w:firstLineChars="200" w:firstLine="480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</w:p>
    <w:p w14:paraId="4D921291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6B82CF21" wp14:editId="145112D6">
            <wp:extent cx="5109210" cy="3121025"/>
            <wp:effectExtent l="0" t="0" r="0" b="317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393" cy="312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F1452" w14:textId="17D0A96F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(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BC640C">
        <w:rPr>
          <w:rFonts w:ascii="Times New Roman" w:hAnsi="Times New Roman" w:cs="Times New Roman"/>
          <w:bCs/>
          <w:sz w:val="24"/>
          <w:szCs w:val="24"/>
        </w:rPr>
        <w:t>)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Quantification of GSH immunofluorescence intensity in 4T1 cells after different treatments. (b) Flow cytometric analysis of GSH expression in 4T1 cells after different treatments.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Data are presented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3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BC640C">
        <w:rPr>
          <w:rFonts w:ascii="Times New Roman" w:hAnsi="Times New Roman" w:cs="Times New Roman" w:hint="eastAsia"/>
          <w:bCs/>
          <w:i/>
          <w:iCs/>
          <w:sz w:val="24"/>
          <w:szCs w:val="24"/>
        </w:rPr>
        <w:t>ns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&gt; 0.05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; </w:t>
      </w:r>
      <w:r w:rsidRPr="00BC640C">
        <w:rPr>
          <w:rFonts w:ascii="Times New Roman" w:hAnsi="Times New Roman" w:cs="Times New Roman"/>
          <w:bCs/>
          <w:sz w:val="24"/>
          <w:szCs w:val="24"/>
        </w:rPr>
        <w:t>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0.01;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441B9137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9EB588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054C5A50" wp14:editId="5D3155E0">
            <wp:extent cx="2516505" cy="1712595"/>
            <wp:effectExtent l="0" t="0" r="0" b="190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9370" cy="172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71859" w14:textId="76E5AF2A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Relative grey values of GPX4 protein blots normalized to the internal reference. Data </w:t>
      </w:r>
      <w:r w:rsidRPr="00BC640C">
        <w:rPr>
          <w:rFonts w:ascii="Times New Roman" w:hAnsi="Times New Roman" w:cs="Times New Roman"/>
          <w:bCs/>
          <w:sz w:val="24"/>
          <w:szCs w:val="24"/>
        </w:rPr>
        <w:lastRenderedPageBreak/>
        <w:t>are presented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6).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0.05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0C5DBE37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56FA15" w14:textId="77777777" w:rsidR="00887797" w:rsidRPr="00BC640C" w:rsidRDefault="00887797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</w:p>
    <w:p w14:paraId="3AC4B0A6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48B84FA9" wp14:editId="61D4E5B4">
            <wp:extent cx="5100320" cy="3019425"/>
            <wp:effectExtent l="0" t="0" r="508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27"/>
                    <a:stretch>
                      <a:fillRect/>
                    </a:stretch>
                  </pic:blipFill>
                  <pic:spPr>
                    <a:xfrm>
                      <a:off x="0" y="0"/>
                      <a:ext cx="5108051" cy="302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9B2EA" w14:textId="2F30CF0B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(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BC640C">
        <w:rPr>
          <w:rFonts w:ascii="Times New Roman" w:hAnsi="Times New Roman" w:cs="Times New Roman"/>
          <w:bCs/>
          <w:sz w:val="24"/>
          <w:szCs w:val="24"/>
        </w:rPr>
        <w:t>)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Quantification of GPX4 immunofluorescence intensity in 4T1 cells after different treatments. (b) Flow cytometric analysis of GPX4 expression in 4T1 cells after different treatments.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Data are expressed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5).</w:t>
      </w:r>
      <w:r w:rsidRPr="00BC640C">
        <w:rPr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ns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&gt; 0.05;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0.05; 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0.01; 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3D116FFC" w14:textId="77777777" w:rsidR="00887797" w:rsidRPr="00BC640C" w:rsidRDefault="00887797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</w:p>
    <w:p w14:paraId="6101DA21" w14:textId="77777777" w:rsidR="00887797" w:rsidRPr="00BC640C" w:rsidRDefault="00000000">
      <w:pPr>
        <w:spacing w:line="360" w:lineRule="auto"/>
        <w:jc w:val="center"/>
        <w:rPr>
          <w:rFonts w:ascii="Times New Roman" w:eastAsia="Yu Mincho" w:hAnsi="Times New Roman" w:cs="Times New Roman"/>
          <w:kern w:val="0"/>
          <w:sz w:val="24"/>
          <w:szCs w:val="24"/>
          <w:lang w:eastAsia="ja-JP"/>
        </w:rPr>
      </w:pPr>
      <w:r w:rsidRPr="00BC640C">
        <w:rPr>
          <w:rFonts w:ascii="Times New Roman" w:eastAsia="Yu Mincho" w:hAnsi="Times New Roman" w:cs="Times New Roman"/>
          <w:noProof/>
          <w:kern w:val="0"/>
          <w:sz w:val="24"/>
          <w:szCs w:val="24"/>
          <w:lang w:eastAsia="ja-JP"/>
        </w:rPr>
        <w:drawing>
          <wp:inline distT="0" distB="0" distL="0" distR="0" wp14:anchorId="3F7D0607" wp14:editId="3A5D1A01">
            <wp:extent cx="2805430" cy="1922145"/>
            <wp:effectExtent l="0" t="0" r="0" b="190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7379" cy="193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A1E0C" w14:textId="0D0F0891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Relative grey values of HMGB1 protein blots normalized to the internal reference. Data are presented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6).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0.05. </w:t>
      </w:r>
    </w:p>
    <w:p w14:paraId="47FF8814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143950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 w:hint="eastAsia"/>
          <w:bCs/>
          <w:noProof/>
          <w:sz w:val="24"/>
          <w:szCs w:val="24"/>
        </w:rPr>
        <w:lastRenderedPageBreak/>
        <w:drawing>
          <wp:inline distT="0" distB="0" distL="0" distR="0" wp14:anchorId="20BB5B94" wp14:editId="4EB4ED9E">
            <wp:extent cx="3134995" cy="2155190"/>
            <wp:effectExtent l="0" t="0" r="8255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787ED" w14:textId="542875D4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</w:t>
      </w:r>
      <w:r w:rsidRPr="00BC64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/>
          <w:sz w:val="24"/>
          <w:szCs w:val="24"/>
        </w:rPr>
        <w:t>S1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9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Quantification of cytosolic dsDNA levels in 4T1 cells after different treatments.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Data are presented as mean 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±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SD (</w:t>
      </w:r>
      <w:r w:rsidRPr="00BC640C">
        <w:rPr>
          <w:rFonts w:ascii="Times New Roman" w:hAnsi="Times New Roman" w:cs="Times New Roman" w:hint="eastAsia"/>
          <w:bCs/>
          <w:i/>
          <w:iCs/>
          <w:sz w:val="24"/>
          <w:szCs w:val="24"/>
        </w:rPr>
        <w:t xml:space="preserve">n 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= 6); </w:t>
      </w:r>
      <w:r w:rsidRPr="00BC640C">
        <w:rPr>
          <w:rFonts w:ascii="Times New Roman" w:hAnsi="Times New Roman" w:cs="Times New Roman" w:hint="eastAsia"/>
          <w:bCs/>
          <w:i/>
          <w:iCs/>
          <w:sz w:val="24"/>
          <w:szCs w:val="24"/>
        </w:rPr>
        <w:t>***p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&lt; 0.001.</w:t>
      </w:r>
    </w:p>
    <w:p w14:paraId="20569572" w14:textId="77777777" w:rsidR="00887797" w:rsidRPr="00BC640C" w:rsidRDefault="00000000">
      <w:pPr>
        <w:spacing w:line="360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C640C">
        <w:rPr>
          <w:rFonts w:ascii="Times New Roman" w:eastAsia="SimSun" w:hAnsi="Times New Roman" w:cs="Times New Roman" w:hint="eastAsia"/>
          <w:noProof/>
          <w:kern w:val="0"/>
          <w:sz w:val="24"/>
          <w:szCs w:val="24"/>
        </w:rPr>
        <w:drawing>
          <wp:inline distT="0" distB="0" distL="0" distR="0" wp14:anchorId="0E0CB0BA" wp14:editId="17E47962">
            <wp:extent cx="5268595" cy="2677795"/>
            <wp:effectExtent l="0" t="0" r="8255" b="825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0041E" w14:textId="581F078B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</w:t>
      </w:r>
      <w:r w:rsidRPr="00BC64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/>
          <w:sz w:val="24"/>
          <w:szCs w:val="24"/>
        </w:rPr>
        <w:t>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20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Western blot analysis of cGAS–STING pathway–related proteins (a). p-IRF-3, (b). p-TBK-1, (c) p-STING, (d) p-NF-Κb, (e) IKK, (f) cGAS. Data are expressed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3</w:t>
      </w:r>
      <w:r w:rsidRPr="00BC640C">
        <w:rPr>
          <w:rFonts w:ascii="Times New Roman" w:hAnsi="Times New Roman" w:cs="Times New Roman"/>
          <w:bCs/>
          <w:sz w:val="24"/>
          <w:szCs w:val="24"/>
        </w:rPr>
        <w:t>).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0.05; 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0.01; 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5F9AB43C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D014A9F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 w:hint="eastAsia"/>
          <w:bCs/>
          <w:noProof/>
          <w:sz w:val="24"/>
          <w:szCs w:val="24"/>
        </w:rPr>
        <w:drawing>
          <wp:inline distT="0" distB="0" distL="0" distR="0" wp14:anchorId="331165B7" wp14:editId="3D77F167">
            <wp:extent cx="5271770" cy="1551940"/>
            <wp:effectExtent l="0" t="0" r="508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89406" w14:textId="22864019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21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Hemolysis test of MFMP nanoparticles.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(a) Representative images of red blood cells treated with MFMP nanoparticles (25–400 μg mL⁻¹), water (positive control), and PBS </w:t>
      </w:r>
      <w:r w:rsidRPr="00BC640C">
        <w:rPr>
          <w:rFonts w:ascii="Times New Roman" w:hAnsi="Times New Roman" w:cs="Times New Roman"/>
          <w:bCs/>
          <w:sz w:val="24"/>
          <w:szCs w:val="24"/>
        </w:rPr>
        <w:lastRenderedPageBreak/>
        <w:t>(negative control). (b) UV–vis spectra of the corresponding supernatants, indicating negligible hemolysis in the MFMP groups.</w:t>
      </w:r>
    </w:p>
    <w:p w14:paraId="097370FE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C26657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D74C0AE" wp14:editId="431098E5">
            <wp:extent cx="5271770" cy="2306955"/>
            <wp:effectExtent l="0" t="0" r="508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CD592" w14:textId="0DAE7DD0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22</w:t>
      </w:r>
      <w:r w:rsidRPr="00BC640C">
        <w:rPr>
          <w:rFonts w:ascii="Times New Roman" w:hAnsi="Times New Roman" w:cs="Times New Roman"/>
          <w:b/>
          <w:sz w:val="24"/>
          <w:szCs w:val="24"/>
        </w:rPr>
        <w:t>.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H&amp;E staining of major organs after MFMP treatment. Representative images of heart, liver, spleen, lung, and kidney on day 7 and day 28 post-treatment, showing no evident tissue damage.</w:t>
      </w:r>
    </w:p>
    <w:p w14:paraId="0AFA2433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4B6A0E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EC6602E" wp14:editId="4B64C07E">
            <wp:extent cx="4592955" cy="2283460"/>
            <wp:effectExtent l="0" t="0" r="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3149" cy="228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07766" w14:textId="3DD1A998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23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Body-weight profiles during treatment.</w:t>
      </w:r>
    </w:p>
    <w:p w14:paraId="67615580" w14:textId="77777777" w:rsidR="00887797" w:rsidRPr="00BC640C" w:rsidRDefault="00887797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19FA5A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 w:hint="eastAsia"/>
          <w:bCs/>
          <w:noProof/>
          <w:sz w:val="24"/>
          <w:szCs w:val="24"/>
        </w:rPr>
        <w:lastRenderedPageBreak/>
        <w:drawing>
          <wp:inline distT="0" distB="0" distL="0" distR="0" wp14:anchorId="73397E4F" wp14:editId="7FAF830C">
            <wp:extent cx="5268595" cy="5507990"/>
            <wp:effectExtent l="0" t="0" r="8255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50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602EC" w14:textId="64724E2E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S2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BC640C">
        <w:rPr>
          <w:rFonts w:ascii="Times New Roman" w:hAnsi="Times New Roman" w:cs="Times New Roman"/>
          <w:b/>
          <w:sz w:val="24"/>
          <w:szCs w:val="24"/>
        </w:rPr>
        <w:t>.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Hematological and serum biochemical parameters after MFMP treatment. Blood analyses of mice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3) sacrificed at day 3 post-MMP treatment. Serum biochemical indicators: (a) alanine aminotransferase (ALT) and (b) aspartate aminotransferase (AST) for liver function; (c) urea (UREA) and (d) creatinine (CREA) for kidney function. Hematological counts: (e) red blood cells (RBC), (f) white blood cells (WBC), (g) hematocrit (HCT), (h) hemoglobin (HGB), and (i) mean corpuscular hemoglobin (MCH).</w:t>
      </w:r>
    </w:p>
    <w:p w14:paraId="1ACAE25E" w14:textId="77777777" w:rsidR="00887797" w:rsidRPr="00BC640C" w:rsidRDefault="00887797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5AE053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B43685C" wp14:editId="340754C9">
            <wp:extent cx="4168775" cy="4209415"/>
            <wp:effectExtent l="0" t="0" r="3175" b="6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6122" cy="421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C87C" w14:textId="3D3DBAF6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S2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BC640C">
        <w:rPr>
          <w:rFonts w:ascii="Times New Roman" w:hAnsi="Times New Roman" w:cs="Times New Roman"/>
          <w:b/>
          <w:sz w:val="24"/>
          <w:szCs w:val="24"/>
        </w:rPr>
        <w:t>.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In vivo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biodistribution of MFMP nanoparticles in tumor-bearing mice. </w:t>
      </w:r>
    </w:p>
    <w:p w14:paraId="4B843276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990A48C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184C61D0" wp14:editId="45512448">
            <wp:extent cx="5288280" cy="1026160"/>
            <wp:effectExtent l="0" t="0" r="762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28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553DF" w14:textId="260AB6F2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S2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Ex vivo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fluorescence imaging of major organs after MFMP administration.</w:t>
      </w:r>
    </w:p>
    <w:p w14:paraId="406F50A7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975EAD1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C640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4E9AF14" wp14:editId="23EE72B3">
            <wp:extent cx="5274310" cy="1798320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E06BB" w14:textId="736899B4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BC640C">
        <w:rPr>
          <w:rFonts w:ascii="Times New Roman" w:hAnsi="Times New Roman" w:cs="Times New Roman"/>
          <w:b/>
          <w:sz w:val="24"/>
          <w:szCs w:val="24"/>
        </w:rPr>
        <w:t>2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BC640C">
        <w:rPr>
          <w:rFonts w:ascii="Times New Roman" w:hAnsi="Times New Roman" w:cs="Times New Roman"/>
          <w:b/>
          <w:sz w:val="24"/>
          <w:szCs w:val="24"/>
        </w:rPr>
        <w:t>.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Pharmacokinetic curves of Fe and Mn ions released after intravenous injection of </w:t>
      </w:r>
      <w:r w:rsidRPr="00BC640C">
        <w:rPr>
          <w:rFonts w:ascii="Times New Roman" w:hAnsi="Times New Roman" w:cs="Times New Roman"/>
          <w:bCs/>
          <w:sz w:val="24"/>
          <w:szCs w:val="24"/>
        </w:rPr>
        <w:lastRenderedPageBreak/>
        <w:t>MFMP.</w:t>
      </w:r>
    </w:p>
    <w:p w14:paraId="1414ED42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0DB30E1A" wp14:editId="2930C374">
            <wp:extent cx="4373880" cy="2697480"/>
            <wp:effectExtent l="0" t="0" r="762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EAEBC" w14:textId="2F18310F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S2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Tumor growth curves under different treatments with/without ultrasound. (***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0.001)</w:t>
      </w:r>
    </w:p>
    <w:p w14:paraId="56E206C9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EC701F8" wp14:editId="43A37636">
            <wp:extent cx="4613275" cy="2433955"/>
            <wp:effectExtent l="0" t="0" r="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9702" cy="243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B3878" w14:textId="6835ADD4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S2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9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Immunofluorescence of STING and GPX4 in tumor sections under different treatments.</w:t>
      </w:r>
      <w:r w:rsidRPr="00BC640C">
        <w:rPr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(a) STING immunofluorescence (green) with nuclear counterstain DAPI (blue).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(b) GPX4 immunofluorescence (red) with DAPI (blue).</w:t>
      </w:r>
    </w:p>
    <w:p w14:paraId="6D223034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 w:hint="eastAsia"/>
          <w:bCs/>
          <w:noProof/>
          <w:sz w:val="24"/>
          <w:szCs w:val="24"/>
        </w:rPr>
        <w:lastRenderedPageBreak/>
        <w:drawing>
          <wp:inline distT="0" distB="0" distL="0" distR="0" wp14:anchorId="70FADDC4" wp14:editId="631A9479">
            <wp:extent cx="5273040" cy="3954780"/>
            <wp:effectExtent l="0" t="0" r="381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02836" w14:textId="5CDC45F0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30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Schematic workflow for immune-cell gating.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(a) Dendritic cells (DCs) in tumor-draining lymph nodes (TDLNs)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(b) CD8</w:t>
      </w:r>
      <w:r w:rsidRPr="00BC640C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T cells in tumors, (c) memory T cells in tumors.</w:t>
      </w:r>
    </w:p>
    <w:p w14:paraId="42337A0E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BDE4E24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0DBED1EF" wp14:editId="6C88677B">
            <wp:extent cx="4259580" cy="2514600"/>
            <wp:effectExtent l="0" t="0" r="762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899DD" w14:textId="77F6994A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31</w:t>
      </w:r>
      <w:r w:rsidRPr="00BC64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C640C">
        <w:rPr>
          <w:rFonts w:ascii="Times New Roman" w:hAnsi="Times New Roman" w:cs="Times New Roman"/>
          <w:bCs/>
          <w:sz w:val="24"/>
          <w:szCs w:val="24"/>
        </w:rPr>
        <w:t>Growth curves of distant tumors under different treatments with/without ultrasound. (***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0.001). </w:t>
      </w:r>
    </w:p>
    <w:p w14:paraId="09E38483" w14:textId="77777777" w:rsidR="00887797" w:rsidRPr="00BC640C" w:rsidRDefault="00887797">
      <w:p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85F452B" w14:textId="77777777" w:rsidR="00887797" w:rsidRPr="00BC640C" w:rsidRDefault="0000000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47F6D996" wp14:editId="64062BBA">
            <wp:extent cx="3221990" cy="2329815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199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D6992" w14:textId="6DD60DD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Fig. S3</w:t>
      </w:r>
      <w:r w:rsidR="00455EE9" w:rsidRPr="00BC640C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C640C">
        <w:rPr>
          <w:rFonts w:ascii="Times New Roman" w:hAnsi="Times New Roman" w:cs="Times New Roman"/>
          <w:bCs/>
          <w:sz w:val="24"/>
          <w:szCs w:val="24"/>
        </w:rPr>
        <w:t>. Distant tumor weights across treatment groups.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C640C">
        <w:rPr>
          <w:rFonts w:ascii="Times New Roman" w:hAnsi="Times New Roman" w:cs="Times New Roman"/>
          <w:bCs/>
          <w:sz w:val="24"/>
          <w:szCs w:val="24"/>
        </w:rPr>
        <w:t>Data are expressed as mean ± SD (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= 5). 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0.05; ***</w:t>
      </w:r>
      <w:r w:rsidRPr="00BC640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 &lt; 0.001. </w:t>
      </w:r>
    </w:p>
    <w:p w14:paraId="23F7F60F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A76634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08C10C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  <w:sectPr w:rsidR="00887797" w:rsidRPr="00BC640C">
          <w:pgSz w:w="11906" w:h="16838"/>
          <w:pgMar w:top="1418" w:right="1418" w:bottom="1134" w:left="1418" w:header="851" w:footer="992" w:gutter="0"/>
          <w:cols w:space="425"/>
          <w:docGrid w:type="lines" w:linePitch="312"/>
        </w:sectPr>
      </w:pPr>
    </w:p>
    <w:p w14:paraId="01E2890F" w14:textId="77777777" w:rsidR="00887797" w:rsidRPr="00BC640C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lastRenderedPageBreak/>
        <w:t>Tab. S1</w:t>
      </w:r>
      <w:r w:rsidRPr="00BC640C">
        <w:rPr>
          <w:rFonts w:ascii="Times New Roman" w:hAnsi="Times New Roman" w:cs="Times New Roman"/>
          <w:bCs/>
          <w:sz w:val="24"/>
          <w:szCs w:val="24"/>
        </w:rPr>
        <w:t>. Crystal data, data collection, and structure refinement parameters for M</w:t>
      </w:r>
      <w:r w:rsidRPr="00BC640C">
        <w:rPr>
          <w:rFonts w:ascii="Times New Roman" w:hAnsi="Times New Roman" w:cs="Times New Roman" w:hint="eastAsia"/>
          <w:bCs/>
          <w:sz w:val="24"/>
          <w:szCs w:val="24"/>
        </w:rPr>
        <w:t>n</w:t>
      </w:r>
      <w:r w:rsidRPr="00BC640C">
        <w:rPr>
          <w:rFonts w:ascii="Times New Roman" w:hAnsi="Times New Roman" w:cs="Times New Roman"/>
          <w:bCs/>
          <w:sz w:val="24"/>
          <w:szCs w:val="24"/>
        </w:rPr>
        <w:t>-Fe(TCPP) MOF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87797" w:rsidRPr="00BC640C" w14:paraId="5343108A" w14:textId="77777777" w:rsidTr="009468A3">
        <w:tc>
          <w:tcPr>
            <w:tcW w:w="4148" w:type="dxa"/>
            <w:tcBorders>
              <w:left w:val="nil"/>
              <w:bottom w:val="single" w:sz="4" w:space="0" w:color="auto"/>
              <w:right w:val="nil"/>
            </w:tcBorders>
          </w:tcPr>
          <w:p w14:paraId="6AB0B18E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Identification code</w:t>
            </w:r>
          </w:p>
        </w:tc>
        <w:tc>
          <w:tcPr>
            <w:tcW w:w="4148" w:type="dxa"/>
            <w:tcBorders>
              <w:left w:val="nil"/>
              <w:bottom w:val="single" w:sz="4" w:space="0" w:color="auto"/>
              <w:right w:val="nil"/>
            </w:tcBorders>
          </w:tcPr>
          <w:p w14:paraId="179892C3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Mn-Fe(TCPP) MOF</w:t>
            </w:r>
          </w:p>
        </w:tc>
      </w:tr>
      <w:tr w:rsidR="00887797" w:rsidRPr="00BC640C" w14:paraId="1A03FA27" w14:textId="77777777"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E65D5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Empirical formula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58534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24</w:t>
            </w: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FeMnN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</w:tr>
      <w:tr w:rsidR="00887797" w:rsidRPr="00BC640C" w14:paraId="7FF29C36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5A070FA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CCDC Code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71AF340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2449005</w:t>
            </w:r>
          </w:p>
        </w:tc>
      </w:tr>
      <w:tr w:rsidR="00887797" w:rsidRPr="00BC640C" w14:paraId="79D3005C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95FCC24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Formula weight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B2732C2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521.17</w:t>
            </w:r>
          </w:p>
        </w:tc>
      </w:tr>
      <w:tr w:rsidR="00887797" w:rsidRPr="00BC640C" w14:paraId="0B2A07A5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EC1B8FE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Temperature/K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8E2AD95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77(2)</w:t>
            </w:r>
          </w:p>
        </w:tc>
      </w:tr>
      <w:tr w:rsidR="00887797" w:rsidRPr="00BC640C" w14:paraId="5F87F044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674089A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Crystal system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C7AD69D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orthorhombic</w:t>
            </w:r>
          </w:p>
        </w:tc>
      </w:tr>
      <w:tr w:rsidR="00887797" w:rsidRPr="00BC640C" w14:paraId="7B29F7ED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D19597C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Space group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08AE2C1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Cmmm</w:t>
            </w:r>
          </w:p>
        </w:tc>
      </w:tr>
      <w:tr w:rsidR="00887797" w:rsidRPr="00BC640C" w14:paraId="5FDD1E37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62DCF7A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α/°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67D4C19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87797" w:rsidRPr="00BC640C" w14:paraId="4E08B6C5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0DD1A98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β/°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D52014C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87797" w:rsidRPr="00BC640C" w14:paraId="12BFEE63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F588EA4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γ/°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364F2B5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87797" w:rsidRPr="00BC640C" w14:paraId="031FD856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D086AED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6FAEB41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7797" w:rsidRPr="00BC640C" w14:paraId="421DD15B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7BB05CC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ρ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calc</w:t>
            </w: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g/cm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CDA69E8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0.700</w:t>
            </w:r>
          </w:p>
        </w:tc>
      </w:tr>
      <w:tr w:rsidR="00887797" w:rsidRPr="00BC640C" w14:paraId="1A62C9BC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CF5755D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Radiation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FA43A71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MoKα (λ = 0.71073)</w:t>
            </w:r>
          </w:p>
        </w:tc>
      </w:tr>
      <w:tr w:rsidR="00887797" w:rsidRPr="00BC640C" w14:paraId="3BC5E39F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AE1EC1D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2θ range for data collection/°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82C04EE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4.136 to 49.998</w:t>
            </w:r>
          </w:p>
        </w:tc>
      </w:tr>
      <w:tr w:rsidR="00887797" w:rsidRPr="00BC640C" w14:paraId="6037C524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1BA1757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Index ranges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B1E3082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-17 ≤ h ≤ 17, -20 ≤ k ≤ 20, -25 ≤ l ≤ 25</w:t>
            </w:r>
          </w:p>
        </w:tc>
      </w:tr>
      <w:tr w:rsidR="00887797" w:rsidRPr="00BC640C" w14:paraId="0588AD24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692CEB8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Reflections collected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9113E1C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119625</w:t>
            </w:r>
          </w:p>
        </w:tc>
      </w:tr>
      <w:tr w:rsidR="00887797" w:rsidRPr="00BC640C" w14:paraId="4A4CD70F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766DFF2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Independent reflections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0AA24A6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36593 [Rint = 0.1318, R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sigma</w:t>
            </w: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 xml:space="preserve"> = 0.0726]</w:t>
            </w:r>
          </w:p>
        </w:tc>
      </w:tr>
      <w:tr w:rsidR="00887797" w:rsidRPr="00BC640C" w14:paraId="543F463C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0E343E1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Data/restraints/parameters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9AFB1A8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36,593/0/1526</w:t>
            </w:r>
          </w:p>
        </w:tc>
      </w:tr>
      <w:tr w:rsidR="00887797" w:rsidRPr="00BC640C" w14:paraId="50B32055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A7646BA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Goodness-of-fit on F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683FDF9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1.046</w:t>
            </w:r>
          </w:p>
        </w:tc>
      </w:tr>
      <w:tr w:rsidR="00887797" w:rsidRPr="00BC640C" w14:paraId="06427F5F" w14:textId="77777777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2EC45C8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Final R indexes [I&gt;=2σ (I)]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D3DC886" w14:textId="77777777" w:rsidR="00887797" w:rsidRPr="00BC640C" w:rsidRDefault="0000000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R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= 0.0456, wR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= 0.1345</w:t>
            </w:r>
          </w:p>
        </w:tc>
      </w:tr>
      <w:tr w:rsidR="00887797" w:rsidRPr="00BC640C" w14:paraId="0A0541FB" w14:textId="77777777"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D1CF4" w14:textId="77777777" w:rsidR="00887797" w:rsidRPr="00BC640C" w:rsidRDefault="00000000">
            <w:pPr>
              <w:tabs>
                <w:tab w:val="left" w:pos="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Final R indexes [all data]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C9462" w14:textId="77777777" w:rsidR="00887797" w:rsidRPr="00BC640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R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= 0.0681, wR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C640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= 0.1607</w:t>
            </w:r>
          </w:p>
        </w:tc>
      </w:tr>
    </w:tbl>
    <w:p w14:paraId="06C0ED83" w14:textId="77777777" w:rsidR="00887797" w:rsidRPr="00BC640C" w:rsidRDefault="00887797">
      <w:pPr>
        <w:spacing w:line="360" w:lineRule="auto"/>
        <w:rPr>
          <w:rFonts w:ascii="Times New Roman" w:hAnsi="Times New Roman" w:cs="Times New Roman"/>
          <w:bCs/>
        </w:rPr>
      </w:pPr>
    </w:p>
    <w:p w14:paraId="391EC0A4" w14:textId="7ED6CA7D" w:rsidR="008118D6" w:rsidRPr="00BC640C" w:rsidRDefault="008118D6" w:rsidP="008118D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640C">
        <w:rPr>
          <w:rFonts w:ascii="Times New Roman" w:hAnsi="Times New Roman" w:cs="Times New Roman"/>
          <w:b/>
          <w:sz w:val="24"/>
          <w:szCs w:val="24"/>
        </w:rPr>
        <w:t>Tab. S</w:t>
      </w:r>
      <w:r w:rsidRPr="00BC640C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C640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3105B" w:rsidRPr="00BC640C">
        <w:rPr>
          <w:rFonts w:ascii="Times New Roman" w:hAnsi="Times New Roman" w:cs="Times New Roman"/>
          <w:bCs/>
          <w:sz w:val="24"/>
          <w:szCs w:val="24"/>
        </w:rPr>
        <w:t>Comparison of unit-cell parameters between Mn–Fe(TCPP) MOF and Fe(TCPP) MOF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941"/>
        <w:gridCol w:w="2940"/>
        <w:gridCol w:w="3425"/>
      </w:tblGrid>
      <w:tr w:rsidR="008118D6" w:rsidRPr="00BC640C" w14:paraId="52B7191D" w14:textId="77777777" w:rsidTr="009468A3">
        <w:tc>
          <w:tcPr>
            <w:tcW w:w="1168" w:type="pct"/>
            <w:tcBorders>
              <w:left w:val="nil"/>
              <w:bottom w:val="single" w:sz="4" w:space="0" w:color="auto"/>
              <w:right w:val="nil"/>
            </w:tcBorders>
          </w:tcPr>
          <w:p w14:paraId="4593CD1E" w14:textId="0C85F2A4" w:rsidR="008118D6" w:rsidRPr="00BC640C" w:rsidRDefault="008118D6" w:rsidP="00874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 w:hint="eastAsia"/>
                <w:sz w:val="24"/>
                <w:szCs w:val="24"/>
              </w:rPr>
              <w:t>Unit-cell parameters</w:t>
            </w:r>
          </w:p>
        </w:tc>
        <w:tc>
          <w:tcPr>
            <w:tcW w:w="1770" w:type="pct"/>
            <w:tcBorders>
              <w:left w:val="nil"/>
              <w:bottom w:val="single" w:sz="4" w:space="0" w:color="auto"/>
              <w:right w:val="nil"/>
            </w:tcBorders>
          </w:tcPr>
          <w:p w14:paraId="6E73514B" w14:textId="2CEC3B91" w:rsidR="008118D6" w:rsidRPr="00BC640C" w:rsidRDefault="008118D6" w:rsidP="00874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Mn-Fe(TCPP) MOF</w:t>
            </w:r>
          </w:p>
        </w:tc>
        <w:tc>
          <w:tcPr>
            <w:tcW w:w="2062" w:type="pct"/>
            <w:tcBorders>
              <w:left w:val="nil"/>
              <w:bottom w:val="single" w:sz="4" w:space="0" w:color="auto"/>
              <w:right w:val="nil"/>
            </w:tcBorders>
          </w:tcPr>
          <w:p w14:paraId="59029265" w14:textId="0E1CB96F" w:rsidR="008118D6" w:rsidRPr="00BC640C" w:rsidRDefault="008118D6" w:rsidP="00874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Fe(TCPP) MOF</w:t>
            </w:r>
          </w:p>
        </w:tc>
      </w:tr>
      <w:tr w:rsidR="00A44E89" w:rsidRPr="00BC640C" w14:paraId="64E04E8A" w14:textId="77777777" w:rsidTr="009468A3">
        <w:tc>
          <w:tcPr>
            <w:tcW w:w="11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F6C7E" w14:textId="340C0558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a/Å</w:t>
            </w:r>
          </w:p>
        </w:tc>
        <w:tc>
          <w:tcPr>
            <w:tcW w:w="17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B4101" w14:textId="6FA70ECD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14.13(9)</w:t>
            </w:r>
          </w:p>
        </w:tc>
        <w:tc>
          <w:tcPr>
            <w:tcW w:w="20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9AA8A" w14:textId="20A310F0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6.8400(14)</w:t>
            </w:r>
          </w:p>
        </w:tc>
      </w:tr>
      <w:tr w:rsidR="00A44E89" w:rsidRPr="00BC640C" w14:paraId="75C351D4" w14:textId="77777777" w:rsidTr="009468A3"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</w:tcPr>
          <w:p w14:paraId="1B2A31B7" w14:textId="4C35D2A4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b/Å</w:t>
            </w:r>
          </w:p>
        </w:tc>
        <w:tc>
          <w:tcPr>
            <w:tcW w:w="1770" w:type="pct"/>
            <w:tcBorders>
              <w:top w:val="nil"/>
              <w:left w:val="nil"/>
              <w:bottom w:val="nil"/>
              <w:right w:val="nil"/>
            </w:tcBorders>
          </w:tcPr>
          <w:p w14:paraId="0C31FF3E" w14:textId="64802691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16.86(12)</w:t>
            </w:r>
          </w:p>
        </w:tc>
        <w:tc>
          <w:tcPr>
            <w:tcW w:w="2062" w:type="pct"/>
            <w:tcBorders>
              <w:top w:val="nil"/>
              <w:left w:val="nil"/>
              <w:bottom w:val="nil"/>
              <w:right w:val="nil"/>
            </w:tcBorders>
          </w:tcPr>
          <w:p w14:paraId="7519B1B5" w14:textId="2B1AD893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32.080(7)</w:t>
            </w:r>
          </w:p>
        </w:tc>
      </w:tr>
      <w:tr w:rsidR="00A44E89" w:rsidRPr="00BC640C" w14:paraId="5E6CA4BE" w14:textId="77777777" w:rsidTr="009468A3"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</w:tcPr>
          <w:p w14:paraId="76280A9F" w14:textId="47DEB6F8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c/Å</w:t>
            </w:r>
          </w:p>
        </w:tc>
        <w:tc>
          <w:tcPr>
            <w:tcW w:w="1770" w:type="pct"/>
            <w:tcBorders>
              <w:top w:val="nil"/>
              <w:left w:val="nil"/>
              <w:bottom w:val="nil"/>
              <w:right w:val="nil"/>
            </w:tcBorders>
          </w:tcPr>
          <w:p w14:paraId="61273391" w14:textId="7A900E60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20.75(6)</w:t>
            </w:r>
          </w:p>
        </w:tc>
        <w:tc>
          <w:tcPr>
            <w:tcW w:w="2062" w:type="pct"/>
            <w:tcBorders>
              <w:top w:val="nil"/>
              <w:left w:val="nil"/>
              <w:bottom w:val="nil"/>
              <w:right w:val="nil"/>
            </w:tcBorders>
          </w:tcPr>
          <w:p w14:paraId="37F21DC3" w14:textId="7218BAB5" w:rsidR="00A44E89" w:rsidRPr="00BC640C" w:rsidRDefault="00A44E89" w:rsidP="00A4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16.920(3)</w:t>
            </w:r>
          </w:p>
        </w:tc>
      </w:tr>
      <w:tr w:rsidR="008118D6" w14:paraId="0F681E89" w14:textId="77777777" w:rsidTr="009468A3"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4EDB22" w14:textId="11BD6DD7" w:rsidR="008118D6" w:rsidRPr="00BC640C" w:rsidRDefault="008118D6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Volume/ Å</w:t>
            </w:r>
            <w:r w:rsidRPr="00BC64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F9043D" w14:textId="165000D0" w:rsidR="008118D6" w:rsidRPr="00BC640C" w:rsidRDefault="00A44E89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/>
                <w:sz w:val="24"/>
                <w:szCs w:val="24"/>
              </w:rPr>
              <w:t>4943.31(49)</w:t>
            </w:r>
          </w:p>
        </w:tc>
        <w:tc>
          <w:tcPr>
            <w:tcW w:w="20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44B43" w14:textId="1BDC3196" w:rsidR="008118D6" w:rsidRDefault="00A44E89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0C">
              <w:rPr>
                <w:rFonts w:ascii="Times New Roman" w:hAnsi="Times New Roman" w:cs="Times New Roman" w:hint="eastAsia"/>
                <w:sz w:val="24"/>
                <w:szCs w:val="24"/>
              </w:rPr>
              <w:t>3712.7(13)</w:t>
            </w:r>
          </w:p>
        </w:tc>
      </w:tr>
    </w:tbl>
    <w:p w14:paraId="721F7BFA" w14:textId="77777777" w:rsidR="00D6301C" w:rsidRPr="00D6301C" w:rsidRDefault="00D6301C" w:rsidP="00A44E89">
      <w:pPr>
        <w:spacing w:line="360" w:lineRule="auto"/>
        <w:rPr>
          <w:rFonts w:ascii="Times New Roman" w:hAnsi="Times New Roman" w:cs="Times New Roman"/>
          <w:bCs/>
        </w:rPr>
      </w:pPr>
    </w:p>
    <w:sectPr w:rsidR="00D6301C" w:rsidRPr="00D630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E2971" w14:textId="77777777" w:rsidR="00A0122D" w:rsidRDefault="00A0122D" w:rsidP="00B12024">
      <w:pPr>
        <w:rPr>
          <w:rFonts w:hint="eastAsia"/>
        </w:rPr>
      </w:pPr>
      <w:r>
        <w:separator/>
      </w:r>
    </w:p>
  </w:endnote>
  <w:endnote w:type="continuationSeparator" w:id="0">
    <w:p w14:paraId="78E1679A" w14:textId="77777777" w:rsidR="00A0122D" w:rsidRDefault="00A0122D" w:rsidP="00B120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calaSansPro-Italic">
    <w:altName w:val="Cambria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9C701" w14:textId="77777777" w:rsidR="00A0122D" w:rsidRDefault="00A0122D" w:rsidP="00B12024">
      <w:pPr>
        <w:rPr>
          <w:rFonts w:hint="eastAsia"/>
        </w:rPr>
      </w:pPr>
      <w:r>
        <w:separator/>
      </w:r>
    </w:p>
  </w:footnote>
  <w:footnote w:type="continuationSeparator" w:id="0">
    <w:p w14:paraId="227FF677" w14:textId="77777777" w:rsidR="00A0122D" w:rsidRDefault="00A0122D" w:rsidP="00B1202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632"/>
    <w:rsid w:val="00003CAE"/>
    <w:rsid w:val="000068CF"/>
    <w:rsid w:val="000131BE"/>
    <w:rsid w:val="00014DB5"/>
    <w:rsid w:val="000176B1"/>
    <w:rsid w:val="00036E16"/>
    <w:rsid w:val="000415D2"/>
    <w:rsid w:val="00042BF5"/>
    <w:rsid w:val="000510DB"/>
    <w:rsid w:val="00060478"/>
    <w:rsid w:val="00072C77"/>
    <w:rsid w:val="00073173"/>
    <w:rsid w:val="00084F11"/>
    <w:rsid w:val="000973ED"/>
    <w:rsid w:val="000A7EE8"/>
    <w:rsid w:val="000B098E"/>
    <w:rsid w:val="000B13CE"/>
    <w:rsid w:val="000D4DC3"/>
    <w:rsid w:val="000D6240"/>
    <w:rsid w:val="000E2CE9"/>
    <w:rsid w:val="000E47D6"/>
    <w:rsid w:val="000E72EE"/>
    <w:rsid w:val="000F0187"/>
    <w:rsid w:val="000F7A98"/>
    <w:rsid w:val="00114F22"/>
    <w:rsid w:val="00121606"/>
    <w:rsid w:val="0014042B"/>
    <w:rsid w:val="00140746"/>
    <w:rsid w:val="0014502B"/>
    <w:rsid w:val="00145B8B"/>
    <w:rsid w:val="0015393C"/>
    <w:rsid w:val="001624E8"/>
    <w:rsid w:val="00164632"/>
    <w:rsid w:val="00165396"/>
    <w:rsid w:val="001664CB"/>
    <w:rsid w:val="001754FF"/>
    <w:rsid w:val="00185519"/>
    <w:rsid w:val="00191699"/>
    <w:rsid w:val="001A0023"/>
    <w:rsid w:val="001A4515"/>
    <w:rsid w:val="001C12AA"/>
    <w:rsid w:val="001C2301"/>
    <w:rsid w:val="001D15BF"/>
    <w:rsid w:val="001E013E"/>
    <w:rsid w:val="001E4647"/>
    <w:rsid w:val="001E484D"/>
    <w:rsid w:val="001F0BD1"/>
    <w:rsid w:val="001F442C"/>
    <w:rsid w:val="001F6A39"/>
    <w:rsid w:val="002033F3"/>
    <w:rsid w:val="002072C0"/>
    <w:rsid w:val="00211C1D"/>
    <w:rsid w:val="00212FED"/>
    <w:rsid w:val="00230D53"/>
    <w:rsid w:val="002549F1"/>
    <w:rsid w:val="00260123"/>
    <w:rsid w:val="00273931"/>
    <w:rsid w:val="002808BD"/>
    <w:rsid w:val="00286E08"/>
    <w:rsid w:val="00290A2E"/>
    <w:rsid w:val="0029625F"/>
    <w:rsid w:val="002A2BAF"/>
    <w:rsid w:val="002B7C51"/>
    <w:rsid w:val="002C09F8"/>
    <w:rsid w:val="002C242A"/>
    <w:rsid w:val="002C5E56"/>
    <w:rsid w:val="002E6DD4"/>
    <w:rsid w:val="002F3D90"/>
    <w:rsid w:val="00323F7E"/>
    <w:rsid w:val="003246DD"/>
    <w:rsid w:val="00327511"/>
    <w:rsid w:val="00330F6B"/>
    <w:rsid w:val="00332A38"/>
    <w:rsid w:val="00355005"/>
    <w:rsid w:val="003609B9"/>
    <w:rsid w:val="00365868"/>
    <w:rsid w:val="00366A93"/>
    <w:rsid w:val="003732CE"/>
    <w:rsid w:val="00385D78"/>
    <w:rsid w:val="003B27C7"/>
    <w:rsid w:val="003D2246"/>
    <w:rsid w:val="003F08F7"/>
    <w:rsid w:val="00400D40"/>
    <w:rsid w:val="0040464B"/>
    <w:rsid w:val="00406B78"/>
    <w:rsid w:val="00426D8A"/>
    <w:rsid w:val="00431B8C"/>
    <w:rsid w:val="00433AF1"/>
    <w:rsid w:val="00440203"/>
    <w:rsid w:val="00444F8C"/>
    <w:rsid w:val="0044571F"/>
    <w:rsid w:val="0044587E"/>
    <w:rsid w:val="00452261"/>
    <w:rsid w:val="004527E3"/>
    <w:rsid w:val="00455EE9"/>
    <w:rsid w:val="004569FC"/>
    <w:rsid w:val="00457F85"/>
    <w:rsid w:val="00491AA4"/>
    <w:rsid w:val="004A09EE"/>
    <w:rsid w:val="004B754D"/>
    <w:rsid w:val="004D0109"/>
    <w:rsid w:val="004F2EFF"/>
    <w:rsid w:val="004F3E51"/>
    <w:rsid w:val="00531ADF"/>
    <w:rsid w:val="00547890"/>
    <w:rsid w:val="0055053B"/>
    <w:rsid w:val="005553AC"/>
    <w:rsid w:val="00560D16"/>
    <w:rsid w:val="00564308"/>
    <w:rsid w:val="00571C7C"/>
    <w:rsid w:val="00571DC0"/>
    <w:rsid w:val="00574043"/>
    <w:rsid w:val="00574D49"/>
    <w:rsid w:val="0059267C"/>
    <w:rsid w:val="00595D93"/>
    <w:rsid w:val="005A378F"/>
    <w:rsid w:val="005B6C61"/>
    <w:rsid w:val="005C4362"/>
    <w:rsid w:val="005D49EC"/>
    <w:rsid w:val="005E389D"/>
    <w:rsid w:val="006053FD"/>
    <w:rsid w:val="00634C31"/>
    <w:rsid w:val="00646D79"/>
    <w:rsid w:val="00651562"/>
    <w:rsid w:val="00672136"/>
    <w:rsid w:val="0067557B"/>
    <w:rsid w:val="006856F1"/>
    <w:rsid w:val="00685757"/>
    <w:rsid w:val="00687EB8"/>
    <w:rsid w:val="006A0748"/>
    <w:rsid w:val="006A7F4B"/>
    <w:rsid w:val="006C0823"/>
    <w:rsid w:val="006C2208"/>
    <w:rsid w:val="006D2DDB"/>
    <w:rsid w:val="006D2EEA"/>
    <w:rsid w:val="006E2322"/>
    <w:rsid w:val="006E3537"/>
    <w:rsid w:val="00712923"/>
    <w:rsid w:val="00736FF0"/>
    <w:rsid w:val="00741072"/>
    <w:rsid w:val="007439B2"/>
    <w:rsid w:val="0074791D"/>
    <w:rsid w:val="007505F2"/>
    <w:rsid w:val="007540F6"/>
    <w:rsid w:val="00766B38"/>
    <w:rsid w:val="00784A94"/>
    <w:rsid w:val="00785752"/>
    <w:rsid w:val="00792C55"/>
    <w:rsid w:val="007B3830"/>
    <w:rsid w:val="007B74E0"/>
    <w:rsid w:val="007F0E90"/>
    <w:rsid w:val="007F7160"/>
    <w:rsid w:val="007F72E4"/>
    <w:rsid w:val="007F7436"/>
    <w:rsid w:val="0080056A"/>
    <w:rsid w:val="008012A1"/>
    <w:rsid w:val="008118D6"/>
    <w:rsid w:val="00814B3F"/>
    <w:rsid w:val="00814D30"/>
    <w:rsid w:val="008236A2"/>
    <w:rsid w:val="0083105B"/>
    <w:rsid w:val="00831560"/>
    <w:rsid w:val="00833950"/>
    <w:rsid w:val="00833D87"/>
    <w:rsid w:val="00837A85"/>
    <w:rsid w:val="008641AC"/>
    <w:rsid w:val="00873BDB"/>
    <w:rsid w:val="00884B22"/>
    <w:rsid w:val="00886ECD"/>
    <w:rsid w:val="00887797"/>
    <w:rsid w:val="008963DB"/>
    <w:rsid w:val="00896DA7"/>
    <w:rsid w:val="008A0D43"/>
    <w:rsid w:val="008B56B9"/>
    <w:rsid w:val="008C186B"/>
    <w:rsid w:val="008C765E"/>
    <w:rsid w:val="008D4B48"/>
    <w:rsid w:val="008E4EC0"/>
    <w:rsid w:val="008E5139"/>
    <w:rsid w:val="00911F22"/>
    <w:rsid w:val="0091258D"/>
    <w:rsid w:val="00917E05"/>
    <w:rsid w:val="0092092C"/>
    <w:rsid w:val="009374DD"/>
    <w:rsid w:val="009468A3"/>
    <w:rsid w:val="009527B5"/>
    <w:rsid w:val="00976931"/>
    <w:rsid w:val="00984397"/>
    <w:rsid w:val="009843BF"/>
    <w:rsid w:val="00984F59"/>
    <w:rsid w:val="00994481"/>
    <w:rsid w:val="00997DDA"/>
    <w:rsid w:val="009A7F84"/>
    <w:rsid w:val="009B61A3"/>
    <w:rsid w:val="009C0C95"/>
    <w:rsid w:val="009C430E"/>
    <w:rsid w:val="009D0EC5"/>
    <w:rsid w:val="009E4232"/>
    <w:rsid w:val="009F3088"/>
    <w:rsid w:val="009F3811"/>
    <w:rsid w:val="00A00782"/>
    <w:rsid w:val="00A0122D"/>
    <w:rsid w:val="00A11A3C"/>
    <w:rsid w:val="00A14D32"/>
    <w:rsid w:val="00A20D33"/>
    <w:rsid w:val="00A2446F"/>
    <w:rsid w:val="00A25813"/>
    <w:rsid w:val="00A44E89"/>
    <w:rsid w:val="00A5174E"/>
    <w:rsid w:val="00A57395"/>
    <w:rsid w:val="00A64A19"/>
    <w:rsid w:val="00A67D12"/>
    <w:rsid w:val="00A95821"/>
    <w:rsid w:val="00A96080"/>
    <w:rsid w:val="00AA0DF8"/>
    <w:rsid w:val="00AA275C"/>
    <w:rsid w:val="00AD6BC0"/>
    <w:rsid w:val="00B0081D"/>
    <w:rsid w:val="00B00D6D"/>
    <w:rsid w:val="00B03051"/>
    <w:rsid w:val="00B06703"/>
    <w:rsid w:val="00B10D3E"/>
    <w:rsid w:val="00B12024"/>
    <w:rsid w:val="00B16F0C"/>
    <w:rsid w:val="00B17228"/>
    <w:rsid w:val="00B20428"/>
    <w:rsid w:val="00B20634"/>
    <w:rsid w:val="00B301EC"/>
    <w:rsid w:val="00B30AF5"/>
    <w:rsid w:val="00B3539C"/>
    <w:rsid w:val="00B66E90"/>
    <w:rsid w:val="00B67103"/>
    <w:rsid w:val="00B920F5"/>
    <w:rsid w:val="00BA2685"/>
    <w:rsid w:val="00BA42E6"/>
    <w:rsid w:val="00BC0B77"/>
    <w:rsid w:val="00BC61F8"/>
    <w:rsid w:val="00BC640C"/>
    <w:rsid w:val="00BC6D8A"/>
    <w:rsid w:val="00BC7956"/>
    <w:rsid w:val="00BE3603"/>
    <w:rsid w:val="00C024A1"/>
    <w:rsid w:val="00C16E93"/>
    <w:rsid w:val="00C24DE5"/>
    <w:rsid w:val="00C40CBD"/>
    <w:rsid w:val="00C54D57"/>
    <w:rsid w:val="00C55407"/>
    <w:rsid w:val="00C56375"/>
    <w:rsid w:val="00C6471A"/>
    <w:rsid w:val="00C65E1B"/>
    <w:rsid w:val="00C70814"/>
    <w:rsid w:val="00C72C1D"/>
    <w:rsid w:val="00C74CC5"/>
    <w:rsid w:val="00C8295C"/>
    <w:rsid w:val="00C83EBC"/>
    <w:rsid w:val="00C849F4"/>
    <w:rsid w:val="00C97BD4"/>
    <w:rsid w:val="00CA0B71"/>
    <w:rsid w:val="00CA0BD0"/>
    <w:rsid w:val="00CA403C"/>
    <w:rsid w:val="00CA7F5E"/>
    <w:rsid w:val="00CB38B0"/>
    <w:rsid w:val="00CC7583"/>
    <w:rsid w:val="00CE0240"/>
    <w:rsid w:val="00CE12B9"/>
    <w:rsid w:val="00CE238B"/>
    <w:rsid w:val="00D12C6B"/>
    <w:rsid w:val="00D17903"/>
    <w:rsid w:val="00D20C60"/>
    <w:rsid w:val="00D23480"/>
    <w:rsid w:val="00D314B2"/>
    <w:rsid w:val="00D377CB"/>
    <w:rsid w:val="00D41FA8"/>
    <w:rsid w:val="00D51771"/>
    <w:rsid w:val="00D6301C"/>
    <w:rsid w:val="00D72CCE"/>
    <w:rsid w:val="00D81B9E"/>
    <w:rsid w:val="00D905FE"/>
    <w:rsid w:val="00DA0260"/>
    <w:rsid w:val="00DA15D7"/>
    <w:rsid w:val="00DA2148"/>
    <w:rsid w:val="00DB23C1"/>
    <w:rsid w:val="00DB5458"/>
    <w:rsid w:val="00DD1C7D"/>
    <w:rsid w:val="00DE49AA"/>
    <w:rsid w:val="00DF6F20"/>
    <w:rsid w:val="00E04C16"/>
    <w:rsid w:val="00E06817"/>
    <w:rsid w:val="00E070D3"/>
    <w:rsid w:val="00E073E2"/>
    <w:rsid w:val="00E077E6"/>
    <w:rsid w:val="00E07D0B"/>
    <w:rsid w:val="00E11F82"/>
    <w:rsid w:val="00E14C34"/>
    <w:rsid w:val="00E17141"/>
    <w:rsid w:val="00E205C1"/>
    <w:rsid w:val="00E22B23"/>
    <w:rsid w:val="00E33C9A"/>
    <w:rsid w:val="00E36F53"/>
    <w:rsid w:val="00E43B85"/>
    <w:rsid w:val="00E500C2"/>
    <w:rsid w:val="00E5201C"/>
    <w:rsid w:val="00E549CE"/>
    <w:rsid w:val="00E569EC"/>
    <w:rsid w:val="00E61C45"/>
    <w:rsid w:val="00E62FD4"/>
    <w:rsid w:val="00E6536A"/>
    <w:rsid w:val="00E66389"/>
    <w:rsid w:val="00E677FB"/>
    <w:rsid w:val="00E7377F"/>
    <w:rsid w:val="00E749CB"/>
    <w:rsid w:val="00E75EE6"/>
    <w:rsid w:val="00E923F5"/>
    <w:rsid w:val="00E95445"/>
    <w:rsid w:val="00EA4F2D"/>
    <w:rsid w:val="00EB26A5"/>
    <w:rsid w:val="00EC3297"/>
    <w:rsid w:val="00ED2CDE"/>
    <w:rsid w:val="00ED2DF7"/>
    <w:rsid w:val="00ED6543"/>
    <w:rsid w:val="00EE2612"/>
    <w:rsid w:val="00EE2832"/>
    <w:rsid w:val="00EF4045"/>
    <w:rsid w:val="00F025E8"/>
    <w:rsid w:val="00F055CD"/>
    <w:rsid w:val="00F225D7"/>
    <w:rsid w:val="00F275DC"/>
    <w:rsid w:val="00F32C84"/>
    <w:rsid w:val="00F3354B"/>
    <w:rsid w:val="00F344FC"/>
    <w:rsid w:val="00F627C1"/>
    <w:rsid w:val="00F62F96"/>
    <w:rsid w:val="00F73007"/>
    <w:rsid w:val="00F77A58"/>
    <w:rsid w:val="00F83A89"/>
    <w:rsid w:val="00F938D4"/>
    <w:rsid w:val="00FA3E41"/>
    <w:rsid w:val="00FA6EF5"/>
    <w:rsid w:val="00FC180A"/>
    <w:rsid w:val="00FD1E14"/>
    <w:rsid w:val="00FD7EBC"/>
    <w:rsid w:val="00FE00AA"/>
    <w:rsid w:val="00FE3545"/>
    <w:rsid w:val="00FE5540"/>
    <w:rsid w:val="00FF0242"/>
    <w:rsid w:val="00FF5EBC"/>
    <w:rsid w:val="0ACD42E1"/>
    <w:rsid w:val="15106F69"/>
    <w:rsid w:val="175F2CFA"/>
    <w:rsid w:val="1C355E09"/>
    <w:rsid w:val="4C45103A"/>
    <w:rsid w:val="5EE46D6C"/>
    <w:rsid w:val="5F345B26"/>
    <w:rsid w:val="637249B8"/>
    <w:rsid w:val="6D71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019ED"/>
  <w15:docId w15:val="{88766609-6E2E-422C-9110-FF6C971B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1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Head1">
    <w:name w:val="Head 1"/>
    <w:basedOn w:val="a"/>
    <w:autoRedefine/>
    <w:qFormat/>
    <w:pPr>
      <w:widowControl/>
      <w:spacing w:beforeLines="100" w:before="312" w:afterLines="100" w:after="312" w:line="360" w:lineRule="auto"/>
    </w:pPr>
    <w:rPr>
      <w:rFonts w:ascii="Times New Roman" w:eastAsia="SimSun" w:hAnsi="Times New Roman" w:cs="Times New Roman"/>
      <w:b/>
      <w:kern w:val="0"/>
      <w:sz w:val="28"/>
      <w:szCs w:val="28"/>
    </w:rPr>
  </w:style>
  <w:style w:type="paragraph" w:customStyle="1" w:styleId="Maintext">
    <w:name w:val="Main text"/>
    <w:basedOn w:val="a"/>
    <w:link w:val="MaintextChar"/>
    <w:autoRedefine/>
    <w:qFormat/>
    <w:pPr>
      <w:widowControl/>
      <w:spacing w:line="360" w:lineRule="auto"/>
    </w:pPr>
    <w:rPr>
      <w:rFonts w:ascii="Times New Roman" w:eastAsia="Times New Roman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Pr>
      <w:rFonts w:ascii="Times New Roman" w:eastAsia="Times New Roman" w:hAnsi="Times New Roman" w:cs="Times New Roman"/>
      <w:kern w:val="0"/>
      <w:sz w:val="24"/>
      <w:szCs w:val="24"/>
      <w:lang w:eastAsia="ja-JP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0"/>
    <w:qFormat/>
    <w:rPr>
      <w:rFonts w:ascii="ScalaSansPro-Italic" w:hAnsi="ScalaSansPro-Italic" w:hint="default"/>
      <w:i/>
      <w:iCs/>
      <w:color w:val="242021"/>
      <w:sz w:val="16"/>
      <w:szCs w:val="16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70">
    <w:name w:val="标题 7 字符"/>
    <w:basedOn w:val="a0"/>
    <w:link w:val="7"/>
    <w:uiPriority w:val="9"/>
    <w:semiHidden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paragraph" w:styleId="aa">
    <w:name w:val="Revision"/>
    <w:hidden/>
    <w:uiPriority w:val="99"/>
    <w:unhideWhenUsed/>
    <w:rsid w:val="00C16E93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9" Type="http://schemas.openxmlformats.org/officeDocument/2006/relationships/fontTable" Target="fontTable.xml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33" Type="http://schemas.openxmlformats.org/officeDocument/2006/relationships/image" Target="media/image27.png"/><Relationship Id="rId38" Type="http://schemas.openxmlformats.org/officeDocument/2006/relationships/image" Target="media/image32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tiff"/><Relationship Id="rId19" Type="http://schemas.openxmlformats.org/officeDocument/2006/relationships/image" Target="media/image13.png"/><Relationship Id="rId31" Type="http://schemas.openxmlformats.org/officeDocument/2006/relationships/image" Target="media/image25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8" Type="http://schemas.openxmlformats.org/officeDocument/2006/relationships/image" Target="media/image2.tif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CEC4A-7B58-439D-90C7-D81483693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焕辉 王</dc:creator>
  <cp:lastModifiedBy>Mayn</cp:lastModifiedBy>
  <cp:revision>232</cp:revision>
  <dcterms:created xsi:type="dcterms:W3CDTF">2025-08-20T06:56:00Z</dcterms:created>
  <dcterms:modified xsi:type="dcterms:W3CDTF">2026-02-27T11:20:00Z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D87C355B4658481EA5F8C7549D0895F6_12</vt:lpwstr>
  </property>
</Properties>
</file>