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808EB">
      <w:pPr>
        <w:spacing w:line="360" w:lineRule="auto"/>
        <w:jc w:val="center"/>
        <w:rPr>
          <w:rFonts w:ascii="Times New Roman" w:hAnsi="Times New Roman"/>
          <w:b/>
          <w:bCs/>
          <w:color w:val="auto"/>
        </w:rPr>
      </w:pPr>
      <w:bookmarkStart w:id="0" w:name="_Hlk150175037"/>
      <w:bookmarkEnd w:id="0"/>
      <w:r>
        <w:rPr>
          <w:rFonts w:ascii="Times New Roman" w:hAnsi="Times New Roman" w:cs="Times New Roman"/>
          <w:bCs/>
          <w:color w:val="auto"/>
          <w:kern w:val="0"/>
          <w:sz w:val="24"/>
        </w:rPr>
        <w:t xml:space="preserve"> Supporting Information</w:t>
      </w:r>
    </w:p>
    <w:p w14:paraId="4CC52C2E">
      <w:pPr>
        <w:widowControl/>
        <w:spacing w:line="360" w:lineRule="auto"/>
        <w:jc w:val="both"/>
        <w:rPr>
          <w:rFonts w:hint="eastAsia" w:ascii="Times New Roman" w:hAnsi="Times New Roman"/>
          <w:b/>
          <w:bCs/>
          <w:color w:val="auto"/>
          <w:sz w:val="32"/>
          <w:szCs w:val="32"/>
        </w:rPr>
      </w:pPr>
      <w:r>
        <w:rPr>
          <w:rFonts w:hint="eastAsia" w:ascii="Times New Roman" w:hAnsi="Times New Roman"/>
          <w:b/>
          <w:bCs/>
          <w:color w:val="auto"/>
          <w:sz w:val="32"/>
          <w:szCs w:val="32"/>
        </w:rPr>
        <w:t xml:space="preserve">Injectable ROS-Scavenging and NIR-Responsive Nanocomposite Hydrogel for Staphylococcus </w:t>
      </w:r>
      <w:r>
        <w:rPr>
          <w:rFonts w:hint="eastAsia" w:ascii="Times New Roman" w:hAnsi="Times New Roman"/>
          <w:b/>
          <w:bCs/>
          <w:color w:val="auto"/>
          <w:sz w:val="32"/>
          <w:szCs w:val="32"/>
          <w:lang w:val="en-US" w:eastAsia="zh-CN"/>
        </w:rPr>
        <w:t>A</w:t>
      </w:r>
      <w:r>
        <w:rPr>
          <w:rFonts w:hint="eastAsia" w:ascii="Times New Roman" w:hAnsi="Times New Roman"/>
          <w:b/>
          <w:bCs/>
          <w:color w:val="auto"/>
          <w:sz w:val="32"/>
          <w:szCs w:val="32"/>
        </w:rPr>
        <w:t>ureus</w:t>
      </w:r>
      <w:r>
        <w:rPr>
          <w:rFonts w:hint="eastAsia" w:ascii="Times New Roman" w:hAnsi="Times New Roman"/>
          <w:b/>
          <w:bCs/>
          <w:color w:val="auto"/>
          <w:sz w:val="32"/>
          <w:szCs w:val="32"/>
          <w:lang w:val="en-US" w:eastAsia="zh-CN"/>
        </w:rPr>
        <w:t>-I</w:t>
      </w:r>
      <w:r>
        <w:rPr>
          <w:rFonts w:hint="eastAsia" w:ascii="Times New Roman" w:hAnsi="Times New Roman"/>
          <w:b/>
          <w:bCs/>
          <w:color w:val="auto"/>
          <w:sz w:val="32"/>
          <w:szCs w:val="32"/>
        </w:rPr>
        <w:t>nfected Diabetic Wound Healing</w:t>
      </w:r>
    </w:p>
    <w:p w14:paraId="7E57A1D9">
      <w:pPr>
        <w:widowControl/>
        <w:spacing w:line="360" w:lineRule="auto"/>
        <w:jc w:val="center"/>
        <w:rPr>
          <w:rFonts w:ascii="Times New Roman" w:hAnsi="Times New Roman" w:cs="Times New Roman"/>
          <w:b/>
          <w:bCs/>
          <w:color w:val="auto"/>
          <w:sz w:val="24"/>
        </w:rPr>
      </w:pPr>
      <w:r>
        <w:rPr>
          <w:rFonts w:ascii="Times New Roman" w:hAnsi="Times New Roman" w:cs="Times New Roman"/>
          <w:b/>
          <w:bCs/>
          <w:color w:val="auto"/>
          <w:sz w:val="24"/>
        </w:rPr>
        <w:drawing>
          <wp:inline distT="0" distB="0" distL="0" distR="0">
            <wp:extent cx="3117215" cy="1738630"/>
            <wp:effectExtent l="0" t="0" r="6985" b="0"/>
            <wp:docPr id="10714736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73665"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17600" cy="1738800"/>
                    </a:xfrm>
                    <a:prstGeom prst="rect">
                      <a:avLst/>
                    </a:prstGeom>
                  </pic:spPr>
                </pic:pic>
              </a:graphicData>
            </a:graphic>
          </wp:inline>
        </w:drawing>
      </w:r>
    </w:p>
    <w:p w14:paraId="27B221D4">
      <w:pPr>
        <w:widowControl/>
        <w:spacing w:line="360" w:lineRule="auto"/>
        <w:jc w:val="center"/>
        <w:rPr>
          <w:rFonts w:ascii="Times New Roman" w:hAnsi="Times New Roman" w:cs="Times New Roman"/>
          <w:color w:val="auto"/>
          <w:szCs w:val="21"/>
        </w:rPr>
      </w:pPr>
      <w:r>
        <w:rPr>
          <w:rFonts w:ascii="Times New Roman" w:hAnsi="Times New Roman" w:cs="Times New Roman"/>
          <w:b/>
          <w:bCs/>
          <w:color w:val="auto"/>
          <w:szCs w:val="21"/>
        </w:rPr>
        <w:t xml:space="preserve">Figure S1. </w:t>
      </w:r>
      <w:r>
        <w:rPr>
          <w:rFonts w:ascii="Times New Roman" w:hAnsi="Times New Roman" w:cs="Times New Roman"/>
          <w:color w:val="auto"/>
          <w:szCs w:val="21"/>
        </w:rPr>
        <w:t>¹H NMR (600 MHz, D₂O) spectrum of TSPBA</w:t>
      </w:r>
    </w:p>
    <w:p w14:paraId="24BFE0FF">
      <w:pPr>
        <w:widowControl/>
        <w:spacing w:line="360" w:lineRule="auto"/>
        <w:jc w:val="center"/>
        <w:rPr>
          <w:rFonts w:ascii="Times New Roman" w:hAnsi="Times New Roman" w:cs="Times New Roman"/>
          <w:b/>
          <w:bCs/>
          <w:color w:val="auto"/>
          <w:szCs w:val="21"/>
        </w:rPr>
      </w:pPr>
    </w:p>
    <w:p w14:paraId="1A2E1B75">
      <w:pPr>
        <w:widowControl/>
        <w:spacing w:line="360" w:lineRule="auto"/>
        <w:jc w:val="center"/>
        <w:rPr>
          <w:rFonts w:ascii="Times New Roman" w:hAnsi="Times New Roman" w:cs="Times New Roman"/>
          <w:b/>
          <w:bCs/>
          <w:color w:val="auto"/>
          <w:szCs w:val="21"/>
        </w:rPr>
      </w:pPr>
      <w:r>
        <w:rPr>
          <w:rFonts w:ascii="Times New Roman" w:hAnsi="Times New Roman" w:cs="Times New Roman"/>
          <w:b/>
          <w:bCs/>
          <w:color w:val="auto"/>
          <w:szCs w:val="21"/>
        </w:rPr>
        <w:drawing>
          <wp:inline distT="0" distB="0" distL="0" distR="0">
            <wp:extent cx="3117215" cy="2599055"/>
            <wp:effectExtent l="0" t="0" r="6985" b="0"/>
            <wp:docPr id="19948769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76974" name="图片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17303" cy="2599138"/>
                    </a:xfrm>
                    <a:prstGeom prst="rect">
                      <a:avLst/>
                    </a:prstGeom>
                  </pic:spPr>
                </pic:pic>
              </a:graphicData>
            </a:graphic>
          </wp:inline>
        </w:drawing>
      </w:r>
    </w:p>
    <w:p w14:paraId="7755FD3C">
      <w:pPr>
        <w:widowControl/>
        <w:spacing w:line="360" w:lineRule="auto"/>
        <w:jc w:val="center"/>
        <w:rPr>
          <w:rFonts w:ascii="Times New Roman" w:hAnsi="Times New Roman" w:cs="Times New Roman"/>
          <w:color w:val="auto"/>
          <w:szCs w:val="21"/>
        </w:rPr>
      </w:pPr>
      <w:r>
        <w:rPr>
          <w:rFonts w:ascii="Times New Roman" w:hAnsi="Times New Roman" w:cs="Times New Roman"/>
          <w:b/>
          <w:bCs/>
          <w:color w:val="auto"/>
          <w:szCs w:val="21"/>
        </w:rPr>
        <w:t xml:space="preserve">Figure S2. </w:t>
      </w:r>
      <w:r>
        <w:rPr>
          <w:rFonts w:ascii="Times New Roman" w:hAnsi="Times New Roman" w:cs="Times New Roman"/>
          <w:color w:val="auto"/>
          <w:szCs w:val="21"/>
        </w:rPr>
        <w:t>¹H NMR (400 MHz) solid-state spectrum of TSPBA.</w:t>
      </w:r>
    </w:p>
    <w:p w14:paraId="33AB4EA6">
      <w:pPr>
        <w:widowControl/>
        <w:spacing w:line="360" w:lineRule="auto"/>
        <w:jc w:val="center"/>
        <w:rPr>
          <w:rFonts w:ascii="Times New Roman" w:hAnsi="Times New Roman" w:cs="Times New Roman"/>
          <w:color w:val="auto"/>
          <w:szCs w:val="21"/>
        </w:rPr>
      </w:pPr>
    </w:p>
    <w:p w14:paraId="2B7867F5">
      <w:pPr>
        <w:widowControl/>
        <w:spacing w:line="360" w:lineRule="auto"/>
        <w:jc w:val="center"/>
        <w:rPr>
          <w:rFonts w:ascii="Times New Roman" w:hAnsi="Times New Roman" w:cs="Times New Roman"/>
          <w:b/>
          <w:bCs/>
          <w:color w:val="auto"/>
          <w:szCs w:val="21"/>
        </w:rPr>
      </w:pPr>
      <w:r>
        <w:rPr>
          <w:rFonts w:ascii="Times New Roman" w:hAnsi="Times New Roman" w:cs="Times New Roman"/>
          <w:b/>
          <w:bCs/>
          <w:color w:val="auto"/>
          <w:szCs w:val="21"/>
        </w:rPr>
        <w:drawing>
          <wp:inline distT="0" distB="0" distL="0" distR="0">
            <wp:extent cx="3117215" cy="2155825"/>
            <wp:effectExtent l="0" t="0" r="6985" b="0"/>
            <wp:docPr id="1426145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14521"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17600" cy="2156400"/>
                    </a:xfrm>
                    <a:prstGeom prst="rect">
                      <a:avLst/>
                    </a:prstGeom>
                  </pic:spPr>
                </pic:pic>
              </a:graphicData>
            </a:graphic>
          </wp:inline>
        </w:drawing>
      </w:r>
    </w:p>
    <w:p w14:paraId="4FFDD678">
      <w:pPr>
        <w:widowControl/>
        <w:spacing w:line="360" w:lineRule="auto"/>
        <w:jc w:val="left"/>
        <w:rPr>
          <w:rFonts w:ascii="Times New Roman" w:hAnsi="Times New Roman" w:cs="Times New Roman"/>
          <w:color w:val="auto"/>
          <w:szCs w:val="21"/>
        </w:rPr>
      </w:pPr>
      <w:r>
        <w:rPr>
          <w:rFonts w:ascii="Times New Roman" w:hAnsi="Times New Roman" w:cs="Times New Roman"/>
          <w:b/>
          <w:bCs/>
          <w:color w:val="auto"/>
          <w:szCs w:val="21"/>
        </w:rPr>
        <w:t>Figure S3.</w:t>
      </w:r>
      <w:r>
        <w:rPr>
          <w:rFonts w:ascii="Times New Roman" w:hAnsi="Times New Roman" w:cs="Times New Roman"/>
          <w:color w:val="auto"/>
          <w:szCs w:val="21"/>
        </w:rPr>
        <w:t>Gelation Process(A,B) and Injectability Evaluation(C) of PVA Hydrogels with Varying Concentrations and Ratios</w:t>
      </w:r>
    </w:p>
    <w:p w14:paraId="4CAA366D">
      <w:pPr>
        <w:widowControl/>
        <w:spacing w:line="360" w:lineRule="auto"/>
        <w:jc w:val="left"/>
        <w:rPr>
          <w:rFonts w:ascii="Times New Roman" w:hAnsi="Times New Roman" w:cs="Times New Roman"/>
          <w:color w:val="auto"/>
          <w:szCs w:val="21"/>
        </w:rPr>
      </w:pPr>
    </w:p>
    <w:p w14:paraId="7195F847">
      <w:pPr>
        <w:widowControl/>
        <w:spacing w:line="360" w:lineRule="auto"/>
        <w:jc w:val="center"/>
        <w:rPr>
          <w:rFonts w:ascii="Times New Roman" w:hAnsi="Times New Roman" w:cs="Times New Roman"/>
          <w:b/>
          <w:bCs/>
          <w:color w:val="auto"/>
          <w:szCs w:val="21"/>
        </w:rPr>
      </w:pPr>
      <w:r>
        <w:rPr>
          <w:rFonts w:ascii="Times New Roman" w:hAnsi="Times New Roman" w:cs="Times New Roman"/>
          <w:b/>
          <w:bCs/>
          <w:color w:val="auto"/>
          <w:szCs w:val="21"/>
        </w:rPr>
        <w:drawing>
          <wp:inline distT="0" distB="0" distL="0" distR="0">
            <wp:extent cx="3117215" cy="3117215"/>
            <wp:effectExtent l="0" t="0" r="6985" b="6985"/>
            <wp:docPr id="877340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4063" name="图片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17600" cy="3117600"/>
                    </a:xfrm>
                    <a:prstGeom prst="rect">
                      <a:avLst/>
                    </a:prstGeom>
                  </pic:spPr>
                </pic:pic>
              </a:graphicData>
            </a:graphic>
          </wp:inline>
        </w:drawing>
      </w:r>
    </w:p>
    <w:p w14:paraId="11FDCEE9">
      <w:pPr>
        <w:widowControl/>
        <w:spacing w:line="360" w:lineRule="auto"/>
        <w:jc w:val="both"/>
        <w:rPr>
          <w:rFonts w:hint="default" w:ascii="Times New Roman" w:hAnsi="Times New Roman" w:cs="Times New Roman" w:eastAsiaTheme="minorEastAsia"/>
          <w:color w:val="00B050"/>
          <w:szCs w:val="21"/>
          <w:lang w:val="en-US" w:eastAsia="zh-CN"/>
        </w:rPr>
      </w:pPr>
      <w:r>
        <w:rPr>
          <w:rFonts w:ascii="Times New Roman" w:hAnsi="Times New Roman" w:cs="Times New Roman"/>
          <w:b/>
          <w:bCs/>
          <w:color w:val="auto"/>
          <w:szCs w:val="21"/>
        </w:rPr>
        <w:t xml:space="preserve">Figure S4. </w:t>
      </w:r>
      <w:r>
        <w:rPr>
          <w:rFonts w:ascii="Times New Roman" w:hAnsi="Times New Roman" w:cs="Times New Roman"/>
          <w:color w:val="auto"/>
          <w:szCs w:val="21"/>
        </w:rPr>
        <w:t>Gelation Time of PVA Hydrogels with Varying Concentrations and Ratios</w:t>
      </w:r>
      <w:r>
        <w:rPr>
          <w:rFonts w:ascii="Times New Roman" w:hAnsi="Times New Roman"/>
          <w:color w:val="00B050"/>
          <w:szCs w:val="21"/>
        </w:rPr>
        <w:t xml:space="preserve">(n = </w:t>
      </w:r>
      <w:r>
        <w:rPr>
          <w:rFonts w:hint="eastAsia" w:ascii="Times New Roman" w:hAnsi="Times New Roman"/>
          <w:color w:val="00B050"/>
          <w:szCs w:val="21"/>
        </w:rPr>
        <w:t>3</w:t>
      </w:r>
      <w:r>
        <w:rPr>
          <w:rFonts w:ascii="Times New Roman" w:hAnsi="Times New Roman"/>
          <w:color w:val="00B050"/>
          <w:szCs w:val="21"/>
        </w:rPr>
        <w:t xml:space="preserve"> per group)</w:t>
      </w:r>
    </w:p>
    <w:p w14:paraId="047D24E2">
      <w:pPr>
        <w:widowControl/>
        <w:spacing w:line="360" w:lineRule="auto"/>
        <w:jc w:val="center"/>
        <w:rPr>
          <w:rFonts w:ascii="Times New Roman" w:hAnsi="Times New Roman" w:cs="Times New Roman"/>
          <w:b/>
          <w:bCs/>
          <w:color w:val="auto"/>
          <w:szCs w:val="21"/>
        </w:rPr>
      </w:pPr>
      <w:r>
        <w:rPr>
          <w:rFonts w:ascii="Times New Roman" w:hAnsi="Times New Roman" w:cs="Times New Roman"/>
          <w:b/>
          <w:bCs/>
          <w:color w:val="auto"/>
          <w:szCs w:val="21"/>
        </w:rPr>
        <w:drawing>
          <wp:inline distT="0" distB="0" distL="0" distR="0">
            <wp:extent cx="3117215" cy="2386330"/>
            <wp:effectExtent l="0" t="0" r="6985" b="0"/>
            <wp:docPr id="16291489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48941" name="图片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17600" cy="2386800"/>
                    </a:xfrm>
                    <a:prstGeom prst="rect">
                      <a:avLst/>
                    </a:prstGeom>
                  </pic:spPr>
                </pic:pic>
              </a:graphicData>
            </a:graphic>
          </wp:inline>
        </w:drawing>
      </w:r>
    </w:p>
    <w:p w14:paraId="5E49838E">
      <w:pPr>
        <w:widowControl/>
        <w:spacing w:line="360" w:lineRule="auto"/>
        <w:jc w:val="both"/>
        <w:rPr>
          <w:rFonts w:hint="default" w:ascii="Times New Roman" w:hAnsi="Times New Roman" w:cs="Times New Roman" w:eastAsiaTheme="minorEastAsia"/>
          <w:color w:val="00B050"/>
          <w:szCs w:val="21"/>
          <w:lang w:val="en-US" w:eastAsia="zh-CN"/>
        </w:rPr>
      </w:pPr>
      <w:r>
        <w:rPr>
          <w:rFonts w:ascii="Times New Roman" w:hAnsi="Times New Roman" w:cs="Times New Roman"/>
          <w:b/>
          <w:bCs/>
          <w:color w:val="auto"/>
          <w:szCs w:val="21"/>
        </w:rPr>
        <w:t xml:space="preserve">Figure S5. </w:t>
      </w:r>
      <w:r>
        <w:rPr>
          <w:rFonts w:ascii="Times New Roman" w:hAnsi="Times New Roman" w:cs="Times New Roman"/>
          <w:color w:val="auto"/>
          <w:szCs w:val="21"/>
        </w:rPr>
        <w:t>Gelation Time of PVA–TSPBA Hydrogels with Varying Concentrations and Ratios</w:t>
      </w:r>
      <w:r>
        <w:rPr>
          <w:rFonts w:ascii="Times New Roman" w:hAnsi="Times New Roman"/>
          <w:color w:val="00B050"/>
          <w:szCs w:val="21"/>
        </w:rPr>
        <w:t xml:space="preserve">(n = </w:t>
      </w:r>
      <w:r>
        <w:rPr>
          <w:rFonts w:hint="eastAsia" w:ascii="Times New Roman" w:hAnsi="Times New Roman"/>
          <w:color w:val="00B050"/>
          <w:szCs w:val="21"/>
        </w:rPr>
        <w:t>3</w:t>
      </w:r>
      <w:r>
        <w:rPr>
          <w:rFonts w:ascii="Times New Roman" w:hAnsi="Times New Roman"/>
          <w:color w:val="00B050"/>
          <w:szCs w:val="21"/>
        </w:rPr>
        <w:t xml:space="preserve"> per group)</w:t>
      </w:r>
    </w:p>
    <w:p w14:paraId="68FF18BB">
      <w:pPr>
        <w:widowControl/>
        <w:spacing w:line="360" w:lineRule="auto"/>
        <w:jc w:val="center"/>
        <w:rPr>
          <w:rFonts w:ascii="Times New Roman" w:hAnsi="Times New Roman" w:cs="Times New Roman"/>
          <w:b/>
          <w:bCs/>
          <w:color w:val="auto"/>
          <w:szCs w:val="21"/>
        </w:rPr>
      </w:pPr>
      <w:r>
        <w:rPr>
          <w:rFonts w:ascii="Times New Roman" w:hAnsi="Times New Roman" w:cs="Times New Roman"/>
          <w:b/>
          <w:bCs/>
          <w:color w:val="auto"/>
          <w:szCs w:val="21"/>
        </w:rPr>
        <w:drawing>
          <wp:inline distT="0" distB="0" distL="0" distR="0">
            <wp:extent cx="3117215" cy="3117215"/>
            <wp:effectExtent l="0" t="0" r="6985" b="6985"/>
            <wp:docPr id="5805895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589548" name="图片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7600" cy="3117600"/>
                    </a:xfrm>
                    <a:prstGeom prst="rect">
                      <a:avLst/>
                    </a:prstGeom>
                  </pic:spPr>
                </pic:pic>
              </a:graphicData>
            </a:graphic>
          </wp:inline>
        </w:drawing>
      </w:r>
    </w:p>
    <w:p w14:paraId="4D8F824A">
      <w:pPr>
        <w:widowControl/>
        <w:spacing w:line="360" w:lineRule="auto"/>
        <w:jc w:val="both"/>
        <w:rPr>
          <w:rFonts w:hint="default" w:ascii="Times New Roman" w:hAnsi="Times New Roman" w:cs="Times New Roman" w:eastAsiaTheme="minorEastAsia"/>
          <w:color w:val="00B050"/>
          <w:szCs w:val="21"/>
          <w:lang w:val="en-US" w:eastAsia="zh-CN"/>
        </w:rPr>
      </w:pPr>
      <w:r>
        <w:rPr>
          <w:rFonts w:ascii="Times New Roman" w:hAnsi="Times New Roman" w:cs="Times New Roman"/>
          <w:b/>
          <w:bCs/>
          <w:color w:val="auto"/>
          <w:szCs w:val="21"/>
        </w:rPr>
        <w:t xml:space="preserve">Figure S6. </w:t>
      </w:r>
      <w:r>
        <w:rPr>
          <w:rFonts w:ascii="Times New Roman" w:hAnsi="Times New Roman" w:cs="Times New Roman"/>
          <w:color w:val="auto"/>
          <w:szCs w:val="21"/>
        </w:rPr>
        <w:t>Gelation Time of PVA–TSPBA Hydrogels Incorporating PGS/MoS₂ Nanomaterials at Different Concentrations and Ratios</w:t>
      </w:r>
      <w:r>
        <w:rPr>
          <w:rFonts w:ascii="Times New Roman" w:hAnsi="Times New Roman"/>
          <w:color w:val="00B050"/>
          <w:szCs w:val="21"/>
        </w:rPr>
        <w:t xml:space="preserve">(n = </w:t>
      </w:r>
      <w:r>
        <w:rPr>
          <w:rFonts w:hint="eastAsia" w:ascii="Times New Roman" w:hAnsi="Times New Roman"/>
          <w:color w:val="00B050"/>
          <w:szCs w:val="21"/>
        </w:rPr>
        <w:t>3</w:t>
      </w:r>
      <w:r>
        <w:rPr>
          <w:rFonts w:ascii="Times New Roman" w:hAnsi="Times New Roman"/>
          <w:color w:val="00B050"/>
          <w:szCs w:val="21"/>
        </w:rPr>
        <w:t xml:space="preserve"> per group)</w:t>
      </w:r>
    </w:p>
    <w:p w14:paraId="139FD30A">
      <w:pPr>
        <w:widowControl/>
        <w:spacing w:line="360" w:lineRule="auto"/>
        <w:jc w:val="left"/>
        <w:rPr>
          <w:rFonts w:ascii="Times New Roman" w:hAnsi="Times New Roman" w:cs="Times New Roman"/>
          <w:color w:val="auto"/>
          <w:szCs w:val="21"/>
        </w:rPr>
      </w:pPr>
    </w:p>
    <w:p w14:paraId="3063B2DF">
      <w:pPr>
        <w:widowControl/>
        <w:spacing w:line="360" w:lineRule="auto"/>
        <w:jc w:val="left"/>
        <w:rPr>
          <w:rFonts w:ascii="Times New Roman" w:hAnsi="Times New Roman" w:cs="Times New Roman"/>
          <w:color w:val="auto"/>
          <w:szCs w:val="21"/>
        </w:rPr>
      </w:pPr>
    </w:p>
    <w:p w14:paraId="4885B093">
      <w:pPr>
        <w:widowControl/>
        <w:spacing w:line="360" w:lineRule="auto"/>
        <w:jc w:val="center"/>
        <w:rPr>
          <w:rFonts w:hint="eastAsia" w:ascii="Times New Roman" w:hAnsi="Times New Roman" w:cs="Times New Roman" w:eastAsiaTheme="minorEastAsia"/>
          <w:b/>
          <w:bCs/>
          <w:color w:val="auto"/>
          <w:szCs w:val="21"/>
          <w:lang w:eastAsia="zh-CN"/>
        </w:rPr>
      </w:pPr>
      <w:r>
        <w:rPr>
          <w:rFonts w:hint="eastAsia" w:ascii="Times New Roman" w:hAnsi="Times New Roman" w:cs="Times New Roman" w:eastAsiaTheme="minorEastAsia"/>
          <w:b/>
          <w:bCs/>
          <w:color w:val="auto"/>
          <w:szCs w:val="21"/>
          <w:lang w:eastAsia="zh-CN"/>
        </w:rPr>
        <w:drawing>
          <wp:inline distT="0" distB="0" distL="114300" distR="114300">
            <wp:extent cx="5260340" cy="2032000"/>
            <wp:effectExtent l="0" t="0" r="6985" b="6350"/>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10"/>
                    <a:stretch>
                      <a:fillRect/>
                    </a:stretch>
                  </pic:blipFill>
                  <pic:spPr>
                    <a:xfrm>
                      <a:off x="0" y="0"/>
                      <a:ext cx="5260340" cy="2032000"/>
                    </a:xfrm>
                    <a:prstGeom prst="rect">
                      <a:avLst/>
                    </a:prstGeom>
                  </pic:spPr>
                </pic:pic>
              </a:graphicData>
            </a:graphic>
          </wp:inline>
        </w:drawing>
      </w:r>
    </w:p>
    <w:p w14:paraId="6F53F896">
      <w:pPr>
        <w:widowControl/>
        <w:spacing w:line="360" w:lineRule="auto"/>
        <w:jc w:val="both"/>
        <w:rPr>
          <w:rFonts w:ascii="Times New Roman" w:hAnsi="Times New Roman" w:cs="Times New Roman"/>
          <w:color w:val="auto"/>
          <w:szCs w:val="21"/>
        </w:rPr>
      </w:pPr>
      <w:bookmarkStart w:id="1" w:name="_GoBack"/>
      <w:r>
        <w:rPr>
          <w:rFonts w:ascii="Times New Roman" w:hAnsi="Times New Roman" w:cs="Times New Roman"/>
          <w:b/>
          <w:bCs/>
          <w:color w:val="00B050"/>
          <w:szCs w:val="21"/>
        </w:rPr>
        <w:t>Figure S7. Photodynamic evaluation showed that the 15% PVA–5% TSPBA hydrogel generated the highest ROS under NIR irradiation, as measured using DPBF</w:t>
      </w:r>
      <w:r>
        <w:rPr>
          <w:rFonts w:hint="eastAsia" w:ascii="Times New Roman" w:hAnsi="Times New Roman" w:cs="Times New Roman"/>
          <w:b/>
          <w:bCs/>
          <w:color w:val="00B050"/>
          <w:szCs w:val="21"/>
          <w:lang w:val="en-US" w:eastAsia="zh-CN"/>
        </w:rPr>
        <w:t>(A)</w:t>
      </w:r>
      <w:r>
        <w:rPr>
          <w:rFonts w:ascii="Times New Roman" w:hAnsi="Times New Roman" w:cs="Times New Roman"/>
          <w:b/>
          <w:bCs/>
          <w:color w:val="00B050"/>
          <w:szCs w:val="21"/>
        </w:rPr>
        <w:t xml:space="preserve"> and MB</w:t>
      </w:r>
      <w:r>
        <w:rPr>
          <w:rFonts w:hint="eastAsia" w:ascii="Times New Roman" w:hAnsi="Times New Roman" w:cs="Times New Roman"/>
          <w:b/>
          <w:bCs/>
          <w:color w:val="00B050"/>
          <w:szCs w:val="21"/>
          <w:lang w:val="en-US" w:eastAsia="zh-CN"/>
        </w:rPr>
        <w:t>(B)</w:t>
      </w:r>
      <w:r>
        <w:rPr>
          <w:rFonts w:ascii="Times New Roman" w:hAnsi="Times New Roman" w:cs="Times New Roman"/>
          <w:b/>
          <w:bCs/>
          <w:color w:val="00B050"/>
          <w:szCs w:val="21"/>
        </w:rPr>
        <w:t>.</w:t>
      </w:r>
      <w:r>
        <w:rPr>
          <w:rFonts w:ascii="Times New Roman" w:hAnsi="Times New Roman" w:cs="Times New Roman"/>
          <w:color w:val="auto"/>
          <w:szCs w:val="21"/>
        </w:rPr>
        <w:t>(Group Definitions: C represents the control; 10–15 denotes the 10% PVA–15% TSPBA; 10–10 denotes the 10% PVA–10% TSPBA; and 15–5 denotes the 15% PVA–5% TSPBA)</w:t>
      </w:r>
    </w:p>
    <w:bookmarkEnd w:id="1"/>
    <w:p w14:paraId="3EF5FC2E">
      <w:pPr>
        <w:widowControl/>
        <w:spacing w:line="360" w:lineRule="auto"/>
        <w:jc w:val="left"/>
        <w:rPr>
          <w:rFonts w:ascii="Times New Roman" w:hAnsi="Times New Roman" w:cs="Times New Roman"/>
          <w:color w:val="auto"/>
          <w:szCs w:val="21"/>
        </w:rPr>
      </w:pPr>
    </w:p>
    <w:p w14:paraId="3A680B3C">
      <w:pPr>
        <w:widowControl/>
        <w:spacing w:line="360" w:lineRule="auto"/>
        <w:jc w:val="center"/>
        <w:rPr>
          <w:rFonts w:ascii="Times New Roman" w:hAnsi="Times New Roman" w:cs="Times New Roman"/>
          <w:b/>
          <w:bCs/>
          <w:color w:val="auto"/>
          <w:szCs w:val="21"/>
        </w:rPr>
      </w:pPr>
      <w:r>
        <w:rPr>
          <w:rFonts w:ascii="Times New Roman" w:hAnsi="Times New Roman" w:cs="Times New Roman"/>
          <w:b/>
          <w:bCs/>
          <w:color w:val="auto"/>
          <w:szCs w:val="21"/>
        </w:rPr>
        <w:drawing>
          <wp:inline distT="0" distB="0" distL="0" distR="0">
            <wp:extent cx="5274310" cy="1088390"/>
            <wp:effectExtent l="0" t="0" r="2540" b="0"/>
            <wp:docPr id="208095685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56857" name="图片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1088390"/>
                    </a:xfrm>
                    <a:prstGeom prst="rect">
                      <a:avLst/>
                    </a:prstGeom>
                  </pic:spPr>
                </pic:pic>
              </a:graphicData>
            </a:graphic>
          </wp:inline>
        </w:drawing>
      </w:r>
    </w:p>
    <w:p w14:paraId="07D1E364">
      <w:pPr>
        <w:rPr>
          <w:rFonts w:ascii="Times New Roman" w:hAnsi="Times New Roman" w:cs="Times New Roman"/>
          <w:color w:val="auto"/>
          <w:szCs w:val="21"/>
        </w:rPr>
      </w:pPr>
      <w:r>
        <w:rPr>
          <w:rFonts w:ascii="Times New Roman" w:hAnsi="Times New Roman" w:cs="Times New Roman"/>
          <w:b/>
          <w:bCs/>
          <w:color w:val="auto"/>
          <w:szCs w:val="21"/>
        </w:rPr>
        <w:t xml:space="preserve">Figure S8. </w:t>
      </w:r>
      <w:r>
        <w:rPr>
          <w:rFonts w:ascii="Times New Roman" w:hAnsi="Times New Roman" w:cs="Times New Roman"/>
          <w:color w:val="auto"/>
          <w:szCs w:val="21"/>
        </w:rPr>
        <w:t>SEM Observation Reveals Uniform Distribution of Si and O Elements in Acid- and Heat-Treated PGS</w:t>
      </w:r>
    </w:p>
    <w:p w14:paraId="6C1E66FF">
      <w:pPr>
        <w:rPr>
          <w:rFonts w:ascii="Times New Roman" w:hAnsi="Times New Roman" w:cs="Times New Roman"/>
          <w:color w:val="auto"/>
          <w:szCs w:val="21"/>
        </w:rPr>
      </w:pPr>
    </w:p>
    <w:p w14:paraId="3DC6A67F">
      <w:pP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4310" cy="1087120"/>
            <wp:effectExtent l="0" t="0" r="2540" b="0"/>
            <wp:docPr id="2165771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77115" name="图片 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1087120"/>
                    </a:xfrm>
                    <a:prstGeom prst="rect">
                      <a:avLst/>
                    </a:prstGeom>
                  </pic:spPr>
                </pic:pic>
              </a:graphicData>
            </a:graphic>
          </wp:inline>
        </w:drawing>
      </w:r>
    </w:p>
    <w:p w14:paraId="053B5EA0">
      <w:pPr>
        <w:rPr>
          <w:rFonts w:ascii="Times New Roman" w:hAnsi="Times New Roman" w:cs="Times New Roman"/>
          <w:color w:val="auto"/>
          <w:szCs w:val="21"/>
        </w:rPr>
      </w:pPr>
      <w:r>
        <w:rPr>
          <w:rFonts w:ascii="Times New Roman" w:hAnsi="Times New Roman" w:cs="Times New Roman"/>
          <w:b/>
          <w:bCs/>
          <w:color w:val="auto"/>
          <w:szCs w:val="21"/>
        </w:rPr>
        <w:t xml:space="preserve">Figure S9. </w:t>
      </w:r>
      <w:r>
        <w:rPr>
          <w:rFonts w:ascii="Times New Roman" w:hAnsi="Times New Roman" w:cs="Times New Roman"/>
          <w:color w:val="auto"/>
          <w:szCs w:val="21"/>
        </w:rPr>
        <w:t>SEM Observation Reveals Uniform Distribution of Mo and S Elements in MoS₂</w:t>
      </w:r>
    </w:p>
    <w:p w14:paraId="0625BBC9">
      <w:pPr>
        <w:rPr>
          <w:rFonts w:ascii="Times New Roman" w:hAnsi="Times New Roman" w:cs="Times New Roman"/>
          <w:color w:val="auto"/>
          <w:szCs w:val="21"/>
        </w:rPr>
      </w:pPr>
    </w:p>
    <w:p w14:paraId="245B1C2F">
      <w:pPr>
        <w:jc w:val="cente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3675" cy="2649220"/>
            <wp:effectExtent l="0" t="0" r="3175" b="0"/>
            <wp:docPr id="141768168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81686" name="图片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000" cy="2649600"/>
                    </a:xfrm>
                    <a:prstGeom prst="rect">
                      <a:avLst/>
                    </a:prstGeom>
                  </pic:spPr>
                </pic:pic>
              </a:graphicData>
            </a:graphic>
          </wp:inline>
        </w:drawing>
      </w:r>
    </w:p>
    <w:p w14:paraId="2B187933">
      <w:pPr>
        <w:rPr>
          <w:rFonts w:ascii="Times New Roman" w:hAnsi="Times New Roman" w:cs="Times New Roman"/>
          <w:color w:val="auto"/>
          <w:szCs w:val="21"/>
        </w:rPr>
      </w:pPr>
      <w:r>
        <w:rPr>
          <w:rFonts w:ascii="Times New Roman" w:hAnsi="Times New Roman" w:cs="Times New Roman"/>
          <w:b/>
          <w:bCs/>
          <w:color w:val="auto"/>
          <w:szCs w:val="21"/>
        </w:rPr>
        <w:t xml:space="preserve">Figure S10. </w:t>
      </w:r>
      <w:r>
        <w:rPr>
          <w:rFonts w:ascii="Times New Roman" w:hAnsi="Times New Roman" w:cs="Times New Roman"/>
          <w:color w:val="auto"/>
          <w:szCs w:val="21"/>
        </w:rPr>
        <w:t>SEM Analysis of PGS/MoS₂ Nanocomposites with Varying Ratios Reveals Uniform Distribution of Mo, S, Si, and O Elements</w:t>
      </w:r>
    </w:p>
    <w:p w14:paraId="0B20F8F0">
      <w:pPr>
        <w:rPr>
          <w:rFonts w:ascii="Times New Roman" w:hAnsi="Times New Roman" w:cs="Times New Roman"/>
          <w:color w:val="auto"/>
          <w:szCs w:val="21"/>
        </w:rPr>
      </w:pPr>
    </w:p>
    <w:p w14:paraId="0390AA62">
      <w:pPr>
        <w:jc w:val="cente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3117215" cy="2181225"/>
            <wp:effectExtent l="0" t="0" r="6985" b="9525"/>
            <wp:docPr id="59947494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74943" name="图片 1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17600" cy="2181600"/>
                    </a:xfrm>
                    <a:prstGeom prst="rect">
                      <a:avLst/>
                    </a:prstGeom>
                  </pic:spPr>
                </pic:pic>
              </a:graphicData>
            </a:graphic>
          </wp:inline>
        </w:drawing>
      </w:r>
    </w:p>
    <w:p w14:paraId="362507D4">
      <w:pPr>
        <w:rPr>
          <w:rFonts w:ascii="Times New Roman" w:hAnsi="Times New Roman" w:cs="Times New Roman"/>
          <w:color w:val="auto"/>
          <w:szCs w:val="21"/>
        </w:rPr>
      </w:pPr>
      <w:r>
        <w:rPr>
          <w:rFonts w:ascii="Times New Roman" w:hAnsi="Times New Roman" w:cs="Times New Roman"/>
          <w:b/>
          <w:bCs/>
          <w:color w:val="auto"/>
          <w:szCs w:val="21"/>
        </w:rPr>
        <w:t xml:space="preserve">Figure S11. </w:t>
      </w:r>
      <w:r>
        <w:rPr>
          <w:rFonts w:ascii="Times New Roman" w:hAnsi="Times New Roman" w:cs="Times New Roman"/>
          <w:color w:val="auto"/>
          <w:szCs w:val="21"/>
        </w:rPr>
        <w:t>XRD Analysis of MoS₂@PGS with Varying Ratios Shows Characteristic Peaks of Major Components(2.5, 5, 7.5, and 10 represent PGS/MoS₂ nanocomposites with PGS loadings of 2.5%, 5%, 7.5%, and 10%, respectively)</w:t>
      </w:r>
    </w:p>
    <w:p w14:paraId="520D79CA">
      <w:pPr>
        <w:rPr>
          <w:rFonts w:ascii="Times New Roman" w:hAnsi="Times New Roman" w:cs="Times New Roman"/>
          <w:color w:val="auto"/>
          <w:szCs w:val="21"/>
        </w:rPr>
      </w:pPr>
    </w:p>
    <w:p w14:paraId="01316683">
      <w:pP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4310" cy="2223770"/>
            <wp:effectExtent l="0" t="0" r="2540" b="5080"/>
            <wp:docPr id="222211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1144" name="图片 1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223770"/>
                    </a:xfrm>
                    <a:prstGeom prst="rect">
                      <a:avLst/>
                    </a:prstGeom>
                  </pic:spPr>
                </pic:pic>
              </a:graphicData>
            </a:graphic>
          </wp:inline>
        </w:drawing>
      </w:r>
    </w:p>
    <w:p w14:paraId="162CD835">
      <w:pPr>
        <w:rPr>
          <w:rFonts w:ascii="Times New Roman" w:hAnsi="Times New Roman" w:cs="Times New Roman"/>
          <w:color w:val="auto"/>
          <w:szCs w:val="21"/>
        </w:rPr>
      </w:pPr>
      <w:r>
        <w:rPr>
          <w:rFonts w:ascii="Times New Roman" w:hAnsi="Times New Roman" w:cs="Times New Roman"/>
          <w:b/>
          <w:bCs/>
          <w:color w:val="auto"/>
          <w:szCs w:val="21"/>
        </w:rPr>
        <w:t xml:space="preserve">Figure S12. </w:t>
      </w:r>
      <w:r>
        <w:rPr>
          <w:rFonts w:ascii="Times New Roman" w:hAnsi="Times New Roman" w:cs="Times New Roman"/>
          <w:color w:val="auto"/>
          <w:szCs w:val="21"/>
        </w:rPr>
        <w:t>Peak Temperatures(A) and Time-Dependent Heating Profiles(B) of PGS@MoS₂ Nanocomposites under 808 nm NIR Irradiation Reveal Maximum Photothermal Conversion at 7.5% PGS/92.5% MoS₂ (2.5, 5, 7.5, and 10 represent PGS/MoS₂ nanocomposites with PGS loadings of 2.5%, 5%, 7.5%, and 10%, respectively)</w:t>
      </w:r>
    </w:p>
    <w:p w14:paraId="081A0B2C">
      <w:pPr>
        <w:rPr>
          <w:rFonts w:ascii="Times New Roman" w:hAnsi="Times New Roman" w:cs="Times New Roman"/>
          <w:color w:val="auto"/>
          <w:szCs w:val="21"/>
        </w:rPr>
      </w:pPr>
    </w:p>
    <w:p w14:paraId="690B6AE6">
      <w:pPr>
        <w:rPr>
          <w:rFonts w:hint="eastAsia" w:ascii="Times New Roman" w:hAnsi="Times New Roman" w:cs="Times New Roman" w:eastAsiaTheme="minorEastAsia"/>
          <w:color w:val="auto"/>
          <w:szCs w:val="21"/>
          <w:lang w:eastAsia="zh-CN"/>
        </w:rPr>
      </w:pPr>
      <w:r>
        <w:rPr>
          <w:rFonts w:hint="eastAsia" w:ascii="Times New Roman" w:hAnsi="Times New Roman" w:cs="Times New Roman" w:eastAsiaTheme="minorEastAsia"/>
          <w:color w:val="auto"/>
          <w:szCs w:val="21"/>
          <w:lang w:eastAsia="zh-CN"/>
        </w:rPr>
        <w:drawing>
          <wp:inline distT="0" distB="0" distL="114300" distR="114300">
            <wp:extent cx="5271770" cy="2148205"/>
            <wp:effectExtent l="0" t="0" r="5080" b="4445"/>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16"/>
                    <a:stretch>
                      <a:fillRect/>
                    </a:stretch>
                  </pic:blipFill>
                  <pic:spPr>
                    <a:xfrm>
                      <a:off x="0" y="0"/>
                      <a:ext cx="5271770" cy="2148205"/>
                    </a:xfrm>
                    <a:prstGeom prst="rect">
                      <a:avLst/>
                    </a:prstGeom>
                  </pic:spPr>
                </pic:pic>
              </a:graphicData>
            </a:graphic>
          </wp:inline>
        </w:drawing>
      </w:r>
    </w:p>
    <w:p w14:paraId="4F16E989">
      <w:pPr>
        <w:rPr>
          <w:rFonts w:ascii="Times New Roman" w:hAnsi="Times New Roman" w:cs="Times New Roman"/>
          <w:color w:val="auto"/>
          <w:szCs w:val="21"/>
        </w:rPr>
      </w:pPr>
      <w:r>
        <w:rPr>
          <w:rFonts w:ascii="Times New Roman" w:hAnsi="Times New Roman" w:cs="Times New Roman"/>
          <w:b/>
          <w:bCs/>
          <w:color w:val="00B050"/>
          <w:szCs w:val="21"/>
        </w:rPr>
        <w:t>Figure S13. ROS generation under 808 nm NIR irradiation demonstrated the optimal photodynamic performance of the 7.5% PGS/92.5% MoS₂ nanocomposites, as measured using DPBF</w:t>
      </w:r>
      <w:r>
        <w:rPr>
          <w:rFonts w:hint="eastAsia" w:ascii="Times New Roman" w:hAnsi="Times New Roman" w:cs="Times New Roman"/>
          <w:b/>
          <w:bCs/>
          <w:color w:val="00B050"/>
          <w:szCs w:val="21"/>
          <w:lang w:val="en-US" w:eastAsia="zh-CN"/>
        </w:rPr>
        <w:t>(A)</w:t>
      </w:r>
      <w:r>
        <w:rPr>
          <w:rFonts w:ascii="Times New Roman" w:hAnsi="Times New Roman" w:cs="Times New Roman"/>
          <w:b/>
          <w:bCs/>
          <w:color w:val="00B050"/>
          <w:szCs w:val="21"/>
        </w:rPr>
        <w:t xml:space="preserve"> and MB</w:t>
      </w:r>
      <w:r>
        <w:rPr>
          <w:rFonts w:hint="eastAsia" w:ascii="Times New Roman" w:hAnsi="Times New Roman" w:cs="Times New Roman"/>
          <w:b/>
          <w:bCs/>
          <w:color w:val="00B050"/>
          <w:szCs w:val="21"/>
          <w:lang w:val="en-US" w:eastAsia="zh-CN"/>
        </w:rPr>
        <w:t>(B)</w:t>
      </w:r>
      <w:r>
        <w:rPr>
          <w:rFonts w:ascii="Times New Roman" w:hAnsi="Times New Roman" w:cs="Times New Roman"/>
          <w:b/>
          <w:bCs/>
          <w:color w:val="00B050"/>
          <w:szCs w:val="21"/>
        </w:rPr>
        <w:t>.</w:t>
      </w:r>
      <w:r>
        <w:rPr>
          <w:rFonts w:ascii="Times New Roman" w:hAnsi="Times New Roman" w:cs="Times New Roman"/>
          <w:color w:val="00B050"/>
          <w:szCs w:val="21"/>
        </w:rPr>
        <w:t xml:space="preserve"> </w:t>
      </w:r>
      <w:r>
        <w:rPr>
          <w:rFonts w:ascii="Times New Roman" w:hAnsi="Times New Roman" w:cs="Times New Roman"/>
          <w:color w:val="auto"/>
          <w:szCs w:val="21"/>
        </w:rPr>
        <w:t>(C: Control; P: PGS; M: MoS₂; 2.5, 5, 7.5, 10: PGS Loadings of 2.5%, 5%, 7.5%, and 10%, Respectively)</w:t>
      </w:r>
    </w:p>
    <w:p w14:paraId="1BF689F8">
      <w:pPr>
        <w:rPr>
          <w:rFonts w:ascii="Times New Roman" w:hAnsi="Times New Roman" w:cs="Times New Roman"/>
          <w:color w:val="auto"/>
          <w:szCs w:val="21"/>
        </w:rPr>
      </w:pPr>
    </w:p>
    <w:p w14:paraId="5345EC27">
      <w:pPr>
        <w:jc w:val="center"/>
        <w:rPr>
          <w:rFonts w:ascii="Times New Roman" w:hAnsi="Times New Roman" w:cs="Times New Roman"/>
          <w:color w:val="auto"/>
          <w:szCs w:val="21"/>
        </w:rPr>
      </w:pPr>
    </w:p>
    <w:p w14:paraId="535B1C24">
      <w:pPr>
        <w:jc w:val="center"/>
        <w:rPr>
          <w:rFonts w:hint="eastAsia" w:ascii="Times New Roman" w:hAnsi="Times New Roman" w:cs="Times New Roman"/>
          <w:color w:val="auto"/>
          <w:szCs w:val="21"/>
        </w:rPr>
      </w:pPr>
      <w:r>
        <w:rPr>
          <w:rFonts w:hint="eastAsia" w:ascii="Times New Roman" w:hAnsi="Times New Roman" w:cs="Times New Roman"/>
          <w:color w:val="auto"/>
          <w:szCs w:val="21"/>
        </w:rPr>
        <w:drawing>
          <wp:inline distT="0" distB="0" distL="0" distR="0">
            <wp:extent cx="3735070" cy="2280285"/>
            <wp:effectExtent l="0" t="0" r="0" b="5715"/>
            <wp:docPr id="14408490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849005" name="图片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35222" cy="2280480"/>
                    </a:xfrm>
                    <a:prstGeom prst="rect">
                      <a:avLst/>
                    </a:prstGeom>
                  </pic:spPr>
                </pic:pic>
              </a:graphicData>
            </a:graphic>
          </wp:inline>
        </w:drawing>
      </w:r>
    </w:p>
    <w:p w14:paraId="5EB7D0E4">
      <w:pPr>
        <w:rPr>
          <w:rFonts w:ascii="Times New Roman" w:hAnsi="Times New Roman" w:cs="Times New Roman"/>
          <w:color w:val="auto"/>
          <w:szCs w:val="21"/>
        </w:rPr>
      </w:pPr>
      <w:r>
        <w:rPr>
          <w:rFonts w:ascii="Times New Roman" w:hAnsi="Times New Roman" w:cs="Times New Roman"/>
          <w:b/>
          <w:bCs/>
          <w:color w:val="auto"/>
          <w:szCs w:val="21"/>
        </w:rPr>
        <w:t xml:space="preserve">Figure S14. </w:t>
      </w:r>
      <w:r>
        <w:rPr>
          <w:rFonts w:ascii="Times New Roman" w:hAnsi="Times New Roman" w:cs="Times New Roman"/>
          <w:color w:val="auto"/>
          <w:szCs w:val="21"/>
        </w:rPr>
        <w:t>Synthesis of PVA–TSPBA Hydrogels Embedded with Nanocomposites of Varying Ratios (2.5, 5, 7.5, and 10 Represent 2.5% PGS/97.5% MoS₂@PVA–TSPBA, 5% PGS/95% MoS₂@PVA–TSPBA, 7.5% PGS/92.5% MoS₂@PVA–TSPBA, and 10% PGS/90% MoS₂@PVA–TSPBA, Respectively)</w:t>
      </w:r>
    </w:p>
    <w:p w14:paraId="1517666F">
      <w:pPr>
        <w:rPr>
          <w:rFonts w:ascii="Times New Roman" w:hAnsi="Times New Roman" w:cs="Times New Roman"/>
          <w:color w:val="auto"/>
          <w:szCs w:val="21"/>
        </w:rPr>
      </w:pPr>
    </w:p>
    <w:p w14:paraId="7336D3AB">
      <w:pP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4310" cy="1758950"/>
            <wp:effectExtent l="0" t="0" r="2540" b="0"/>
            <wp:docPr id="22380958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09588" name="图片 1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1758950"/>
                    </a:xfrm>
                    <a:prstGeom prst="rect">
                      <a:avLst/>
                    </a:prstGeom>
                  </pic:spPr>
                </pic:pic>
              </a:graphicData>
            </a:graphic>
          </wp:inline>
        </w:drawing>
      </w:r>
    </w:p>
    <w:p w14:paraId="0CD37820">
      <w:pPr>
        <w:rPr>
          <w:rFonts w:ascii="Times New Roman" w:hAnsi="Times New Roman" w:cs="Times New Roman"/>
          <w:color w:val="auto"/>
          <w:szCs w:val="21"/>
        </w:rPr>
      </w:pPr>
      <w:r>
        <w:rPr>
          <w:rFonts w:ascii="Times New Roman" w:hAnsi="Times New Roman" w:cs="Times New Roman"/>
          <w:b/>
          <w:bCs/>
          <w:color w:val="auto"/>
          <w:szCs w:val="21"/>
        </w:rPr>
        <w:t>Figure S15.</w:t>
      </w:r>
      <w:r>
        <w:rPr>
          <w:rFonts w:ascii="Times New Roman" w:hAnsi="Times New Roman" w:cs="Times New Roman"/>
          <w:color w:val="auto"/>
          <w:szCs w:val="21"/>
        </w:rPr>
        <w:t xml:space="preserve"> Gelation of PVA–TSPBA Hydrogels Embedded with Nanocomposites of Varying Ratios (2.5, 5, 7.5, and 10 Represent 2.5% PGS/97.5% MoS₂@PVA–TSPBA, 5% PGS/95% MoS₂@PVA–TSPBA, 7.5% PGS/92.5% MoS₂@PVA–TSPBA, and 10% PGS/90% MoS₂@PVA–TSPBA, Respectively)</w:t>
      </w:r>
    </w:p>
    <w:p w14:paraId="40383479">
      <w:pPr>
        <w:rPr>
          <w:rFonts w:ascii="Times New Roman" w:hAnsi="Times New Roman" w:cs="Times New Roman"/>
          <w:color w:val="auto"/>
          <w:szCs w:val="21"/>
        </w:rPr>
      </w:pPr>
    </w:p>
    <w:p w14:paraId="3F411DD1">
      <w:pP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4310" cy="1517650"/>
            <wp:effectExtent l="0" t="0" r="2540" b="6350"/>
            <wp:docPr id="22280526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05265" name="图片 1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1517650"/>
                    </a:xfrm>
                    <a:prstGeom prst="rect">
                      <a:avLst/>
                    </a:prstGeom>
                  </pic:spPr>
                </pic:pic>
              </a:graphicData>
            </a:graphic>
          </wp:inline>
        </w:drawing>
      </w:r>
    </w:p>
    <w:p w14:paraId="5861F762">
      <w:pPr>
        <w:rPr>
          <w:rFonts w:ascii="Times New Roman" w:hAnsi="Times New Roman" w:cs="Times New Roman"/>
          <w:color w:val="auto"/>
          <w:szCs w:val="21"/>
        </w:rPr>
      </w:pPr>
      <w:r>
        <w:rPr>
          <w:rFonts w:ascii="Times New Roman" w:hAnsi="Times New Roman" w:cs="Times New Roman"/>
          <w:b/>
          <w:bCs/>
          <w:color w:val="auto"/>
          <w:szCs w:val="21"/>
        </w:rPr>
        <w:t>Figure S16.</w:t>
      </w:r>
      <w:r>
        <w:rPr>
          <w:rFonts w:ascii="Times New Roman" w:hAnsi="Times New Roman" w:cs="Times New Roman"/>
          <w:color w:val="auto"/>
          <w:szCs w:val="21"/>
        </w:rPr>
        <w:t xml:space="preserve"> Injectability Assessment Reveals Superior Performance of 7.5% PGS/92.5% MoS₂@PVA–TSPBA Hydrogel (2.5, 5, 7.5, and 10 Represent 2.5% PGS/97.5% MoS₂@PVA–TSPBA, 5% PGS/95% MoS₂@PVA–TSPBA, 7.5% PGS/92.5% MoS₂@PVA–TSPBA, and 10% PGS/90% MoS₂@PVA–TSPBA, Respectively)</w:t>
      </w:r>
    </w:p>
    <w:p w14:paraId="421A0A7A">
      <w:pPr>
        <w:rPr>
          <w:rFonts w:ascii="Times New Roman" w:hAnsi="Times New Roman" w:cs="Times New Roman"/>
          <w:color w:val="auto"/>
          <w:szCs w:val="21"/>
        </w:rPr>
      </w:pPr>
    </w:p>
    <w:p w14:paraId="2DBD792F">
      <w:pPr>
        <w:jc w:val="center"/>
        <w:rPr>
          <w:rFonts w:ascii="Times New Roman" w:hAnsi="Times New Roman" w:cs="Times New Roman"/>
          <w:b/>
          <w:bCs/>
          <w:color w:val="auto"/>
          <w:szCs w:val="21"/>
        </w:rPr>
      </w:pPr>
      <w:r>
        <w:rPr>
          <w:rFonts w:ascii="Times New Roman" w:hAnsi="Times New Roman" w:cs="Times New Roman"/>
          <w:color w:val="auto"/>
          <w:szCs w:val="21"/>
        </w:rPr>
        <w:drawing>
          <wp:inline distT="0" distB="0" distL="0" distR="0">
            <wp:extent cx="5273675" cy="2066290"/>
            <wp:effectExtent l="0" t="0" r="3175" b="0"/>
            <wp:docPr id="3043259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2590" name="图片 18"/>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000" cy="2066400"/>
                    </a:xfrm>
                    <a:prstGeom prst="rect">
                      <a:avLst/>
                    </a:prstGeom>
                  </pic:spPr>
                </pic:pic>
              </a:graphicData>
            </a:graphic>
          </wp:inline>
        </w:drawing>
      </w:r>
    </w:p>
    <w:p w14:paraId="1E69E163">
      <w:pPr>
        <w:jc w:val="left"/>
        <w:rPr>
          <w:rFonts w:ascii="Times New Roman" w:hAnsi="Times New Roman" w:cs="Times New Roman"/>
          <w:color w:val="auto"/>
          <w:szCs w:val="21"/>
        </w:rPr>
      </w:pPr>
      <w:r>
        <w:rPr>
          <w:rFonts w:ascii="Times New Roman" w:hAnsi="Times New Roman" w:cs="Times New Roman"/>
          <w:b/>
          <w:bCs/>
          <w:color w:val="auto"/>
          <w:szCs w:val="21"/>
        </w:rPr>
        <w:t>Figure S17.</w:t>
      </w:r>
      <w:r>
        <w:rPr>
          <w:rFonts w:ascii="Times New Roman" w:hAnsi="Times New Roman" w:cs="Times New Roman"/>
          <w:color w:val="auto"/>
          <w:szCs w:val="21"/>
        </w:rPr>
        <w:t xml:space="preserve"> ROS Scavenging Assessment: Intracellular ROS Levels in L929 Cells Co-cultured with Hydrogels Reveal the Strongest ROS Elimination in the PTPM Group</w:t>
      </w:r>
    </w:p>
    <w:p w14:paraId="282B829F">
      <w:pPr>
        <w:rPr>
          <w:rFonts w:ascii="Times New Roman" w:hAnsi="Times New Roman" w:cs="Times New Roman"/>
          <w:color w:val="auto"/>
          <w:szCs w:val="21"/>
        </w:rPr>
      </w:pPr>
    </w:p>
    <w:p w14:paraId="25072CF4">
      <w:pPr>
        <w:jc w:val="cente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3117215" cy="2386330"/>
            <wp:effectExtent l="0" t="0" r="6985" b="0"/>
            <wp:docPr id="162639209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92091" name="图片 19"/>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17600" cy="2386800"/>
                    </a:xfrm>
                    <a:prstGeom prst="rect">
                      <a:avLst/>
                    </a:prstGeom>
                  </pic:spPr>
                </pic:pic>
              </a:graphicData>
            </a:graphic>
          </wp:inline>
        </w:drawing>
      </w:r>
    </w:p>
    <w:p w14:paraId="2BD2B05A">
      <w:pPr>
        <w:widowControl/>
        <w:spacing w:line="360" w:lineRule="auto"/>
        <w:jc w:val="center"/>
        <w:rPr>
          <w:rFonts w:hint="default" w:ascii="Times New Roman" w:hAnsi="Times New Roman" w:cs="Times New Roman" w:eastAsiaTheme="minorEastAsia"/>
          <w:color w:val="00B050"/>
          <w:szCs w:val="21"/>
          <w:lang w:val="en-US" w:eastAsia="zh-CN"/>
        </w:rPr>
      </w:pPr>
      <w:r>
        <w:rPr>
          <w:rFonts w:ascii="Times New Roman" w:hAnsi="Times New Roman" w:cs="Times New Roman"/>
          <w:b/>
          <w:bCs/>
          <w:color w:val="auto"/>
          <w:szCs w:val="21"/>
        </w:rPr>
        <w:t xml:space="preserve">Figure S18. </w:t>
      </w:r>
      <w:r>
        <w:rPr>
          <w:rFonts w:ascii="Times New Roman" w:hAnsi="Times New Roman" w:cs="Times New Roman"/>
          <w:color w:val="auto"/>
          <w:szCs w:val="21"/>
        </w:rPr>
        <w:t>Immunofluorescence Analysis of Antibacterial Live/Dead Assay</w:t>
      </w:r>
      <w:r>
        <w:rPr>
          <w:rFonts w:ascii="Times New Roman" w:hAnsi="Times New Roman"/>
          <w:color w:val="00B050"/>
          <w:szCs w:val="21"/>
        </w:rPr>
        <w:t xml:space="preserve">(n = </w:t>
      </w:r>
      <w:r>
        <w:rPr>
          <w:rFonts w:hint="eastAsia" w:ascii="Times New Roman" w:hAnsi="Times New Roman"/>
          <w:color w:val="00B050"/>
          <w:szCs w:val="21"/>
        </w:rPr>
        <w:t>3</w:t>
      </w:r>
      <w:r>
        <w:rPr>
          <w:rFonts w:ascii="Times New Roman" w:hAnsi="Times New Roman"/>
          <w:color w:val="00B050"/>
          <w:szCs w:val="21"/>
        </w:rPr>
        <w:t xml:space="preserve"> per group)</w:t>
      </w:r>
    </w:p>
    <w:p w14:paraId="20F11C9D">
      <w:pPr>
        <w:rPr>
          <w:rFonts w:ascii="Times New Roman" w:hAnsi="Times New Roman" w:cs="Times New Roman"/>
          <w:color w:val="auto"/>
          <w:szCs w:val="21"/>
        </w:rPr>
      </w:pPr>
    </w:p>
    <w:p w14:paraId="1019D2B1">
      <w:pPr>
        <w:rPr>
          <w:rFonts w:ascii="Times New Roman" w:hAnsi="Times New Roman" w:cs="Times New Roman"/>
          <w:color w:val="auto"/>
          <w:szCs w:val="21"/>
        </w:rPr>
      </w:pPr>
    </w:p>
    <w:p w14:paraId="6BA97596">
      <w:pP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4310" cy="1473200"/>
            <wp:effectExtent l="0" t="0" r="2540" b="0"/>
            <wp:docPr id="57982019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820193" name="图片 20"/>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1473200"/>
                    </a:xfrm>
                    <a:prstGeom prst="rect">
                      <a:avLst/>
                    </a:prstGeom>
                  </pic:spPr>
                </pic:pic>
              </a:graphicData>
            </a:graphic>
          </wp:inline>
        </w:drawing>
      </w:r>
      <w:r>
        <w:rPr>
          <w:rFonts w:ascii="Times New Roman" w:hAnsi="Times New Roman" w:cs="Times New Roman"/>
          <w:b/>
          <w:bCs/>
          <w:color w:val="auto"/>
          <w:szCs w:val="21"/>
        </w:rPr>
        <w:t xml:space="preserve">Figure S19. </w:t>
      </w:r>
      <w:r>
        <w:rPr>
          <w:rFonts w:ascii="Times New Roman" w:hAnsi="Times New Roman" w:cs="Times New Roman"/>
          <w:color w:val="auto"/>
          <w:szCs w:val="21"/>
        </w:rPr>
        <w:t>Biosafety Evaluation: Histopathological Analysis of Heart, Liver, Spleen, Lung, and Kidney in Four Groups Reveals Normal Tissue Morphology and Absence of Inflammatory or Toxic Lesions, Demonstrating Excellent Biocompatibility</w:t>
      </w:r>
    </w:p>
    <w:p w14:paraId="2B810E5E">
      <w:pPr>
        <w:rPr>
          <w:rFonts w:ascii="Times New Roman" w:hAnsi="Times New Roman" w:cs="Times New Roman"/>
          <w:color w:val="auto"/>
          <w:szCs w:val="21"/>
        </w:rPr>
      </w:pPr>
    </w:p>
    <w:p w14:paraId="1DC04739">
      <w:pPr>
        <w:widowControl/>
        <w:spacing w:line="360" w:lineRule="auto"/>
        <w:jc w:val="both"/>
        <w:rPr>
          <w:rFonts w:hint="default" w:ascii="Times New Roman" w:hAnsi="Times New Roman" w:cs="Times New Roman" w:eastAsiaTheme="minorEastAsia"/>
          <w:color w:val="00B050"/>
          <w:szCs w:val="21"/>
          <w:lang w:val="en-US" w:eastAsia="zh-CN"/>
        </w:rPr>
      </w:pPr>
      <w:r>
        <w:rPr>
          <w:rFonts w:ascii="Times New Roman" w:hAnsi="Times New Roman" w:cs="Times New Roman"/>
          <w:color w:val="auto"/>
          <w:szCs w:val="21"/>
        </w:rPr>
        <w:drawing>
          <wp:inline distT="0" distB="0" distL="0" distR="0">
            <wp:extent cx="5274310" cy="1967865"/>
            <wp:effectExtent l="0" t="0" r="2540" b="0"/>
            <wp:docPr id="20789329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932947" name="图片 2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1967865"/>
                    </a:xfrm>
                    <a:prstGeom prst="rect">
                      <a:avLst/>
                    </a:prstGeom>
                  </pic:spPr>
                </pic:pic>
              </a:graphicData>
            </a:graphic>
          </wp:inline>
        </w:drawing>
      </w:r>
      <w:r>
        <w:rPr>
          <w:rFonts w:ascii="Times New Roman" w:hAnsi="Times New Roman" w:cs="Times New Roman"/>
          <w:b/>
          <w:bCs/>
          <w:color w:val="auto"/>
          <w:szCs w:val="21"/>
        </w:rPr>
        <w:t xml:space="preserve">Figure S20. </w:t>
      </w:r>
      <w:r>
        <w:rPr>
          <w:rFonts w:ascii="Times New Roman" w:hAnsi="Times New Roman" w:cs="Times New Roman"/>
          <w:color w:val="auto"/>
          <w:szCs w:val="21"/>
        </w:rPr>
        <w:t>Western Blot Analysis of Inflammation- (A-D:TNF-</w:t>
      </w:r>
      <w:r>
        <w:rPr>
          <w:rFonts w:ascii="Times New Roman" w:hAnsi="Times New Roman" w:cs="Times New Roman"/>
          <w:color w:val="auto"/>
          <w:szCs w:val="21"/>
          <w:lang w:val="el-GR"/>
        </w:rPr>
        <w:t xml:space="preserve">α, </w:t>
      </w:r>
      <w:r>
        <w:rPr>
          <w:rFonts w:ascii="Times New Roman" w:hAnsi="Times New Roman" w:cs="Times New Roman"/>
          <w:color w:val="auto"/>
          <w:szCs w:val="21"/>
        </w:rPr>
        <w:t xml:space="preserve">iNOS, IL-6, IL-10), Epithelialization- (E:Ki67), Angiogenesis- (F-G:VEGF, </w:t>
      </w:r>
      <w:r>
        <w:rPr>
          <w:rFonts w:ascii="Times New Roman" w:hAnsi="Times New Roman" w:cs="Times New Roman"/>
          <w:color w:val="auto"/>
          <w:szCs w:val="21"/>
          <w:lang w:val="el-GR"/>
        </w:rPr>
        <w:t>α-</w:t>
      </w:r>
      <w:r>
        <w:rPr>
          <w:rFonts w:ascii="Times New Roman" w:hAnsi="Times New Roman" w:cs="Times New Roman"/>
          <w:color w:val="auto"/>
          <w:szCs w:val="21"/>
        </w:rPr>
        <w:t>SMA), and Neurogenesis-Related (H-I:NGF, VIP) Proteins in Wound Tissues under Different Treatments on Day 14.</w:t>
      </w:r>
      <w:r>
        <w:rPr>
          <w:rFonts w:ascii="Times New Roman" w:hAnsi="Times New Roman"/>
          <w:color w:val="00B050"/>
          <w:szCs w:val="21"/>
        </w:rPr>
        <w:t xml:space="preserve">(n = </w:t>
      </w:r>
      <w:r>
        <w:rPr>
          <w:rFonts w:hint="eastAsia" w:ascii="Times New Roman" w:hAnsi="Times New Roman"/>
          <w:color w:val="00B050"/>
          <w:szCs w:val="21"/>
        </w:rPr>
        <w:t>3</w:t>
      </w:r>
      <w:r>
        <w:rPr>
          <w:rFonts w:ascii="Times New Roman" w:hAnsi="Times New Roman"/>
          <w:color w:val="00B050"/>
          <w:szCs w:val="21"/>
        </w:rPr>
        <w:t xml:space="preserve"> per group) Data are presented as mean ± SD; *P &lt; 0.05, **P &lt; 0.01, ***P &lt; 0.001.</w:t>
      </w:r>
    </w:p>
    <w:p w14:paraId="0BE2629B">
      <w:pPr>
        <w:rPr>
          <w:rFonts w:ascii="Times New Roman" w:hAnsi="Times New Roman" w:cs="Times New Roman"/>
          <w:color w:val="auto"/>
          <w:szCs w:val="21"/>
        </w:rPr>
      </w:pPr>
    </w:p>
    <w:p w14:paraId="066E548E">
      <w:pPr>
        <w:jc w:val="center"/>
        <w:rPr>
          <w:rFonts w:ascii="Times New Roman" w:hAnsi="Times New Roman" w:cs="Times New Roman"/>
          <w:b/>
          <w:bCs/>
          <w:color w:val="auto"/>
          <w:szCs w:val="21"/>
        </w:rPr>
      </w:pPr>
      <w:r>
        <w:rPr>
          <w:rFonts w:ascii="Times New Roman" w:hAnsi="Times New Roman" w:cs="Times New Roman"/>
          <w:color w:val="auto"/>
          <w:szCs w:val="21"/>
        </w:rPr>
        <w:drawing>
          <wp:inline distT="0" distB="0" distL="0" distR="0">
            <wp:extent cx="3117215" cy="3117215"/>
            <wp:effectExtent l="0" t="0" r="6985" b="6985"/>
            <wp:docPr id="82207618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076184" name="图片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17600" cy="3117600"/>
                    </a:xfrm>
                    <a:prstGeom prst="rect">
                      <a:avLst/>
                    </a:prstGeom>
                  </pic:spPr>
                </pic:pic>
              </a:graphicData>
            </a:graphic>
          </wp:inline>
        </w:drawing>
      </w:r>
    </w:p>
    <w:p w14:paraId="1587F804">
      <w:pPr>
        <w:rPr>
          <w:rFonts w:ascii="Times New Roman" w:hAnsi="Times New Roman" w:cs="Times New Roman"/>
          <w:color w:val="auto"/>
          <w:szCs w:val="21"/>
        </w:rPr>
      </w:pPr>
      <w:r>
        <w:rPr>
          <w:rFonts w:ascii="Times New Roman" w:hAnsi="Times New Roman" w:cs="Times New Roman"/>
          <w:b/>
          <w:bCs/>
          <w:color w:val="auto"/>
          <w:szCs w:val="21"/>
        </w:rPr>
        <w:t xml:space="preserve">Figure S21. </w:t>
      </w:r>
      <w:r>
        <w:rPr>
          <w:rFonts w:ascii="Times New Roman" w:hAnsi="Times New Roman" w:cs="Times New Roman"/>
          <w:color w:val="auto"/>
          <w:szCs w:val="21"/>
        </w:rPr>
        <w:t>Venn diagram showing overlapping and distinct genes between PTPM and NS groups.</w:t>
      </w:r>
    </w:p>
    <w:p w14:paraId="5696E445">
      <w:pPr>
        <w:rPr>
          <w:rFonts w:ascii="Times New Roman" w:hAnsi="Times New Roman" w:cs="Times New Roman"/>
          <w:color w:val="auto"/>
          <w:szCs w:val="21"/>
        </w:rPr>
      </w:pPr>
    </w:p>
    <w:p w14:paraId="4844CB96">
      <w:pP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4310" cy="1901190"/>
            <wp:effectExtent l="0" t="0" r="2540" b="3810"/>
            <wp:docPr id="129794879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48793" name="图片 23"/>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1901190"/>
                    </a:xfrm>
                    <a:prstGeom prst="rect">
                      <a:avLst/>
                    </a:prstGeom>
                  </pic:spPr>
                </pic:pic>
              </a:graphicData>
            </a:graphic>
          </wp:inline>
        </w:drawing>
      </w:r>
      <w:r>
        <w:rPr>
          <w:rFonts w:ascii="Times New Roman" w:hAnsi="Times New Roman" w:cs="Times New Roman"/>
          <w:b/>
          <w:bCs/>
          <w:color w:val="auto"/>
          <w:szCs w:val="21"/>
        </w:rPr>
        <w:t xml:space="preserve">Figure S22. </w:t>
      </w:r>
      <w:r>
        <w:rPr>
          <w:rFonts w:ascii="Times New Roman" w:hAnsi="Times New Roman" w:cs="Times New Roman"/>
          <w:color w:val="auto"/>
          <w:szCs w:val="21"/>
        </w:rPr>
        <w:t>Venn diagram shows the overlapping and distinct genes between the PTPM and PT groups(A). Volcano plots illustrate the overall distribution of differentially expressed genes (DEGs) between the PTPM and PT groups, with blue and red dots representing downregulated and upregulated genes, respectively(B). Hierarchical clustering heatmap displays the similarity of gene expression patterns between PTPM and PT groups, where green and red indicate low and high expression levels, respectively, and the dendrogram reflects clustering relationships(C).</w:t>
      </w:r>
    </w:p>
    <w:p w14:paraId="61BA1343">
      <w:pPr>
        <w:rPr>
          <w:rFonts w:ascii="Times New Roman" w:hAnsi="Times New Roman" w:cs="Times New Roman"/>
          <w:color w:val="auto"/>
          <w:szCs w:val="21"/>
        </w:rPr>
      </w:pPr>
    </w:p>
    <w:p w14:paraId="69774E51">
      <w:pP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4310" cy="4399915"/>
            <wp:effectExtent l="0" t="0" r="2540" b="635"/>
            <wp:docPr id="109002059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20597" name="图片 24"/>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74310" cy="4399915"/>
                    </a:xfrm>
                    <a:prstGeom prst="rect">
                      <a:avLst/>
                    </a:prstGeom>
                  </pic:spPr>
                </pic:pic>
              </a:graphicData>
            </a:graphic>
          </wp:inline>
        </w:drawing>
      </w:r>
      <w:r>
        <w:rPr>
          <w:rFonts w:ascii="Times New Roman" w:hAnsi="Times New Roman" w:cs="Times New Roman"/>
          <w:b/>
          <w:bCs/>
          <w:color w:val="auto"/>
          <w:szCs w:val="21"/>
        </w:rPr>
        <w:t xml:space="preserve">Figure S23. </w:t>
      </w:r>
      <w:r>
        <w:rPr>
          <w:rFonts w:ascii="Times New Roman" w:hAnsi="Times New Roman" w:cs="Times New Roman"/>
          <w:color w:val="auto"/>
          <w:szCs w:val="21"/>
        </w:rPr>
        <w:t>GO enrichment of DEGs in PTPM and PT groups, showing top 10 significant terms in MF ( Molecular Function ), BP( biological process ), and CC( cellular component ) categories (</w:t>
      </w:r>
      <w:r>
        <w:rPr>
          <w:rFonts w:ascii="Times New Roman" w:hAnsi="Times New Roman"/>
          <w:color w:val="00B050"/>
          <w:szCs w:val="21"/>
        </w:rPr>
        <w:t xml:space="preserve">n = </w:t>
      </w:r>
      <w:r>
        <w:rPr>
          <w:rFonts w:hint="eastAsia" w:ascii="Times New Roman" w:hAnsi="Times New Roman"/>
          <w:color w:val="00B050"/>
          <w:szCs w:val="21"/>
        </w:rPr>
        <w:t>3</w:t>
      </w:r>
      <w:r>
        <w:rPr>
          <w:rFonts w:ascii="Times New Roman" w:hAnsi="Times New Roman"/>
          <w:color w:val="00B050"/>
          <w:szCs w:val="21"/>
        </w:rPr>
        <w:t xml:space="preserve"> per group</w:t>
      </w:r>
      <w:r>
        <w:rPr>
          <w:rFonts w:hint="eastAsia" w:ascii="Times New Roman" w:hAnsi="Times New Roman"/>
          <w:color w:val="00B050"/>
          <w:szCs w:val="21"/>
          <w:lang w:val="en-US" w:eastAsia="zh-CN"/>
        </w:rPr>
        <w:t>;</w:t>
      </w:r>
      <w:r>
        <w:rPr>
          <w:rFonts w:ascii="Times New Roman" w:hAnsi="Times New Roman" w:cs="Times New Roman"/>
          <w:color w:val="auto"/>
          <w:szCs w:val="21"/>
        </w:rPr>
        <w:t>p.adjust &lt; 0.05).</w:t>
      </w:r>
    </w:p>
    <w:p w14:paraId="2489C547">
      <w:pPr>
        <w:rPr>
          <w:rFonts w:ascii="Times New Roman" w:hAnsi="Times New Roman" w:cs="Times New Roman"/>
          <w:color w:val="auto"/>
          <w:szCs w:val="21"/>
        </w:rPr>
      </w:pPr>
    </w:p>
    <w:p w14:paraId="2F88722F">
      <w:pPr>
        <w:rPr>
          <w:rFonts w:hint="eastAsia" w:ascii="Times New Roman" w:hAnsi="Times New Roman" w:cs="Times New Roman" w:eastAsiaTheme="minorEastAsia"/>
          <w:b/>
          <w:bCs/>
          <w:color w:val="auto"/>
          <w:szCs w:val="21"/>
          <w:lang w:eastAsia="zh-CN"/>
        </w:rPr>
      </w:pPr>
      <w:r>
        <w:rPr>
          <w:rFonts w:hint="eastAsia" w:ascii="Times New Roman" w:hAnsi="Times New Roman" w:cs="Times New Roman" w:eastAsiaTheme="minorEastAsia"/>
          <w:b/>
          <w:bCs/>
          <w:color w:val="auto"/>
          <w:szCs w:val="21"/>
          <w:lang w:eastAsia="zh-CN"/>
        </w:rPr>
        <w:drawing>
          <wp:inline distT="0" distB="0" distL="114300" distR="114300">
            <wp:extent cx="5268595" cy="2460625"/>
            <wp:effectExtent l="0" t="0" r="8255" b="6350"/>
            <wp:docPr id="5"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
                    <pic:cNvPicPr>
                      <a:picLocks noChangeAspect="1"/>
                    </pic:cNvPicPr>
                  </pic:nvPicPr>
                  <pic:blipFill>
                    <a:blip r:embed="rId27"/>
                    <a:stretch>
                      <a:fillRect/>
                    </a:stretch>
                  </pic:blipFill>
                  <pic:spPr>
                    <a:xfrm>
                      <a:off x="0" y="0"/>
                      <a:ext cx="5268595" cy="2460625"/>
                    </a:xfrm>
                    <a:prstGeom prst="rect">
                      <a:avLst/>
                    </a:prstGeom>
                  </pic:spPr>
                </pic:pic>
              </a:graphicData>
            </a:graphic>
          </wp:inline>
        </w:drawing>
      </w:r>
    </w:p>
    <w:p w14:paraId="1689C4AF">
      <w:pPr>
        <w:rPr>
          <w:rFonts w:ascii="Times New Roman" w:hAnsi="Times New Roman" w:cs="Times New Roman"/>
          <w:color w:val="auto"/>
          <w:szCs w:val="21"/>
        </w:rPr>
      </w:pPr>
      <w:r>
        <w:rPr>
          <w:rFonts w:ascii="Times New Roman" w:hAnsi="Times New Roman" w:cs="Times New Roman"/>
          <w:b/>
          <w:bCs/>
          <w:color w:val="auto"/>
          <w:szCs w:val="21"/>
        </w:rPr>
        <w:t xml:space="preserve">Figure S24. </w:t>
      </w:r>
      <w:r>
        <w:rPr>
          <w:rFonts w:ascii="Times New Roman" w:hAnsi="Times New Roman" w:cs="Times New Roman"/>
          <w:b/>
          <w:bCs/>
          <w:color w:val="00B050"/>
          <w:szCs w:val="21"/>
        </w:rPr>
        <w:t>KEGG</w:t>
      </w:r>
      <w:r>
        <w:rPr>
          <w:rFonts w:hint="eastAsia" w:ascii="Times New Roman" w:hAnsi="Times New Roman" w:cs="Times New Roman"/>
          <w:b/>
          <w:bCs/>
          <w:color w:val="00B050"/>
          <w:szCs w:val="21"/>
          <w:lang w:val="en-US" w:eastAsia="zh-CN"/>
        </w:rPr>
        <w:t>(A)</w:t>
      </w:r>
      <w:r>
        <w:rPr>
          <w:rFonts w:ascii="Times New Roman" w:hAnsi="Times New Roman" w:cs="Times New Roman"/>
          <w:b/>
          <w:bCs/>
          <w:color w:val="00B050"/>
          <w:szCs w:val="21"/>
        </w:rPr>
        <w:t xml:space="preserve"> and Reactome</w:t>
      </w:r>
      <w:r>
        <w:rPr>
          <w:rFonts w:hint="eastAsia" w:ascii="Times New Roman" w:hAnsi="Times New Roman" w:cs="Times New Roman"/>
          <w:b/>
          <w:bCs/>
          <w:color w:val="00B050"/>
          <w:szCs w:val="21"/>
          <w:lang w:val="en-US" w:eastAsia="zh-CN"/>
        </w:rPr>
        <w:t>(B)</w:t>
      </w:r>
      <w:r>
        <w:rPr>
          <w:rFonts w:ascii="Times New Roman" w:hAnsi="Times New Roman" w:cs="Times New Roman"/>
          <w:b/>
          <w:bCs/>
          <w:color w:val="00B050"/>
          <w:szCs w:val="21"/>
        </w:rPr>
        <w:t xml:space="preserve"> enrichment analyses of DEGs in the PTPM and PT groups, highlighting the most significant pathways.</w:t>
      </w:r>
      <w:r>
        <w:rPr>
          <w:rFonts w:ascii="Times New Roman" w:hAnsi="Times New Roman" w:cs="Times New Roman"/>
          <w:color w:val="auto"/>
          <w:szCs w:val="21"/>
        </w:rPr>
        <w:t xml:space="preserve"> (</w:t>
      </w:r>
      <w:r>
        <w:rPr>
          <w:rFonts w:ascii="Times New Roman" w:hAnsi="Times New Roman"/>
          <w:color w:val="00B050"/>
          <w:szCs w:val="21"/>
        </w:rPr>
        <w:t xml:space="preserve">n = </w:t>
      </w:r>
      <w:r>
        <w:rPr>
          <w:rFonts w:hint="eastAsia" w:ascii="Times New Roman" w:hAnsi="Times New Roman"/>
          <w:color w:val="00B050"/>
          <w:szCs w:val="21"/>
        </w:rPr>
        <w:t>3</w:t>
      </w:r>
      <w:r>
        <w:rPr>
          <w:rFonts w:ascii="Times New Roman" w:hAnsi="Times New Roman"/>
          <w:color w:val="00B050"/>
          <w:szCs w:val="21"/>
        </w:rPr>
        <w:t xml:space="preserve"> per group</w:t>
      </w:r>
      <w:r>
        <w:rPr>
          <w:rFonts w:hint="eastAsia" w:ascii="Times New Roman" w:hAnsi="Times New Roman"/>
          <w:color w:val="00B050"/>
          <w:szCs w:val="21"/>
          <w:lang w:val="en-US" w:eastAsia="zh-CN"/>
        </w:rPr>
        <w:t>;</w:t>
      </w:r>
      <w:r>
        <w:rPr>
          <w:rFonts w:ascii="Times New Roman" w:hAnsi="Times New Roman" w:cs="Times New Roman"/>
          <w:color w:val="auto"/>
          <w:szCs w:val="21"/>
        </w:rPr>
        <w:t>p.adjust &lt; 0.05); dot size represents gene count, color indicates significance.</w:t>
      </w:r>
    </w:p>
    <w:p w14:paraId="4B40AEED">
      <w:pPr>
        <w:rPr>
          <w:rFonts w:ascii="Times New Roman" w:hAnsi="Times New Roman" w:cs="Times New Roman"/>
          <w:color w:val="auto"/>
          <w:szCs w:val="21"/>
        </w:rPr>
      </w:pPr>
    </w:p>
    <w:p w14:paraId="4748052A">
      <w:pP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4310" cy="2042795"/>
            <wp:effectExtent l="0" t="0" r="2540" b="0"/>
            <wp:docPr id="144841045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10452" name="图片 2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74310" cy="2042795"/>
                    </a:xfrm>
                    <a:prstGeom prst="rect">
                      <a:avLst/>
                    </a:prstGeom>
                  </pic:spPr>
                </pic:pic>
              </a:graphicData>
            </a:graphic>
          </wp:inline>
        </w:drawing>
      </w:r>
      <w:r>
        <w:rPr>
          <w:rFonts w:ascii="Times New Roman" w:hAnsi="Times New Roman" w:cs="Times New Roman"/>
          <w:b/>
          <w:bCs/>
          <w:color w:val="auto"/>
          <w:szCs w:val="21"/>
        </w:rPr>
        <w:t xml:space="preserve">Figure S25. </w:t>
      </w:r>
      <w:r>
        <w:rPr>
          <w:rFonts w:ascii="Times New Roman" w:hAnsi="Times New Roman" w:cs="Times New Roman"/>
          <w:color w:val="auto"/>
          <w:szCs w:val="21"/>
        </w:rPr>
        <w:t>Venn diagram shows the overlapping and distinct genes between the PTPM and PTM groups(A). Volcano plots illustrate the overall distribution of differentially expressed genes (DEGs) between the PTPM and PTM groups, with blue and red dots representing downregulated and upregulated genes, respectively(B). Hierarchical clustering heatmap displays the similarity of gene expression patterns between PTPM and PTM groups, where green and red indicate low and high expression levels, respectively, and the dendrogram reflects clustering relationships(C).</w:t>
      </w:r>
    </w:p>
    <w:p w14:paraId="54980FC9">
      <w:pPr>
        <w:rPr>
          <w:rFonts w:ascii="Times New Roman" w:hAnsi="Times New Roman" w:cs="Times New Roman"/>
          <w:color w:val="auto"/>
          <w:szCs w:val="21"/>
        </w:rPr>
      </w:pPr>
    </w:p>
    <w:p w14:paraId="4F49329D">
      <w:pPr>
        <w:rPr>
          <w:rFonts w:ascii="Times New Roman" w:hAnsi="Times New Roman" w:cs="Times New Roman"/>
          <w:color w:val="auto"/>
          <w:szCs w:val="21"/>
        </w:rPr>
      </w:pPr>
      <w:r>
        <w:rPr>
          <w:rFonts w:ascii="Times New Roman" w:hAnsi="Times New Roman" w:cs="Times New Roman"/>
          <w:color w:val="auto"/>
          <w:szCs w:val="21"/>
        </w:rPr>
        <w:drawing>
          <wp:inline distT="0" distB="0" distL="0" distR="0">
            <wp:extent cx="5274310" cy="4399915"/>
            <wp:effectExtent l="0" t="0" r="2540" b="635"/>
            <wp:docPr id="81673954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39546" name="图片 27"/>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4310" cy="4399915"/>
                    </a:xfrm>
                    <a:prstGeom prst="rect">
                      <a:avLst/>
                    </a:prstGeom>
                  </pic:spPr>
                </pic:pic>
              </a:graphicData>
            </a:graphic>
          </wp:inline>
        </w:drawing>
      </w:r>
      <w:r>
        <w:rPr>
          <w:rFonts w:ascii="Times New Roman" w:hAnsi="Times New Roman" w:cs="Times New Roman"/>
          <w:b/>
          <w:bCs/>
          <w:color w:val="auto"/>
          <w:szCs w:val="21"/>
        </w:rPr>
        <w:t xml:space="preserve">Figure S26. </w:t>
      </w:r>
      <w:r>
        <w:rPr>
          <w:rFonts w:ascii="Times New Roman" w:hAnsi="Times New Roman" w:cs="Times New Roman"/>
          <w:color w:val="auto"/>
          <w:szCs w:val="21"/>
        </w:rPr>
        <w:t>GO enrichment of DEGs in PTPM and PTM groups, showing top 10 significant terms in MF ( Molecular Function ), BP( biological process ), and CC( cellular component ) categories (</w:t>
      </w:r>
      <w:r>
        <w:rPr>
          <w:rFonts w:ascii="Times New Roman" w:hAnsi="Times New Roman"/>
          <w:color w:val="00B050"/>
          <w:szCs w:val="21"/>
        </w:rPr>
        <w:t xml:space="preserve">n = </w:t>
      </w:r>
      <w:r>
        <w:rPr>
          <w:rFonts w:hint="eastAsia" w:ascii="Times New Roman" w:hAnsi="Times New Roman"/>
          <w:color w:val="00B050"/>
          <w:szCs w:val="21"/>
        </w:rPr>
        <w:t>3</w:t>
      </w:r>
      <w:r>
        <w:rPr>
          <w:rFonts w:ascii="Times New Roman" w:hAnsi="Times New Roman"/>
          <w:color w:val="00B050"/>
          <w:szCs w:val="21"/>
        </w:rPr>
        <w:t xml:space="preserve"> per group</w:t>
      </w:r>
      <w:r>
        <w:rPr>
          <w:rFonts w:hint="eastAsia" w:ascii="Times New Roman" w:hAnsi="Times New Roman"/>
          <w:color w:val="00B050"/>
          <w:szCs w:val="21"/>
          <w:lang w:val="en-US" w:eastAsia="zh-CN"/>
        </w:rPr>
        <w:t>;</w:t>
      </w:r>
      <w:r>
        <w:rPr>
          <w:rFonts w:ascii="Times New Roman" w:hAnsi="Times New Roman" w:cs="Times New Roman"/>
          <w:color w:val="auto"/>
          <w:szCs w:val="21"/>
        </w:rPr>
        <w:t>p.adjust &lt; 0.05).</w:t>
      </w:r>
    </w:p>
    <w:p w14:paraId="3C105193">
      <w:pPr>
        <w:rPr>
          <w:rFonts w:ascii="Times New Roman" w:hAnsi="Times New Roman" w:cs="Times New Roman"/>
          <w:color w:val="auto"/>
          <w:szCs w:val="21"/>
        </w:rPr>
      </w:pPr>
    </w:p>
    <w:p w14:paraId="1392BB7C">
      <w:pPr>
        <w:rPr>
          <w:rFonts w:hint="eastAsia" w:ascii="Times New Roman" w:hAnsi="Times New Roman" w:cs="Times New Roman" w:eastAsiaTheme="minorEastAsia"/>
          <w:b/>
          <w:bCs/>
          <w:color w:val="auto"/>
          <w:szCs w:val="21"/>
          <w:lang w:eastAsia="zh-CN"/>
        </w:rPr>
      </w:pPr>
      <w:r>
        <w:rPr>
          <w:rFonts w:hint="eastAsia" w:ascii="Times New Roman" w:hAnsi="Times New Roman" w:cs="Times New Roman" w:eastAsiaTheme="minorEastAsia"/>
          <w:b/>
          <w:bCs/>
          <w:color w:val="auto"/>
          <w:szCs w:val="21"/>
          <w:lang w:eastAsia="zh-CN"/>
        </w:rPr>
        <w:drawing>
          <wp:inline distT="0" distB="0" distL="114300" distR="114300">
            <wp:extent cx="5262880" cy="2372360"/>
            <wp:effectExtent l="0" t="0" r="4445" b="8890"/>
            <wp:docPr id="6" name="图片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
                    <pic:cNvPicPr>
                      <a:picLocks noChangeAspect="1"/>
                    </pic:cNvPicPr>
                  </pic:nvPicPr>
                  <pic:blipFill>
                    <a:blip r:embed="rId30"/>
                    <a:stretch>
                      <a:fillRect/>
                    </a:stretch>
                  </pic:blipFill>
                  <pic:spPr>
                    <a:xfrm>
                      <a:off x="0" y="0"/>
                      <a:ext cx="5262880" cy="2372360"/>
                    </a:xfrm>
                    <a:prstGeom prst="rect">
                      <a:avLst/>
                    </a:prstGeom>
                  </pic:spPr>
                </pic:pic>
              </a:graphicData>
            </a:graphic>
          </wp:inline>
        </w:drawing>
      </w:r>
    </w:p>
    <w:p w14:paraId="19982785">
      <w:pPr>
        <w:rPr>
          <w:rFonts w:hint="eastAsia" w:ascii="Times New Roman" w:hAnsi="Times New Roman" w:cs="Times New Roman"/>
          <w:color w:val="auto"/>
          <w:szCs w:val="21"/>
          <w:lang w:val="en-US" w:eastAsia="zh-CN"/>
        </w:rPr>
      </w:pPr>
      <w:r>
        <w:rPr>
          <w:rFonts w:ascii="Times New Roman" w:hAnsi="Times New Roman" w:cs="Times New Roman"/>
          <w:b/>
          <w:bCs/>
          <w:color w:val="auto"/>
          <w:szCs w:val="21"/>
        </w:rPr>
        <w:t xml:space="preserve">Figure S27. </w:t>
      </w:r>
      <w:r>
        <w:rPr>
          <w:rFonts w:ascii="Times New Roman" w:hAnsi="Times New Roman" w:cs="Times New Roman"/>
          <w:b/>
          <w:bCs/>
          <w:color w:val="00B050"/>
          <w:szCs w:val="21"/>
        </w:rPr>
        <w:t>KEGG</w:t>
      </w:r>
      <w:r>
        <w:rPr>
          <w:rFonts w:hint="eastAsia" w:ascii="Times New Roman" w:hAnsi="Times New Roman" w:cs="Times New Roman"/>
          <w:b/>
          <w:bCs/>
          <w:color w:val="00B050"/>
          <w:szCs w:val="21"/>
          <w:lang w:val="en-US" w:eastAsia="zh-CN"/>
        </w:rPr>
        <w:t>(A)</w:t>
      </w:r>
      <w:r>
        <w:rPr>
          <w:rFonts w:ascii="Times New Roman" w:hAnsi="Times New Roman" w:cs="Times New Roman"/>
          <w:b/>
          <w:bCs/>
          <w:color w:val="00B050"/>
          <w:szCs w:val="21"/>
        </w:rPr>
        <w:t xml:space="preserve"> and Reactome</w:t>
      </w:r>
      <w:r>
        <w:rPr>
          <w:rFonts w:hint="eastAsia" w:ascii="Times New Roman" w:hAnsi="Times New Roman" w:cs="Times New Roman"/>
          <w:b/>
          <w:bCs/>
          <w:color w:val="00B050"/>
          <w:szCs w:val="21"/>
          <w:lang w:val="en-US" w:eastAsia="zh-CN"/>
        </w:rPr>
        <w:t>(B)</w:t>
      </w:r>
      <w:r>
        <w:rPr>
          <w:rFonts w:ascii="Times New Roman" w:hAnsi="Times New Roman" w:cs="Times New Roman"/>
          <w:b/>
          <w:bCs/>
          <w:color w:val="00B050"/>
          <w:szCs w:val="21"/>
        </w:rPr>
        <w:t xml:space="preserve"> enrichment analyses of DEGs in the PTPM and PT</w:t>
      </w:r>
      <w:r>
        <w:rPr>
          <w:rFonts w:hint="eastAsia" w:ascii="Times New Roman" w:hAnsi="Times New Roman" w:cs="Times New Roman"/>
          <w:b/>
          <w:bCs/>
          <w:color w:val="00B050"/>
          <w:szCs w:val="21"/>
          <w:lang w:val="en-US" w:eastAsia="zh-CN"/>
        </w:rPr>
        <w:t>M</w:t>
      </w:r>
      <w:r>
        <w:rPr>
          <w:rFonts w:ascii="Times New Roman" w:hAnsi="Times New Roman" w:cs="Times New Roman"/>
          <w:b/>
          <w:bCs/>
          <w:color w:val="00B050"/>
          <w:szCs w:val="21"/>
        </w:rPr>
        <w:t xml:space="preserve"> groups, highlighting the most significant pathways.</w:t>
      </w:r>
      <w:r>
        <w:rPr>
          <w:rFonts w:ascii="Times New Roman" w:hAnsi="Times New Roman" w:cs="Times New Roman"/>
          <w:color w:val="auto"/>
          <w:szCs w:val="21"/>
        </w:rPr>
        <w:t xml:space="preserve"> (</w:t>
      </w:r>
      <w:r>
        <w:rPr>
          <w:rFonts w:ascii="Times New Roman" w:hAnsi="Times New Roman"/>
          <w:color w:val="00B050"/>
          <w:szCs w:val="21"/>
        </w:rPr>
        <w:t xml:space="preserve">n = </w:t>
      </w:r>
      <w:r>
        <w:rPr>
          <w:rFonts w:hint="eastAsia" w:ascii="Times New Roman" w:hAnsi="Times New Roman"/>
          <w:color w:val="00B050"/>
          <w:szCs w:val="21"/>
        </w:rPr>
        <w:t>3</w:t>
      </w:r>
      <w:r>
        <w:rPr>
          <w:rFonts w:ascii="Times New Roman" w:hAnsi="Times New Roman"/>
          <w:color w:val="00B050"/>
          <w:szCs w:val="21"/>
        </w:rPr>
        <w:t xml:space="preserve"> per group</w:t>
      </w:r>
      <w:r>
        <w:rPr>
          <w:rFonts w:hint="eastAsia" w:ascii="Times New Roman" w:hAnsi="Times New Roman"/>
          <w:color w:val="00B050"/>
          <w:szCs w:val="21"/>
          <w:lang w:val="en-US" w:eastAsia="zh-CN"/>
        </w:rPr>
        <w:t>;</w:t>
      </w:r>
      <w:r>
        <w:rPr>
          <w:rFonts w:ascii="Times New Roman" w:hAnsi="Times New Roman" w:cs="Times New Roman"/>
          <w:color w:val="auto"/>
          <w:szCs w:val="21"/>
        </w:rPr>
        <w:t>p.adjust &lt; 0.05); dot size represents gene count, color indicates significance.</w:t>
      </w:r>
    </w:p>
    <w:p w14:paraId="5B2BF1CD">
      <w:pPr>
        <w:rPr>
          <w:rFonts w:hint="eastAsia" w:ascii="Times New Roman" w:hAnsi="Times New Roman" w:cs="Times New Roman"/>
          <w:szCs w:val="21"/>
          <w:lang w:val="en-US" w:eastAsia="zh-CN"/>
        </w:rPr>
      </w:pPr>
    </w:p>
    <w:p w14:paraId="10654CDD">
      <w:pPr>
        <w:rPr>
          <w:rFonts w:hint="eastAsia" w:ascii="Times New Roman" w:hAnsi="Times New Roman" w:cs="Times New Roman"/>
          <w:szCs w:val="21"/>
          <w:lang w:val="en-US" w:eastAsia="zh-CN"/>
        </w:rPr>
      </w:pPr>
    </w:p>
    <w:p w14:paraId="68D2D622">
      <w:pPr>
        <w:rPr>
          <w:rFonts w:hint="eastAsia" w:ascii="Times New Roman" w:hAnsi="Times New Roman" w:cs="Times New Roman"/>
          <w:szCs w:val="21"/>
          <w:lang w:val="en-US" w:eastAsia="zh-CN"/>
        </w:rPr>
      </w:pPr>
    </w:p>
    <w:p w14:paraId="12634108">
      <w:pPr>
        <w:rPr>
          <w:rFonts w:hint="eastAsia" w:ascii="Times New Roman" w:hAnsi="Times New Roman" w:cs="Times New Roman"/>
          <w:szCs w:val="21"/>
          <w:lang w:val="en-US" w:eastAsia="zh-CN"/>
        </w:rPr>
      </w:pPr>
    </w:p>
    <w:p w14:paraId="71596603">
      <w:pPr>
        <w:rPr>
          <w:rFonts w:hint="eastAsia" w:ascii="Times New Roman" w:hAnsi="Times New Roman" w:cs="Times New Roman"/>
          <w:szCs w:val="21"/>
          <w:lang w:val="en-US" w:eastAsia="zh-CN"/>
        </w:rPr>
      </w:pPr>
    </w:p>
    <w:p w14:paraId="236F5359">
      <w:pPr>
        <w:rPr>
          <w:rFonts w:hint="eastAsia" w:ascii="Times New Roman" w:hAnsi="Times New Roman" w:cs="Times New Roman"/>
          <w:szCs w:val="21"/>
          <w:lang w:val="en-US" w:eastAsia="zh-CN"/>
        </w:rPr>
      </w:pPr>
    </w:p>
    <w:p w14:paraId="244DD717">
      <w:pPr>
        <w:rPr>
          <w:rFonts w:hint="eastAsia" w:ascii="Times New Roman" w:hAnsi="Times New Roman" w:cs="Times New Roman"/>
          <w:szCs w:val="21"/>
          <w:lang w:val="en-US" w:eastAsia="zh-CN"/>
        </w:rPr>
      </w:pPr>
    </w:p>
    <w:p w14:paraId="6A2E79E1">
      <w:pPr>
        <w:rPr>
          <w:rFonts w:hint="eastAsia" w:ascii="Times New Roman" w:hAnsi="Times New Roman" w:cs="Times New Roman"/>
          <w:szCs w:val="21"/>
          <w:lang w:val="en-US" w:eastAsia="zh-CN"/>
        </w:rPr>
      </w:pPr>
    </w:p>
    <w:p w14:paraId="0A062E2E">
      <w:pPr>
        <w:rPr>
          <w:rFonts w:hint="eastAsia" w:ascii="Times New Roman" w:hAnsi="Times New Roman" w:cs="Times New Roman"/>
          <w:szCs w:val="21"/>
          <w:lang w:val="en-US" w:eastAsia="zh-CN"/>
        </w:rPr>
      </w:pPr>
    </w:p>
    <w:p w14:paraId="3230D207">
      <w:pPr>
        <w:rPr>
          <w:rFonts w:hint="eastAsia" w:ascii="Times New Roman" w:hAnsi="Times New Roman" w:cs="Times New Roman"/>
          <w:szCs w:val="21"/>
          <w:lang w:val="en-US" w:eastAsia="zh-CN"/>
        </w:rPr>
      </w:pPr>
    </w:p>
    <w:p w14:paraId="0DCA9A24">
      <w:pPr>
        <w:rPr>
          <w:rFonts w:hint="eastAsia" w:ascii="Times New Roman" w:hAnsi="Times New Roman" w:cs="Times New Roman"/>
          <w:szCs w:val="21"/>
          <w:lang w:val="en-US" w:eastAsia="zh-CN"/>
        </w:rPr>
      </w:pPr>
    </w:p>
    <w:p w14:paraId="2F7E944B">
      <w:pPr>
        <w:rPr>
          <w:rFonts w:hint="eastAsia" w:ascii="Times New Roman" w:hAnsi="Times New Roman" w:cs="Times New Roman"/>
          <w:szCs w:val="21"/>
          <w:lang w:val="en-US" w:eastAsia="zh-CN"/>
        </w:rPr>
      </w:pPr>
    </w:p>
    <w:p w14:paraId="38675F52">
      <w:pPr>
        <w:rPr>
          <w:rFonts w:ascii="Times New Roman" w:hAnsi="Times New Roman" w:cs="Times New Roman"/>
          <w:szCs w:val="21"/>
        </w:rPr>
      </w:pPr>
    </w:p>
    <w:p w14:paraId="6445328A">
      <w:pPr>
        <w:rPr>
          <w:rFonts w:ascii="Times New Roman" w:hAnsi="Times New Roman" w:cs="Times New Roman"/>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E37"/>
    <w:rsid w:val="0003406B"/>
    <w:rsid w:val="00331CEF"/>
    <w:rsid w:val="00614C1E"/>
    <w:rsid w:val="006C3511"/>
    <w:rsid w:val="006D6E37"/>
    <w:rsid w:val="00A42F91"/>
    <w:rsid w:val="00C925AC"/>
    <w:rsid w:val="00D40AA9"/>
    <w:rsid w:val="00D44ECB"/>
    <w:rsid w:val="00EC0D15"/>
    <w:rsid w:val="00EE2810"/>
    <w:rsid w:val="00FE3A87"/>
    <w:rsid w:val="024975C9"/>
    <w:rsid w:val="029E5683"/>
    <w:rsid w:val="03CA0201"/>
    <w:rsid w:val="0C0D15D3"/>
    <w:rsid w:val="0CF01273"/>
    <w:rsid w:val="0F9244E0"/>
    <w:rsid w:val="11BC1D00"/>
    <w:rsid w:val="15BF3C19"/>
    <w:rsid w:val="160A6270"/>
    <w:rsid w:val="1A247C81"/>
    <w:rsid w:val="1F8C3BF6"/>
    <w:rsid w:val="23A83D8C"/>
    <w:rsid w:val="26B056AA"/>
    <w:rsid w:val="26D60AE7"/>
    <w:rsid w:val="27171D97"/>
    <w:rsid w:val="28844573"/>
    <w:rsid w:val="29192F0D"/>
    <w:rsid w:val="29A16149"/>
    <w:rsid w:val="2B991507"/>
    <w:rsid w:val="2DFB5174"/>
    <w:rsid w:val="3434509F"/>
    <w:rsid w:val="3676374D"/>
    <w:rsid w:val="38333A17"/>
    <w:rsid w:val="410F480F"/>
    <w:rsid w:val="443A77A8"/>
    <w:rsid w:val="462431C5"/>
    <w:rsid w:val="47430197"/>
    <w:rsid w:val="48383EFF"/>
    <w:rsid w:val="485C4DEF"/>
    <w:rsid w:val="48D31753"/>
    <w:rsid w:val="48E2759E"/>
    <w:rsid w:val="4B3C553D"/>
    <w:rsid w:val="4DC32C3E"/>
    <w:rsid w:val="4FD921EF"/>
    <w:rsid w:val="501A4E01"/>
    <w:rsid w:val="506B5904"/>
    <w:rsid w:val="51BD42C1"/>
    <w:rsid w:val="5796431A"/>
    <w:rsid w:val="589F717C"/>
    <w:rsid w:val="5D1B3EED"/>
    <w:rsid w:val="5F776896"/>
    <w:rsid w:val="60A047CD"/>
    <w:rsid w:val="644D486B"/>
    <w:rsid w:val="64AF7CA6"/>
    <w:rsid w:val="6B1D01AA"/>
    <w:rsid w:val="6C682001"/>
    <w:rsid w:val="742A559B"/>
    <w:rsid w:val="79D938B4"/>
    <w:rsid w:val="7C66113B"/>
    <w:rsid w:val="7F052B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ascii="Calibri" w:hAnsi="Calibri" w:eastAsia="宋体" w:cs="Times New Roman"/>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1" Type="http://schemas.openxmlformats.org/officeDocument/2006/relationships/fontTable" Target="fontTable.xml"/><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jpe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769</Words>
  <Characters>4793</Characters>
  <Lines>197</Lines>
  <Paragraphs>55</Paragraphs>
  <TotalTime>3</TotalTime>
  <ScaleCrop>false</ScaleCrop>
  <LinksUpToDate>false</LinksUpToDate>
  <CharactersWithSpaces>5534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2025-11-04T04:46:00Z</dcterms:created>
  <dc:creator>风过无痕</dc:creator>
  <cp:lastModifiedBy>七里八里</cp:lastModifiedBy>
  <dcterms:modified xsi:type="dcterms:W3CDTF">2026-03-10T11:23:10Z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eyJoZGlkIjoiMzEwNTM5NzYwMDRjMzkwZTVkZjY2ODkwMGIxNGU0OTUiLCJ1c2VySWQiOiIzMzczMTgxMTUifQ==</vt:lpwstr>
  </property>
  <property fmtid="{D5CDD505-2E9C-101B-9397-08002B2CF9AE}" pid="4" name="ICV">
    <vt:lpwstr>BF16B20C94FD4C06B769D1B5D89EAD36_12</vt:lpwstr>
  </property>
</Properties>
</file>