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5CF06" w14:textId="77777777" w:rsidR="00D0433F" w:rsidRDefault="0035166A">
      <w:pPr>
        <w:widowControl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Supplemental Figure Legends</w:t>
      </w:r>
    </w:p>
    <w:p w14:paraId="1C53DF3D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1. Mass Spectrometric Validation of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Ang</w:t>
      </w:r>
      <w:r>
        <w:rPr>
          <w:rFonts w:ascii="Times New Roman" w:hAnsi="Times New Roman" w:cs="Times New Roman"/>
          <w:b/>
          <w:sz w:val="20"/>
          <w:szCs w:val="20"/>
        </w:rPr>
        <w:t>Peptide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on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-NK-EV@TMZ.</w:t>
      </w:r>
    </w:p>
    <w:p w14:paraId="58A7FAA1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After functionalization with the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r>
        <w:rPr>
          <w:rFonts w:ascii="Times New Roman" w:hAnsi="Times New Roman" w:cs="Times New Roman"/>
          <w:sz w:val="20"/>
          <w:szCs w:val="20"/>
        </w:rPr>
        <w:t>peptide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(sequence: TFFYGGSRGKRNNFKTEEYC),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-NK-EV@TMZ was sonicated to release </w:t>
      </w:r>
      <w:r>
        <w:rPr>
          <w:rFonts w:ascii="Times New Roman" w:hAnsi="Times New Roman" w:cs="Times New Roman"/>
          <w:sz w:val="20"/>
          <w:szCs w:val="20"/>
        </w:rPr>
        <w:t>Ang</w:t>
      </w:r>
      <w:r>
        <w:rPr>
          <w:rFonts w:ascii="Times New Roman" w:hAnsi="Times New Roman" w:cs="Times New Roman"/>
          <w:sz w:val="20"/>
          <w:szCs w:val="20"/>
        </w:rPr>
        <w:t xml:space="preserve">. Mass spectrometric analysis detected a distinct peak corresponding to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>, confirming successful conjugation of the peptide to the EV surface.</w:t>
      </w:r>
    </w:p>
    <w:p w14:paraId="7F4BCFDB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1D489EFC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. HPLC Analysis of TMZ Concentration in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-NK-EV@TMZ.</w:t>
      </w:r>
    </w:p>
    <w:p w14:paraId="7980625F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High-performance liquid chromatogr</w:t>
      </w:r>
      <w:r>
        <w:rPr>
          <w:rFonts w:ascii="Times New Roman" w:hAnsi="Times New Roman" w:cs="Times New Roman"/>
          <w:sz w:val="20"/>
          <w:szCs w:val="20"/>
        </w:rPr>
        <w:t xml:space="preserve">aphy (HPLC) </w:t>
      </w:r>
      <w:proofErr w:type="gramStart"/>
      <w:r>
        <w:rPr>
          <w:rFonts w:ascii="Times New Roman" w:hAnsi="Times New Roman" w:cs="Times New Roman"/>
          <w:sz w:val="20"/>
          <w:szCs w:val="20"/>
        </w:rPr>
        <w:t>was used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to determine the encapsulation concentration of TMZ in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>-NK-EV@TMZ.</w:t>
      </w:r>
    </w:p>
    <w:p w14:paraId="3D197338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5A2D1926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Analytical Validation and Quantification of TMZ in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-NK-EVs</w:t>
      </w:r>
    </w:p>
    <w:p w14:paraId="2121ED1C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(A)</w:t>
      </w:r>
      <w:r>
        <w:rPr>
          <w:rFonts w:ascii="Times New Roman" w:hAnsi="Times New Roman" w:cs="Times New Roman"/>
          <w:sz w:val="20"/>
          <w:szCs w:val="20"/>
        </w:rPr>
        <w:t xml:space="preserve">LC–MS/MS calibration (standard) curve of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>-NK-EV@TMZ.</w:t>
      </w:r>
    </w:p>
    <w:p w14:paraId="25C68972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(B)</w:t>
      </w:r>
      <w:r>
        <w:rPr>
          <w:rFonts w:ascii="Times New Roman" w:hAnsi="Times New Roman" w:cs="Times New Roman"/>
          <w:sz w:val="20"/>
          <w:szCs w:val="20"/>
        </w:rPr>
        <w:t xml:space="preserve">Quantitative </w:t>
      </w:r>
      <w:r>
        <w:rPr>
          <w:rFonts w:ascii="Times New Roman" w:hAnsi="Times New Roman" w:cs="Times New Roman"/>
          <w:sz w:val="20"/>
          <w:szCs w:val="20"/>
        </w:rPr>
        <w:t>analysis of encapsulation efficiency (EE) and drug loading content (LC) of TMZ in NK-EVs.</w:t>
      </w:r>
    </w:p>
    <w:p w14:paraId="199E9EC7" w14:textId="77777777" w:rsidR="00D0433F" w:rsidRDefault="00D0433F">
      <w:pPr>
        <w:widowControl/>
        <w:rPr>
          <w:rFonts w:ascii="Times New Roman" w:hAnsi="Times New Roman" w:cs="Times New Roman"/>
          <w:color w:val="FF0000"/>
          <w:sz w:val="20"/>
          <w:szCs w:val="20"/>
        </w:rPr>
      </w:pPr>
    </w:p>
    <w:p w14:paraId="18FF6F07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In Vitro Release Kinetics of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-NK-EV@TMZ</w:t>
      </w:r>
      <w:r>
        <w:rPr>
          <w:rFonts w:ascii="Times New Roman" w:hAnsi="Times New Roman" w:cs="Times New Roman"/>
          <w:b/>
          <w:sz w:val="20"/>
          <w:szCs w:val="20"/>
        </w:rPr>
        <w:t xml:space="preserve"> under Physiological and Acidic Conditions</w:t>
      </w:r>
    </w:p>
    <w:p w14:paraId="50A45ADD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 vitro release profiles of TMZ under physiological (pH </w:t>
      </w:r>
      <w:r>
        <w:rPr>
          <w:rFonts w:ascii="Times New Roman" w:hAnsi="Times New Roman" w:cs="Times New Roman"/>
          <w:sz w:val="20"/>
          <w:szCs w:val="20"/>
        </w:rPr>
        <w:t>7.4</w:t>
      </w:r>
      <w:proofErr w:type="gramStart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gramEnd"/>
      <w:r>
        <w:rPr>
          <w:rFonts w:ascii="Times New Roman" w:hAnsi="Times New Roman" w:cs="Times New Roman"/>
          <w:sz w:val="20"/>
          <w:szCs w:val="20"/>
        </w:rPr>
        <w:t>A)</w:t>
      </w:r>
      <w:r>
        <w:rPr>
          <w:rFonts w:ascii="Times New Roman" w:hAnsi="Times New Roman" w:cs="Times New Roman"/>
          <w:sz w:val="20"/>
          <w:szCs w:val="20"/>
        </w:rPr>
        <w:t xml:space="preserve"> and acidic (pH 5.5)</w:t>
      </w:r>
      <w:r>
        <w:rPr>
          <w:rFonts w:ascii="Times New Roman" w:hAnsi="Times New Roman" w:cs="Times New Roman"/>
          <w:sz w:val="20"/>
          <w:szCs w:val="20"/>
        </w:rPr>
        <w:t>(B)</w:t>
      </w:r>
      <w:r>
        <w:rPr>
          <w:rFonts w:ascii="Times New Roman" w:hAnsi="Times New Roman" w:cs="Times New Roman"/>
          <w:sz w:val="20"/>
          <w:szCs w:val="20"/>
        </w:rPr>
        <w:t xml:space="preserve"> conditions over 0–72 h.</w:t>
      </w:r>
    </w:p>
    <w:p w14:paraId="2A348546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21A73622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5</w:t>
      </w:r>
      <w:r>
        <w:rPr>
          <w:rFonts w:ascii="Times New Roman" w:hAnsi="Times New Roman" w:cs="Times New Roman"/>
          <w:b/>
          <w:sz w:val="20"/>
          <w:szCs w:val="20"/>
        </w:rPr>
        <w:t>. Cytokine Expression in NK-EV and NK Cell Lysates.</w:t>
      </w:r>
    </w:p>
    <w:p w14:paraId="2CCD6D8D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1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NK-EV and 1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NK cell lysate were lysed in RIPA buffer. The concentrations of cytokines (IFN-γ, GZMB, TNF-α,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pe</w:t>
      </w:r>
      <w:r>
        <w:rPr>
          <w:rFonts w:ascii="Times New Roman" w:hAnsi="Times New Roman" w:cs="Times New Roman"/>
          <w:sz w:val="20"/>
          <w:szCs w:val="20"/>
        </w:rPr>
        <w:t>rforin</w:t>
      </w:r>
      <w:proofErr w:type="spellEnd"/>
      <w:r>
        <w:rPr>
          <w:rFonts w:ascii="Times New Roman" w:hAnsi="Times New Roman" w:cs="Times New Roman"/>
          <w:sz w:val="20"/>
          <w:szCs w:val="20"/>
        </w:rPr>
        <w:t>) were quantified by enzyme-linked immunosorbent assay (ELISA).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Data </w:t>
      </w:r>
      <w:proofErr w:type="gramStart"/>
      <w:r>
        <w:rPr>
          <w:rFonts w:ascii="Times New Roman" w:hAnsi="Times New Roman" w:cs="Times New Roman"/>
          <w:sz w:val="20"/>
          <w:szCs w:val="20"/>
        </w:rPr>
        <w:t>are presented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as mean ± SD, with individual data points representing biological replicates (average of technical duplicates). Statistical analysis </w:t>
      </w:r>
      <w:proofErr w:type="gramStart"/>
      <w:r>
        <w:rPr>
          <w:rFonts w:ascii="Times New Roman" w:hAnsi="Times New Roman" w:cs="Times New Roman"/>
          <w:sz w:val="20"/>
          <w:szCs w:val="20"/>
        </w:rPr>
        <w:t>was performed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using one-way ANOVA </w:t>
      </w:r>
      <w:r>
        <w:rPr>
          <w:rFonts w:ascii="Times New Roman" w:hAnsi="Times New Roman" w:cs="Times New Roman"/>
          <w:sz w:val="20"/>
          <w:szCs w:val="20"/>
        </w:rPr>
        <w:t>with Tukey’s post-hoc test.</w:t>
      </w:r>
      <w:bookmarkStart w:id="0" w:name="OLE_LINK1"/>
      <w:r>
        <w:rPr>
          <w:rFonts w:ascii="Times New Roman" w:hAnsi="Times New Roman" w:cs="Times New Roman"/>
          <w:sz w:val="20"/>
          <w:szCs w:val="20"/>
        </w:rPr>
        <w:t xml:space="preserve"> *p &lt; 0.05, **p &lt; 0.01, ***p &lt; 0.001</w:t>
      </w:r>
      <w:proofErr w:type="gramStart"/>
      <w:r>
        <w:rPr>
          <w:rFonts w:ascii="Times New Roman" w:hAnsi="Times New Roman" w:cs="Times New Roman"/>
          <w:sz w:val="20"/>
          <w:szCs w:val="20"/>
        </w:rPr>
        <w:t>;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ns = not significant.</w:t>
      </w:r>
      <w:bookmarkEnd w:id="0"/>
    </w:p>
    <w:p w14:paraId="260A1835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48D03879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6</w:t>
      </w:r>
      <w:r>
        <w:rPr>
          <w:rFonts w:ascii="Times New Roman" w:hAnsi="Times New Roman" w:cs="Times New Roman"/>
          <w:b/>
          <w:sz w:val="20"/>
          <w:szCs w:val="20"/>
        </w:rPr>
        <w:t>. Targeting Efficiency and Cellular Uptake of NK-EV in GL261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245ECED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Monolayer Cultures (Continuation of </w:t>
      </w:r>
      <w:r>
        <w:rPr>
          <w:rFonts w:ascii="Times New Roman" w:hAnsi="Times New Roman" w:cs="Times New Roman"/>
          <w:b/>
          <w:sz w:val="20"/>
          <w:szCs w:val="20"/>
        </w:rPr>
        <w:t>Figure 2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1DE559FD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(A) Western blot analysis of LRP1 </w:t>
      </w:r>
      <w:r>
        <w:rPr>
          <w:rFonts w:ascii="Times New Roman" w:hAnsi="Times New Roman" w:cs="Times New Roman"/>
          <w:sz w:val="20"/>
          <w:szCs w:val="20"/>
        </w:rPr>
        <w:t>protein expression in glioma cell lines (</w:t>
      </w:r>
      <w:r>
        <w:rPr>
          <w:rFonts w:ascii="Times New Roman" w:hAnsi="Times New Roman" w:cs="Times New Roman"/>
          <w:sz w:val="20"/>
          <w:szCs w:val="20"/>
        </w:rPr>
        <w:t xml:space="preserve">CT2A, </w:t>
      </w:r>
      <w:r>
        <w:rPr>
          <w:rFonts w:ascii="Times New Roman" w:hAnsi="Times New Roman" w:cs="Times New Roman"/>
          <w:sz w:val="20"/>
          <w:szCs w:val="20"/>
        </w:rPr>
        <w:t>GL261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bEnd.3) (n = 3)</w:t>
      </w:r>
      <w:proofErr w:type="gramStart"/>
      <w:r>
        <w:rPr>
          <w:rFonts w:ascii="Times New Roman" w:hAnsi="Times New Roman" w:cs="Times New Roman"/>
          <w:sz w:val="20"/>
          <w:szCs w:val="20"/>
        </w:rPr>
        <w:t>.(</w:t>
      </w:r>
      <w:proofErr w:type="gramEnd"/>
      <w:r>
        <w:rPr>
          <w:rFonts w:ascii="Times New Roman" w:hAnsi="Times New Roman" w:cs="Times New Roman"/>
          <w:sz w:val="20"/>
          <w:szCs w:val="20"/>
        </w:rPr>
        <w:t>B) Quantitative analysis of LRP1 expression, normalized to β-Actin (n = 3).</w:t>
      </w:r>
    </w:p>
    <w:p w14:paraId="110427A9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kern w:val="0"/>
          <w:sz w:val="20"/>
          <w:szCs w:val="20"/>
        </w:rPr>
        <w:t>(C)</w:t>
      </w:r>
      <w:r>
        <w:rPr>
          <w:rFonts w:ascii="Times New Roman" w:hAnsi="Times New Roman" w:cs="Times New Roman"/>
          <w:sz w:val="20"/>
          <w:szCs w:val="20"/>
        </w:rPr>
        <w:t xml:space="preserve">Dynamic curve of PKH67 fluorescence intensity: Semi-quantification of uptake of 20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/mL NK-EV,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>-NK-</w:t>
      </w:r>
      <w:r>
        <w:rPr>
          <w:rFonts w:ascii="Times New Roman" w:hAnsi="Times New Roman" w:cs="Times New Roman"/>
          <w:sz w:val="20"/>
          <w:szCs w:val="20"/>
        </w:rPr>
        <w:t xml:space="preserve">EV,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>-NK-EV@TMZ by GL261 cells over 0–32 hours (n = 3).</w:t>
      </w:r>
    </w:p>
    <w:p w14:paraId="665FDFEA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Data </w:t>
      </w:r>
      <w:proofErr w:type="gramStart"/>
      <w:r>
        <w:rPr>
          <w:rFonts w:ascii="Times New Roman" w:hAnsi="Times New Roman" w:cs="Times New Roman"/>
          <w:sz w:val="20"/>
          <w:szCs w:val="20"/>
        </w:rPr>
        <w:t>are presented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as mean ± SD, with individual data points representing biological replicates (average of technical duplicates). Statistical analysis </w:t>
      </w:r>
      <w:proofErr w:type="gramStart"/>
      <w:r>
        <w:rPr>
          <w:rFonts w:ascii="Times New Roman" w:hAnsi="Times New Roman" w:cs="Times New Roman"/>
          <w:sz w:val="20"/>
          <w:szCs w:val="20"/>
        </w:rPr>
        <w:t>was performed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using one-way ANOVA with Tuk</w:t>
      </w:r>
      <w:r>
        <w:rPr>
          <w:rFonts w:ascii="Times New Roman" w:hAnsi="Times New Roman" w:cs="Times New Roman"/>
          <w:sz w:val="20"/>
          <w:szCs w:val="20"/>
        </w:rPr>
        <w:t xml:space="preserve">ey’s post-hoc test. </w:t>
      </w:r>
      <w:r>
        <w:rPr>
          <w:rFonts w:ascii="Times New Roman" w:hAnsi="Times New Roman" w:cs="Times New Roman"/>
          <w:sz w:val="20"/>
          <w:szCs w:val="20"/>
        </w:rPr>
        <w:t xml:space="preserve"> *p &lt; 0.05, **p &lt; 0.01, ***p &lt; 0.001</w:t>
      </w:r>
      <w:proofErr w:type="gramStart"/>
      <w:r>
        <w:rPr>
          <w:rFonts w:ascii="Times New Roman" w:hAnsi="Times New Roman" w:cs="Times New Roman"/>
          <w:sz w:val="20"/>
          <w:szCs w:val="20"/>
        </w:rPr>
        <w:t>;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ns = not significant.</w:t>
      </w:r>
    </w:p>
    <w:p w14:paraId="4DC9DC51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5211CAA1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Establishment and Stability of In Vitro BBB Models Assessed by TEER</w:t>
      </w:r>
    </w:p>
    <w:p w14:paraId="1528C4D8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Time-dependent changes in TEER values of BBB models established using </w:t>
      </w:r>
      <w:proofErr w:type="spellStart"/>
      <w:r>
        <w:rPr>
          <w:rFonts w:ascii="Times New Roman" w:hAnsi="Times New Roman" w:cs="Times New Roman"/>
          <w:sz w:val="20"/>
          <w:szCs w:val="20"/>
        </w:rPr>
        <w:t>hCMEC</w:t>
      </w:r>
      <w:proofErr w:type="spellEnd"/>
      <w:r>
        <w:rPr>
          <w:rFonts w:ascii="Times New Roman" w:hAnsi="Times New Roman" w:cs="Times New Roman"/>
          <w:sz w:val="20"/>
          <w:szCs w:val="20"/>
        </w:rPr>
        <w:t>/D3</w:t>
      </w:r>
      <w:r>
        <w:rPr>
          <w:rFonts w:ascii="Times New Roman" w:hAnsi="Times New Roman" w:cs="Times New Roman"/>
          <w:sz w:val="20"/>
          <w:szCs w:val="20"/>
        </w:rPr>
        <w:t xml:space="preserve"> (A)</w:t>
      </w:r>
      <w:r>
        <w:rPr>
          <w:rFonts w:ascii="Times New Roman" w:hAnsi="Times New Roman" w:cs="Times New Roman"/>
          <w:sz w:val="20"/>
          <w:szCs w:val="20"/>
        </w:rPr>
        <w:t xml:space="preserve"> and bEnd.3 cells</w:t>
      </w:r>
      <w:r>
        <w:rPr>
          <w:rFonts w:ascii="Times New Roman" w:hAnsi="Times New Roman" w:cs="Times New Roman"/>
          <w:sz w:val="20"/>
          <w:szCs w:val="20"/>
        </w:rPr>
        <w:t xml:space="preserve"> (B)</w:t>
      </w:r>
      <w:r>
        <w:rPr>
          <w:rFonts w:ascii="Times New Roman" w:hAnsi="Times New Roman" w:cs="Times New Roman"/>
          <w:sz w:val="20"/>
          <w:szCs w:val="20"/>
        </w:rPr>
        <w:t>. Lines represent the mean TEER values at each time point, and individual data points indicate daily measurements</w:t>
      </w:r>
      <w:proofErr w:type="gramStart"/>
      <w:r>
        <w:rPr>
          <w:rFonts w:ascii="Times New Roman" w:hAnsi="Times New Roman" w:cs="Times New Roman"/>
          <w:sz w:val="20"/>
          <w:szCs w:val="20"/>
        </w:rPr>
        <w:t>.(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n=3). </w:t>
      </w:r>
      <w:proofErr w:type="gramStart"/>
      <w:r>
        <w:rPr>
          <w:rFonts w:ascii="Times New Roman" w:hAnsi="Times New Roman" w:cs="Times New Roman"/>
          <w:sz w:val="20"/>
          <w:szCs w:val="20"/>
        </w:rPr>
        <w:t>(C) Relative fluorescence intensity of 70 </w:t>
      </w:r>
      <w:proofErr w:type="spellStart"/>
      <w:r>
        <w:rPr>
          <w:rFonts w:ascii="Times New Roman" w:hAnsi="Times New Roman" w:cs="Times New Roman"/>
          <w:sz w:val="20"/>
          <w:szCs w:val="20"/>
        </w:rPr>
        <w:t>kDa</w:t>
      </w:r>
      <w:proofErr w:type="spellEnd"/>
      <w:r>
        <w:rPr>
          <w:rFonts w:ascii="Times New Roman" w:hAnsi="Times New Roman" w:cs="Times New Roman"/>
          <w:sz w:val="20"/>
          <w:szCs w:val="20"/>
        </w:rPr>
        <w:t>, 40 </w:t>
      </w:r>
      <w:proofErr w:type="spellStart"/>
      <w:r>
        <w:rPr>
          <w:rFonts w:ascii="Times New Roman" w:hAnsi="Times New Roman" w:cs="Times New Roman"/>
          <w:sz w:val="20"/>
          <w:szCs w:val="20"/>
        </w:rPr>
        <w:t>kDa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4 </w:t>
      </w:r>
      <w:proofErr w:type="spellStart"/>
      <w:r>
        <w:rPr>
          <w:rFonts w:ascii="Times New Roman" w:hAnsi="Times New Roman" w:cs="Times New Roman"/>
          <w:sz w:val="20"/>
          <w:szCs w:val="20"/>
        </w:rPr>
        <w:t>kDa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FITC-dextran passage over collagen inserts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hCM</w:t>
      </w:r>
      <w:r>
        <w:rPr>
          <w:rFonts w:ascii="Times New Roman" w:hAnsi="Times New Roman" w:cs="Times New Roman"/>
          <w:sz w:val="20"/>
          <w:szCs w:val="20"/>
        </w:rPr>
        <w:t>EC</w:t>
      </w:r>
      <w:proofErr w:type="spellEnd"/>
      <w:r>
        <w:rPr>
          <w:rFonts w:ascii="Times New Roman" w:hAnsi="Times New Roman" w:cs="Times New Roman"/>
          <w:sz w:val="20"/>
          <w:szCs w:val="20"/>
        </w:rPr>
        <w:t>/D3 cultures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(n=3)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(D) Relative fluorescence intensity of 70 </w:t>
      </w:r>
      <w:proofErr w:type="spellStart"/>
      <w:r>
        <w:rPr>
          <w:rFonts w:ascii="Times New Roman" w:hAnsi="Times New Roman" w:cs="Times New Roman"/>
          <w:sz w:val="20"/>
          <w:szCs w:val="20"/>
        </w:rPr>
        <w:t>kDa</w:t>
      </w:r>
      <w:proofErr w:type="spellEnd"/>
      <w:r>
        <w:rPr>
          <w:rFonts w:ascii="Times New Roman" w:hAnsi="Times New Roman" w:cs="Times New Roman"/>
          <w:sz w:val="20"/>
          <w:szCs w:val="20"/>
        </w:rPr>
        <w:t>, 40 </w:t>
      </w:r>
      <w:proofErr w:type="spellStart"/>
      <w:r>
        <w:rPr>
          <w:rFonts w:ascii="Times New Roman" w:hAnsi="Times New Roman" w:cs="Times New Roman"/>
          <w:sz w:val="20"/>
          <w:szCs w:val="20"/>
        </w:rPr>
        <w:t>kDa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4 </w:t>
      </w:r>
      <w:proofErr w:type="spellStart"/>
      <w:r>
        <w:rPr>
          <w:rFonts w:ascii="Times New Roman" w:hAnsi="Times New Roman" w:cs="Times New Roman"/>
          <w:sz w:val="20"/>
          <w:szCs w:val="20"/>
        </w:rPr>
        <w:t>kDa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FITC-dextran passage over collagen inserts and bEnd.3 cultures(n=3)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(E) </w:t>
      </w:r>
      <w:r>
        <w:rPr>
          <w:rFonts w:ascii="Times New Roman" w:hAnsi="Times New Roman" w:cs="Times New Roman"/>
          <w:sz w:val="20"/>
          <w:szCs w:val="20"/>
        </w:rPr>
        <w:lastRenderedPageBreak/>
        <w:t xml:space="preserve">Apparent permeability coefficients (Papp) of 70, 40, and 4 </w:t>
      </w:r>
      <w:proofErr w:type="spellStart"/>
      <w:r>
        <w:rPr>
          <w:rFonts w:ascii="Times New Roman" w:hAnsi="Times New Roman" w:cs="Times New Roman"/>
          <w:sz w:val="20"/>
          <w:szCs w:val="20"/>
        </w:rPr>
        <w:t>kDa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FITC–dextran were determined across </w:t>
      </w:r>
      <w:r>
        <w:rPr>
          <w:rFonts w:ascii="Times New Roman" w:hAnsi="Times New Roman" w:cs="Times New Roman"/>
          <w:sz w:val="20"/>
          <w:szCs w:val="20"/>
        </w:rPr>
        <w:t xml:space="preserve">collagen-coated inserts (cell-free) and across </w:t>
      </w:r>
      <w:proofErr w:type="spellStart"/>
      <w:r>
        <w:rPr>
          <w:rFonts w:ascii="Times New Roman" w:hAnsi="Times New Roman" w:cs="Times New Roman"/>
          <w:sz w:val="20"/>
          <w:szCs w:val="20"/>
        </w:rPr>
        <w:t>hCMEC</w:t>
      </w:r>
      <w:proofErr w:type="spellEnd"/>
      <w:r>
        <w:rPr>
          <w:rFonts w:ascii="Times New Roman" w:hAnsi="Times New Roman" w:cs="Times New Roman"/>
          <w:sz w:val="20"/>
          <w:szCs w:val="20"/>
        </w:rPr>
        <w:t>/D3 cell monolayers grown on collagen-coated inserts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(n=3)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(F) Apparent permeability coefficients (Papp) of 70, 40, and 4 </w:t>
      </w:r>
      <w:proofErr w:type="spellStart"/>
      <w:r>
        <w:rPr>
          <w:rFonts w:ascii="Times New Roman" w:hAnsi="Times New Roman" w:cs="Times New Roman"/>
          <w:sz w:val="20"/>
          <w:szCs w:val="20"/>
        </w:rPr>
        <w:t>kDa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FITC–dextran were determined across collagen-coated inserts (cell-free) and ac</w:t>
      </w:r>
      <w:r>
        <w:rPr>
          <w:rFonts w:ascii="Times New Roman" w:hAnsi="Times New Roman" w:cs="Times New Roman"/>
          <w:sz w:val="20"/>
          <w:szCs w:val="20"/>
        </w:rPr>
        <w:t>ross bEnd.3 cell monolayers grown on collagen-coated inserts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(n=3)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proofErr w:type="gramEnd"/>
    </w:p>
    <w:p w14:paraId="0C67AC79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32B318AF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8</w:t>
      </w:r>
      <w:r>
        <w:rPr>
          <w:rFonts w:ascii="Times New Roman" w:hAnsi="Times New Roman" w:cs="Times New Roman"/>
          <w:b/>
          <w:sz w:val="20"/>
          <w:szCs w:val="20"/>
        </w:rPr>
        <w:t>. CCK-8 Cytotoxicity Assay on Parental and TMZ-Resistant GL261 Cells.</w:t>
      </w:r>
      <w:r>
        <w:rPr>
          <w:rFonts w:ascii="Times New Roman" w:hAnsi="Times New Roman" w:cs="Times New Roman"/>
          <w:sz w:val="20"/>
          <w:szCs w:val="20"/>
        </w:rPr>
        <w:t xml:space="preserve"> (Continuation of </w:t>
      </w:r>
      <w:r>
        <w:rPr>
          <w:rFonts w:ascii="Times New Roman" w:hAnsi="Times New Roman" w:cs="Times New Roman"/>
          <w:b/>
          <w:sz w:val="20"/>
          <w:szCs w:val="20"/>
        </w:rPr>
        <w:t>Figure 4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1BC6CD24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Cell Counting Kit-8 (CCK-8) assay: Viability of parental and TMZ-resi</w:t>
      </w:r>
      <w:r>
        <w:rPr>
          <w:rFonts w:ascii="Times New Roman" w:hAnsi="Times New Roman" w:cs="Times New Roman"/>
          <w:sz w:val="20"/>
          <w:szCs w:val="20"/>
        </w:rPr>
        <w:t>stant GL261 cells treated with increasing concentrations of TMZ.</w:t>
      </w:r>
    </w:p>
    <w:p w14:paraId="574D3F28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34B89035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9</w:t>
      </w:r>
      <w:r>
        <w:rPr>
          <w:rFonts w:ascii="Times New Roman" w:hAnsi="Times New Roman" w:cs="Times New Roman"/>
          <w:b/>
          <w:sz w:val="20"/>
          <w:szCs w:val="20"/>
        </w:rPr>
        <w:t>. CCK-8 Cytotoxicity Assay on Parental and TMZ-Resistant GL261 Cells (Continuation of Figure 5).</w:t>
      </w:r>
    </w:p>
    <w:p w14:paraId="27810896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(A)CCK-8 assay: Viability of parental and TMZ-resistant GL261 cells treated with increasing concentrations of TMZ or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-NK-EV@TMZ. (B) The </w:t>
      </w:r>
      <w:proofErr w:type="gramStart"/>
      <w:r>
        <w:rPr>
          <w:rFonts w:ascii="Times New Roman" w:hAnsi="Times New Roman" w:cs="Times New Roman"/>
          <w:sz w:val="20"/>
          <w:szCs w:val="20"/>
        </w:rPr>
        <w:t>flow cytometry apoptosis assay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of GL261 cells treated with increasing concentrations of TMZ or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>-NK-EV@TMZ. (n=3)</w:t>
      </w:r>
    </w:p>
    <w:p w14:paraId="03C66118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Data </w:t>
      </w:r>
      <w:proofErr w:type="gramStart"/>
      <w:r>
        <w:rPr>
          <w:rFonts w:ascii="Times New Roman" w:hAnsi="Times New Roman" w:cs="Times New Roman"/>
          <w:sz w:val="20"/>
          <w:szCs w:val="20"/>
        </w:rPr>
        <w:t>are presented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as mean ± SD, with individual data points representing biological replicates (average of technical duplicates). Statistical analysis </w:t>
      </w:r>
      <w:proofErr w:type="gramStart"/>
      <w:r>
        <w:rPr>
          <w:rFonts w:ascii="Times New Roman" w:hAnsi="Times New Roman" w:cs="Times New Roman"/>
          <w:sz w:val="20"/>
          <w:szCs w:val="20"/>
        </w:rPr>
        <w:t>was performed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using one-way ANOVA with Tukey’s post-hoc test.  *p &lt; 0.05, **p &lt; 0.01, ***p &lt; 0.001</w:t>
      </w:r>
      <w:proofErr w:type="gramStart"/>
      <w:r>
        <w:rPr>
          <w:rFonts w:ascii="Times New Roman" w:hAnsi="Times New Roman" w:cs="Times New Roman"/>
          <w:sz w:val="20"/>
          <w:szCs w:val="20"/>
        </w:rPr>
        <w:t>;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ns =</w:t>
      </w:r>
      <w:r>
        <w:rPr>
          <w:rFonts w:ascii="Times New Roman" w:hAnsi="Times New Roman" w:cs="Times New Roman"/>
          <w:sz w:val="20"/>
          <w:szCs w:val="20"/>
        </w:rPr>
        <w:t xml:space="preserve"> not significant.</w:t>
      </w:r>
    </w:p>
    <w:p w14:paraId="3F817103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1C333956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10</w:t>
      </w:r>
      <w:r>
        <w:rPr>
          <w:rFonts w:ascii="Times New Roman" w:hAnsi="Times New Roman" w:cs="Times New Roman"/>
          <w:b/>
          <w:sz w:val="20"/>
          <w:szCs w:val="20"/>
        </w:rPr>
        <w:t>. Immunogenic Cell Death (ICD) Induced by NK-EV in TMZ-Resistant Cells</w:t>
      </w:r>
    </w:p>
    <w:p w14:paraId="742B5FB9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Glioma cells were treated with TMZ (100 </w:t>
      </w:r>
      <w:proofErr w:type="spellStart"/>
      <w:r>
        <w:rPr>
          <w:rFonts w:ascii="Times New Roman" w:hAnsi="Times New Roman" w:cs="Times New Roman"/>
          <w:sz w:val="20"/>
          <w:szCs w:val="20"/>
        </w:rPr>
        <w:t>μM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), NK-EV (20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/mL),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-NK-EV (20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/mL), or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-NK-EV@TMZ (20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/mL) for 24 hours in 96-well </w:t>
      </w:r>
      <w:r>
        <w:rPr>
          <w:rFonts w:ascii="Times New Roman" w:hAnsi="Times New Roman" w:cs="Times New Roman"/>
          <w:sz w:val="20"/>
          <w:szCs w:val="20"/>
        </w:rPr>
        <w:t xml:space="preserve">plates.(A) Concentration of ATP in the supernatant.(B) Concentration of </w:t>
      </w:r>
      <w:proofErr w:type="spellStart"/>
      <w:r>
        <w:rPr>
          <w:rFonts w:ascii="Times New Roman" w:hAnsi="Times New Roman" w:cs="Times New Roman"/>
          <w:sz w:val="20"/>
          <w:szCs w:val="20"/>
        </w:rPr>
        <w:t>calreticulin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(CRT) in the supernatant.(C) Concentration of HMGB1 in the supernatant (n = 3).</w:t>
      </w:r>
    </w:p>
    <w:p w14:paraId="3F0420FC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Data </w:t>
      </w:r>
      <w:proofErr w:type="gramStart"/>
      <w:r>
        <w:rPr>
          <w:rFonts w:ascii="Times New Roman" w:hAnsi="Times New Roman" w:cs="Times New Roman"/>
          <w:sz w:val="20"/>
          <w:szCs w:val="20"/>
        </w:rPr>
        <w:t>are presented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as mean ± SD, with individual data points representing biological replic</w:t>
      </w:r>
      <w:r>
        <w:rPr>
          <w:rFonts w:ascii="Times New Roman" w:hAnsi="Times New Roman" w:cs="Times New Roman"/>
          <w:sz w:val="20"/>
          <w:szCs w:val="20"/>
        </w:rPr>
        <w:t xml:space="preserve">ates (average of technical duplicates). Statistical analysis </w:t>
      </w:r>
      <w:proofErr w:type="gramStart"/>
      <w:r>
        <w:rPr>
          <w:rFonts w:ascii="Times New Roman" w:hAnsi="Times New Roman" w:cs="Times New Roman"/>
          <w:sz w:val="20"/>
          <w:szCs w:val="20"/>
        </w:rPr>
        <w:t>was performed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using one-way ANOVA with Tukey’s post-hoc test. *p &lt; 0.05, **p &lt; 0.01, ***p &lt; 0.001, ****p &lt; 0.0001</w:t>
      </w:r>
      <w:proofErr w:type="gramStart"/>
      <w:r>
        <w:rPr>
          <w:rFonts w:ascii="Times New Roman" w:hAnsi="Times New Roman" w:cs="Times New Roman"/>
          <w:sz w:val="20"/>
          <w:szCs w:val="20"/>
        </w:rPr>
        <w:t>;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ns = not significant.</w:t>
      </w:r>
    </w:p>
    <w:p w14:paraId="57404AA3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1C72493A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11</w:t>
      </w:r>
      <w:r>
        <w:rPr>
          <w:rFonts w:ascii="Times New Roman" w:hAnsi="Times New Roman" w:cs="Times New Roman"/>
          <w:b/>
          <w:sz w:val="20"/>
          <w:szCs w:val="20"/>
        </w:rPr>
        <w:t xml:space="preserve">. In Vivo Anti-Glioma Efficacy of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</w:t>
      </w:r>
      <w:r>
        <w:rPr>
          <w:rFonts w:ascii="Times New Roman" w:hAnsi="Times New Roman" w:cs="Times New Roman"/>
          <w:b/>
          <w:sz w:val="20"/>
          <w:szCs w:val="20"/>
        </w:rPr>
        <w:t>ng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-NK-EV@TMZ in LN229-Luc and U87-Luc Models. (Continuation of Figure 8)</w:t>
      </w:r>
    </w:p>
    <w:p w14:paraId="676FFC33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LN229 and U87 glioma cells were transduced with a luciferase </w:t>
      </w:r>
      <w:proofErr w:type="gramStart"/>
      <w:r>
        <w:rPr>
          <w:rFonts w:ascii="Times New Roman" w:hAnsi="Times New Roman" w:cs="Times New Roman"/>
          <w:sz w:val="20"/>
          <w:szCs w:val="20"/>
        </w:rPr>
        <w:t>gene,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and 1 × 10⁵ cells were </w:t>
      </w:r>
      <w:proofErr w:type="spellStart"/>
      <w:r>
        <w:rPr>
          <w:rFonts w:ascii="Times New Roman" w:hAnsi="Times New Roman" w:cs="Times New Roman"/>
          <w:sz w:val="20"/>
          <w:szCs w:val="20"/>
        </w:rPr>
        <w:t>intracranially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inoculated. Tumor-bearing nude mice received intravenous injections of TMZ (50</w:t>
      </w:r>
      <w:r>
        <w:rPr>
          <w:rFonts w:ascii="Times New Roman" w:hAnsi="Times New Roman" w:cs="Times New Roman"/>
          <w:sz w:val="20"/>
          <w:szCs w:val="20"/>
        </w:rPr>
        <w:t xml:space="preserve"> mg/kg), NK-EV (200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-NK-EV (200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), or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-NK-EV@TMZ (200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>) three times weekly.(A–B) Representative tumor bioluminescence images of mice bearing LN229-Luc (A) and U87-Luc (B) tumors on days 7, 14, 21, and 28 post-injection (n = 5). Insets: H&amp;E s</w:t>
      </w:r>
      <w:r>
        <w:rPr>
          <w:rFonts w:ascii="Times New Roman" w:hAnsi="Times New Roman" w:cs="Times New Roman"/>
          <w:sz w:val="20"/>
          <w:szCs w:val="20"/>
        </w:rPr>
        <w:t>taining of brain tissues 30 days post-tumor cell inoculation. Scale bars = 2.5 mm.(C–D) Tumor growth curves quantified by bioluminescence signal intensity for LN229-Luc (C) and U87-Luc (D) models.(E–F) Kaplan-Meier survival curves of mice bearing LN229-Luc</w:t>
      </w:r>
      <w:r>
        <w:rPr>
          <w:rFonts w:ascii="Times New Roman" w:hAnsi="Times New Roman" w:cs="Times New Roman"/>
          <w:sz w:val="20"/>
          <w:szCs w:val="20"/>
        </w:rPr>
        <w:t xml:space="preserve"> (E) and U87-Luc (F) tumors.(G–H) Body weight changes of treated mice bearing LN229-Luc (G) and U87-Luc (H) tumors.</w:t>
      </w:r>
      <w:r>
        <w:rPr>
          <w:rFonts w:ascii="Times New Roman" w:hAnsi="Times New Roman" w:cs="Times New Roman"/>
          <w:sz w:val="20"/>
          <w:szCs w:val="20"/>
        </w:rPr>
        <w:t xml:space="preserve"> (I) Quantitative analysis of fluorescence signals in vivo organs of mice treated with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>-NK-EV@TMZ micelles.</w:t>
      </w:r>
    </w:p>
    <w:p w14:paraId="4E2B3154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Data </w:t>
      </w:r>
      <w:proofErr w:type="gramStart"/>
      <w:r>
        <w:rPr>
          <w:rFonts w:ascii="Times New Roman" w:hAnsi="Times New Roman" w:cs="Times New Roman"/>
          <w:sz w:val="20"/>
          <w:szCs w:val="20"/>
        </w:rPr>
        <w:t>are presented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as mean ± S</w:t>
      </w:r>
      <w:r>
        <w:rPr>
          <w:rFonts w:ascii="Times New Roman" w:hAnsi="Times New Roman" w:cs="Times New Roman"/>
          <w:sz w:val="20"/>
          <w:szCs w:val="20"/>
        </w:rPr>
        <w:t xml:space="preserve">D, with individual data points representing biological replicates (average of technical duplicates). Statistical analysis </w:t>
      </w:r>
      <w:proofErr w:type="gramStart"/>
      <w:r>
        <w:rPr>
          <w:rFonts w:ascii="Times New Roman" w:hAnsi="Times New Roman" w:cs="Times New Roman"/>
          <w:sz w:val="20"/>
          <w:szCs w:val="20"/>
        </w:rPr>
        <w:t>was performed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using one-way ANOVA with Tukey’s post-hoc test. *p &lt; 0.05, **p &lt; 0.01, ***p &lt; 0.001</w:t>
      </w:r>
      <w:proofErr w:type="gramStart"/>
      <w:r>
        <w:rPr>
          <w:rFonts w:ascii="Times New Roman" w:hAnsi="Times New Roman" w:cs="Times New Roman"/>
          <w:sz w:val="20"/>
          <w:szCs w:val="20"/>
        </w:rPr>
        <w:t>;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ns = not significant.</w:t>
      </w:r>
    </w:p>
    <w:p w14:paraId="08E6CE65" w14:textId="77777777" w:rsidR="00D0433F" w:rsidRDefault="00D0433F">
      <w:pPr>
        <w:widowControl/>
        <w:rPr>
          <w:rFonts w:ascii="Times New Roman" w:hAnsi="Times New Roman" w:cs="Times New Roman"/>
          <w:b/>
          <w:sz w:val="20"/>
          <w:szCs w:val="20"/>
        </w:rPr>
      </w:pPr>
    </w:p>
    <w:p w14:paraId="2D4AF4B6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Supplemental</w:t>
      </w:r>
      <w:r>
        <w:rPr>
          <w:rFonts w:ascii="Times New Roman" w:hAnsi="Times New Roman" w:cs="Times New Roman"/>
          <w:b/>
          <w:sz w:val="20"/>
          <w:szCs w:val="20"/>
        </w:rPr>
        <w:t xml:space="preserve"> Figure 1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</w:rPr>
        <w:t>Immunofluorescence analysis of CAF markers (α-SMA and FAP) in low-grade glioma</w:t>
      </w:r>
      <w:r>
        <w:rPr>
          <w:rFonts w:ascii="Times New Roman" w:hAnsi="Times New Roman" w:cs="Times New Roman"/>
          <w:b/>
          <w:sz w:val="20"/>
          <w:szCs w:val="20"/>
        </w:rPr>
        <w:t xml:space="preserve"> (LGG) tissues</w:t>
      </w:r>
      <w:r>
        <w:rPr>
          <w:rFonts w:ascii="Times New Roman" w:hAnsi="Times New Roman" w:cs="Times New Roman"/>
          <w:b/>
          <w:sz w:val="20"/>
          <w:szCs w:val="20"/>
        </w:rPr>
        <w:t xml:space="preserve"> and high-grade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glioma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HGG)</w:t>
      </w:r>
      <w:r>
        <w:rPr>
          <w:rFonts w:ascii="Times New Roman" w:hAnsi="Times New Roman" w:cs="Times New Roman"/>
          <w:b/>
          <w:sz w:val="20"/>
          <w:szCs w:val="20"/>
        </w:rPr>
        <w:t xml:space="preserve"> tissues</w:t>
      </w:r>
    </w:p>
    <w:p w14:paraId="5B4777D4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Representative immunofluorescence staining of α-SMA and FAP in </w:t>
      </w:r>
      <w:r>
        <w:rPr>
          <w:rFonts w:ascii="Times New Roman" w:hAnsi="Times New Roman" w:cs="Times New Roman"/>
          <w:sz w:val="20"/>
          <w:szCs w:val="20"/>
        </w:rPr>
        <w:t>LGG tissues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 xml:space="preserve">GG </w:t>
      </w:r>
      <w:r>
        <w:rPr>
          <w:rFonts w:ascii="Times New Roman" w:hAnsi="Times New Roman" w:cs="Times New Roman"/>
          <w:sz w:val="20"/>
          <w:szCs w:val="20"/>
        </w:rPr>
        <w:t>tissues.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Scale bars = </w:t>
      </w: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0 </w:t>
      </w:r>
      <w:proofErr w:type="spellStart"/>
      <w:r>
        <w:rPr>
          <w:rFonts w:ascii="Times New Roman" w:hAnsi="Times New Roman" w:cs="Times New Roman"/>
          <w:sz w:val="20"/>
          <w:szCs w:val="20"/>
        </w:rPr>
        <w:t>μm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3CEA6EE6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6A104692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Supplemental Figure </w:t>
      </w:r>
      <w:r>
        <w:rPr>
          <w:rFonts w:ascii="Times New Roman" w:hAnsi="Times New Roman" w:cs="Times New Roman"/>
          <w:b/>
          <w:sz w:val="20"/>
          <w:szCs w:val="20"/>
        </w:rPr>
        <w:t>13</w:t>
      </w:r>
      <w:r>
        <w:rPr>
          <w:rFonts w:ascii="Times New Roman" w:hAnsi="Times New Roman" w:cs="Times New Roman"/>
          <w:b/>
          <w:sz w:val="20"/>
          <w:szCs w:val="20"/>
        </w:rPr>
        <w:t xml:space="preserve">. Hemolytic Activity of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-NK-EV@TMZ</w:t>
      </w:r>
    </w:p>
    <w:p w14:paraId="0D702DD4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Hemolysis assay: Red blood cells </w:t>
      </w:r>
      <w:proofErr w:type="gramStart"/>
      <w:r>
        <w:rPr>
          <w:rFonts w:ascii="Times New Roman" w:hAnsi="Times New Roman" w:cs="Times New Roman"/>
          <w:sz w:val="20"/>
          <w:szCs w:val="20"/>
        </w:rPr>
        <w:t>were incubated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with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-NK-EV@TMZ at different concentrations. Hemolysis rate </w:t>
      </w:r>
      <w:proofErr w:type="gramStart"/>
      <w:r>
        <w:rPr>
          <w:rFonts w:ascii="Times New Roman" w:hAnsi="Times New Roman" w:cs="Times New Roman"/>
          <w:sz w:val="20"/>
          <w:szCs w:val="20"/>
        </w:rPr>
        <w:t>was calculated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to evaluate the hemolytic potential of the formulation. (</w:t>
      </w:r>
      <w:proofErr w:type="spellStart"/>
      <w:r>
        <w:rPr>
          <w:rFonts w:ascii="Times New Roman" w:hAnsi="Times New Roman" w:cs="Times New Roman"/>
          <w:sz w:val="20"/>
          <w:szCs w:val="20"/>
        </w:rPr>
        <w:t>AngII</w:t>
      </w:r>
      <w:proofErr w:type="spellEnd"/>
      <w:r>
        <w:rPr>
          <w:rFonts w:ascii="Times New Roman" w:hAnsi="Times New Roman" w:cs="Times New Roman"/>
          <w:sz w:val="20"/>
          <w:szCs w:val="20"/>
        </w:rPr>
        <w:t>-NK-EV@T</w:t>
      </w:r>
      <w:r>
        <w:rPr>
          <w:rFonts w:ascii="Times New Roman" w:hAnsi="Times New Roman" w:cs="Times New Roman"/>
          <w:sz w:val="20"/>
          <w:szCs w:val="20"/>
        </w:rPr>
        <w:t xml:space="preserve">MZ at vesicle protein concentrations of 1000, 100, 10, 1, 0.1, 0.01, and 0.001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>/mL).</w:t>
      </w:r>
    </w:p>
    <w:p w14:paraId="32807118" w14:textId="77777777" w:rsidR="00D0433F" w:rsidRDefault="00D0433F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239AC8E0" w14:textId="77777777" w:rsidR="00D0433F" w:rsidRDefault="0035166A">
      <w:pPr>
        <w:widowControl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Supplemental Figure 1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b/>
          <w:sz w:val="20"/>
          <w:szCs w:val="20"/>
        </w:rPr>
        <w:t xml:space="preserve">. Biosafety Evaluation of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-NK-EV@TMZ</w:t>
      </w:r>
    </w:p>
    <w:p w14:paraId="0D07885F" w14:textId="77777777" w:rsidR="00D0433F" w:rsidRDefault="0035166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(A) H&amp;E staining of major organs (heart, liver, spleen, lungs, kidneys) from tumor-bearing nude mice treat</w:t>
      </w:r>
      <w:r>
        <w:rPr>
          <w:rFonts w:ascii="Times New Roman" w:hAnsi="Times New Roman" w:cs="Times New Roman"/>
          <w:sz w:val="20"/>
          <w:szCs w:val="20"/>
        </w:rPr>
        <w:t xml:space="preserve">ed with TMZ (50 mg/kg), NK-EV (200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-NK-EV (200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), or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-NK-EV@TMZ (200 </w:t>
      </w:r>
      <w:proofErr w:type="spellStart"/>
      <w:r>
        <w:rPr>
          <w:rFonts w:ascii="Times New Roman" w:hAnsi="Times New Roman" w:cs="Times New Roman"/>
          <w:sz w:val="20"/>
          <w:szCs w:val="20"/>
        </w:rPr>
        <w:t>μg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Scale bar = 50 </w:t>
      </w:r>
      <w:proofErr w:type="spellStart"/>
      <w:r>
        <w:rPr>
          <w:rFonts w:ascii="Times New Roman" w:hAnsi="Times New Roman" w:cs="Times New Roman"/>
          <w:sz w:val="20"/>
          <w:szCs w:val="20"/>
        </w:rPr>
        <w:t>μm</w:t>
      </w:r>
      <w:proofErr w:type="spellEnd"/>
      <w:proofErr w:type="gramStart"/>
      <w:r>
        <w:rPr>
          <w:rFonts w:ascii="Times New Roman" w:hAnsi="Times New Roman" w:cs="Times New Roman"/>
          <w:sz w:val="20"/>
          <w:szCs w:val="20"/>
        </w:rPr>
        <w:t>.(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B) Blood biochemical indicators (alanine transaminase, aspartate transaminase, blood urea nitrogen, creatinine) in mice treated with PBS or </w:t>
      </w:r>
      <w:proofErr w:type="spellStart"/>
      <w:r>
        <w:rPr>
          <w:rFonts w:ascii="Times New Roman" w:hAnsi="Times New Roman" w:cs="Times New Roman"/>
          <w:sz w:val="20"/>
          <w:szCs w:val="20"/>
        </w:rPr>
        <w:t>Ang</w:t>
      </w:r>
      <w:proofErr w:type="spellEnd"/>
      <w:r>
        <w:rPr>
          <w:rFonts w:ascii="Times New Roman" w:hAnsi="Times New Roman" w:cs="Times New Roman"/>
          <w:sz w:val="20"/>
          <w:szCs w:val="20"/>
        </w:rPr>
        <w:t>-NK-EV@</w:t>
      </w:r>
      <w:r>
        <w:rPr>
          <w:rFonts w:ascii="Times New Roman" w:hAnsi="Times New Roman" w:cs="Times New Roman"/>
          <w:sz w:val="20"/>
          <w:szCs w:val="20"/>
        </w:rPr>
        <w:t>TMZ on day 28.</w:t>
      </w:r>
      <w:bookmarkStart w:id="1" w:name="_GoBack"/>
      <w:bookmarkEnd w:id="1"/>
    </w:p>
    <w:sectPr w:rsidR="00D0433F" w:rsidSect="0035166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42AA6" w14:textId="77777777" w:rsidR="00000000" w:rsidRDefault="0035166A">
      <w:r>
        <w:separator/>
      </w:r>
    </w:p>
  </w:endnote>
  <w:endnote w:type="continuationSeparator" w:id="0">
    <w:p w14:paraId="3FE78585" w14:textId="77777777" w:rsidR="00000000" w:rsidRDefault="0035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7483126"/>
    </w:sdtPr>
    <w:sdtEndPr/>
    <w:sdtContent>
      <w:p w14:paraId="2D6880E5" w14:textId="3C5E2535" w:rsidR="00D0433F" w:rsidRDefault="0035166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5166A">
          <w:rPr>
            <w:noProof/>
            <w:lang w:val="zh-CN"/>
          </w:rPr>
          <w:t>3</w:t>
        </w:r>
        <w:r>
          <w:fldChar w:fldCharType="end"/>
        </w:r>
      </w:p>
    </w:sdtContent>
  </w:sdt>
  <w:p w14:paraId="32601C83" w14:textId="77777777" w:rsidR="00D0433F" w:rsidRDefault="00D043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77AEA" w14:textId="77777777" w:rsidR="00000000" w:rsidRDefault="0035166A">
      <w:r>
        <w:separator/>
      </w:r>
    </w:p>
  </w:footnote>
  <w:footnote w:type="continuationSeparator" w:id="0">
    <w:p w14:paraId="22D16A84" w14:textId="77777777" w:rsidR="00000000" w:rsidRDefault="00351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aaSTTT202411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323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z0t5s0bd92rne05rcx99xk5p552xrpdrzp&quot;&gt;My EndNote Library&lt;record-ids&gt;&lt;item&gt;840&lt;/item&gt;&lt;item&gt;849&lt;/item&gt;&lt;item&gt;854&lt;/item&gt;&lt;item&gt;857&lt;/item&gt;&lt;item&gt;861&lt;/item&gt;&lt;item&gt;864&lt;/item&gt;&lt;item&gt;871&lt;/item&gt;&lt;item&gt;874&lt;/item&gt;&lt;item&gt;875&lt;/item&gt;&lt;item&gt;880&lt;/item&gt;&lt;item&gt;882&lt;/item&gt;&lt;item&gt;889&lt;/item&gt;&lt;item&gt;892&lt;/item&gt;&lt;item&gt;896&lt;/item&gt;&lt;item&gt;904&lt;/item&gt;&lt;item&gt;905&lt;/item&gt;&lt;item&gt;906&lt;/item&gt;&lt;item&gt;910&lt;/item&gt;&lt;item&gt;912&lt;/item&gt;&lt;item&gt;914&lt;/item&gt;&lt;item&gt;916&lt;/item&gt;&lt;item&gt;918&lt;/item&gt;&lt;item&gt;919&lt;/item&gt;&lt;item&gt;920&lt;/item&gt;&lt;item&gt;922&lt;/item&gt;&lt;item&gt;923&lt;/item&gt;&lt;item&gt;925&lt;/item&gt;&lt;item&gt;927&lt;/item&gt;&lt;item&gt;928&lt;/item&gt;&lt;item&gt;929&lt;/item&gt;&lt;item&gt;930&lt;/item&gt;&lt;item&gt;931&lt;/item&gt;&lt;item&gt;933&lt;/item&gt;&lt;item&gt;934&lt;/item&gt;&lt;item&gt;937&lt;/item&gt;&lt;item&gt;938&lt;/item&gt;&lt;item&gt;939&lt;/item&gt;&lt;item&gt;941&lt;/item&gt;&lt;item&gt;945&lt;/item&gt;&lt;item&gt;949&lt;/item&gt;&lt;item&gt;950&lt;/item&gt;&lt;item&gt;953&lt;/item&gt;&lt;item&gt;954&lt;/item&gt;&lt;item&gt;956&lt;/item&gt;&lt;item&gt;961&lt;/item&gt;&lt;item&gt;963&lt;/item&gt;&lt;item&gt;965&lt;/item&gt;&lt;item&gt;972&lt;/item&gt;&lt;item&gt;977&lt;/item&gt;&lt;item&gt;979&lt;/item&gt;&lt;item&gt;980&lt;/item&gt;&lt;item&gt;981&lt;/item&gt;&lt;item&gt;983&lt;/item&gt;&lt;item&gt;984&lt;/item&gt;&lt;item&gt;985&lt;/item&gt;&lt;item&gt;986&lt;/item&gt;&lt;item&gt;987&lt;/item&gt;&lt;item&gt;988&lt;/item&gt;&lt;/record-ids&gt;&lt;/item&gt;&lt;/Libraries&gt;"/>
  </w:docVars>
  <w:rsids>
    <w:rsidRoot w:val="0078544C"/>
    <w:rsid w:val="000027B0"/>
    <w:rsid w:val="0001457E"/>
    <w:rsid w:val="000218AC"/>
    <w:rsid w:val="0004079B"/>
    <w:rsid w:val="00047BBD"/>
    <w:rsid w:val="000633B3"/>
    <w:rsid w:val="00072B5C"/>
    <w:rsid w:val="00085E78"/>
    <w:rsid w:val="001434E7"/>
    <w:rsid w:val="00192B31"/>
    <w:rsid w:val="001A45F0"/>
    <w:rsid w:val="001B6AF6"/>
    <w:rsid w:val="001D4141"/>
    <w:rsid w:val="00200954"/>
    <w:rsid w:val="00211284"/>
    <w:rsid w:val="00211896"/>
    <w:rsid w:val="002C2868"/>
    <w:rsid w:val="002C3161"/>
    <w:rsid w:val="002C6130"/>
    <w:rsid w:val="002D0098"/>
    <w:rsid w:val="00313942"/>
    <w:rsid w:val="003251EA"/>
    <w:rsid w:val="0033550B"/>
    <w:rsid w:val="00341BFB"/>
    <w:rsid w:val="0035166A"/>
    <w:rsid w:val="00365F57"/>
    <w:rsid w:val="0039721A"/>
    <w:rsid w:val="003A17E4"/>
    <w:rsid w:val="003B6CD1"/>
    <w:rsid w:val="003C22C9"/>
    <w:rsid w:val="003F0583"/>
    <w:rsid w:val="003F249B"/>
    <w:rsid w:val="00446A17"/>
    <w:rsid w:val="00456868"/>
    <w:rsid w:val="00496456"/>
    <w:rsid w:val="004B238A"/>
    <w:rsid w:val="004C7097"/>
    <w:rsid w:val="004E646C"/>
    <w:rsid w:val="005255B3"/>
    <w:rsid w:val="00533FF4"/>
    <w:rsid w:val="0057320F"/>
    <w:rsid w:val="005738E6"/>
    <w:rsid w:val="005B27C3"/>
    <w:rsid w:val="005F5196"/>
    <w:rsid w:val="0061265B"/>
    <w:rsid w:val="00657381"/>
    <w:rsid w:val="0066181A"/>
    <w:rsid w:val="00685832"/>
    <w:rsid w:val="00690EFE"/>
    <w:rsid w:val="006A3E21"/>
    <w:rsid w:val="006B0B70"/>
    <w:rsid w:val="006F16E1"/>
    <w:rsid w:val="006F47C9"/>
    <w:rsid w:val="00757154"/>
    <w:rsid w:val="00775636"/>
    <w:rsid w:val="0078544C"/>
    <w:rsid w:val="007D4FA0"/>
    <w:rsid w:val="007F1FE8"/>
    <w:rsid w:val="008727C6"/>
    <w:rsid w:val="00893E9E"/>
    <w:rsid w:val="00894C1C"/>
    <w:rsid w:val="008C04F6"/>
    <w:rsid w:val="008D2CC2"/>
    <w:rsid w:val="008D69CE"/>
    <w:rsid w:val="008E2F8F"/>
    <w:rsid w:val="00931C01"/>
    <w:rsid w:val="00944A34"/>
    <w:rsid w:val="00952B2E"/>
    <w:rsid w:val="0095454E"/>
    <w:rsid w:val="009550FF"/>
    <w:rsid w:val="00983205"/>
    <w:rsid w:val="009A167B"/>
    <w:rsid w:val="009A3CDC"/>
    <w:rsid w:val="009B4698"/>
    <w:rsid w:val="00A11A67"/>
    <w:rsid w:val="00A56F75"/>
    <w:rsid w:val="00A651E5"/>
    <w:rsid w:val="00A67F09"/>
    <w:rsid w:val="00A97244"/>
    <w:rsid w:val="00AA3357"/>
    <w:rsid w:val="00AF1C96"/>
    <w:rsid w:val="00B003FD"/>
    <w:rsid w:val="00B21C29"/>
    <w:rsid w:val="00B27202"/>
    <w:rsid w:val="00B77D6B"/>
    <w:rsid w:val="00BC11CB"/>
    <w:rsid w:val="00BD6990"/>
    <w:rsid w:val="00C45FD6"/>
    <w:rsid w:val="00C70E1A"/>
    <w:rsid w:val="00CB713F"/>
    <w:rsid w:val="00CE4F8F"/>
    <w:rsid w:val="00CF77B6"/>
    <w:rsid w:val="00D0433F"/>
    <w:rsid w:val="00D07AB5"/>
    <w:rsid w:val="00D120FB"/>
    <w:rsid w:val="00D4061E"/>
    <w:rsid w:val="00D429A6"/>
    <w:rsid w:val="00D6345B"/>
    <w:rsid w:val="00D8506A"/>
    <w:rsid w:val="00DC17ED"/>
    <w:rsid w:val="00DE6E39"/>
    <w:rsid w:val="00DE78C1"/>
    <w:rsid w:val="00E025EB"/>
    <w:rsid w:val="00E02DD1"/>
    <w:rsid w:val="00E26D3E"/>
    <w:rsid w:val="00E35CE2"/>
    <w:rsid w:val="00E41CF4"/>
    <w:rsid w:val="00E63459"/>
    <w:rsid w:val="00E66CF1"/>
    <w:rsid w:val="00E75803"/>
    <w:rsid w:val="00E9449E"/>
    <w:rsid w:val="00F241BB"/>
    <w:rsid w:val="00F53755"/>
    <w:rsid w:val="00F823DD"/>
    <w:rsid w:val="00FA6D2D"/>
    <w:rsid w:val="00FF2D78"/>
    <w:rsid w:val="01055032"/>
    <w:rsid w:val="033E486E"/>
    <w:rsid w:val="03830824"/>
    <w:rsid w:val="048B5BE2"/>
    <w:rsid w:val="04AD3DAA"/>
    <w:rsid w:val="052573B2"/>
    <w:rsid w:val="05CD5D86"/>
    <w:rsid w:val="069C40D7"/>
    <w:rsid w:val="07121415"/>
    <w:rsid w:val="08045AC4"/>
    <w:rsid w:val="080F08D8"/>
    <w:rsid w:val="081615FF"/>
    <w:rsid w:val="087846CF"/>
    <w:rsid w:val="0891753F"/>
    <w:rsid w:val="08FF06A1"/>
    <w:rsid w:val="09B94F9F"/>
    <w:rsid w:val="0AD80A37"/>
    <w:rsid w:val="0B521208"/>
    <w:rsid w:val="0BDA11FD"/>
    <w:rsid w:val="0CBE0995"/>
    <w:rsid w:val="0D330BC5"/>
    <w:rsid w:val="0D3D1A44"/>
    <w:rsid w:val="0F0740B7"/>
    <w:rsid w:val="0FAF7A07"/>
    <w:rsid w:val="100827DD"/>
    <w:rsid w:val="10141182"/>
    <w:rsid w:val="102962AF"/>
    <w:rsid w:val="103435D2"/>
    <w:rsid w:val="106C2D6C"/>
    <w:rsid w:val="10B4026F"/>
    <w:rsid w:val="10EA0134"/>
    <w:rsid w:val="12EA7F78"/>
    <w:rsid w:val="12EB3CF0"/>
    <w:rsid w:val="13F310AE"/>
    <w:rsid w:val="154A629A"/>
    <w:rsid w:val="157E70AA"/>
    <w:rsid w:val="15A1784D"/>
    <w:rsid w:val="15A765F4"/>
    <w:rsid w:val="16534086"/>
    <w:rsid w:val="18875983"/>
    <w:rsid w:val="19597C05"/>
    <w:rsid w:val="1AE654C9"/>
    <w:rsid w:val="1CAB4C1C"/>
    <w:rsid w:val="1DAD78B8"/>
    <w:rsid w:val="1DB573D4"/>
    <w:rsid w:val="1DF75C3F"/>
    <w:rsid w:val="1E1D38F7"/>
    <w:rsid w:val="1EB25C75"/>
    <w:rsid w:val="1F27538E"/>
    <w:rsid w:val="1FCC144E"/>
    <w:rsid w:val="1FEF6BCD"/>
    <w:rsid w:val="21FC7E92"/>
    <w:rsid w:val="228201CD"/>
    <w:rsid w:val="22B81E40"/>
    <w:rsid w:val="245931AF"/>
    <w:rsid w:val="247B5F23"/>
    <w:rsid w:val="24C06D8A"/>
    <w:rsid w:val="26220BEA"/>
    <w:rsid w:val="266D3A19"/>
    <w:rsid w:val="26E84751"/>
    <w:rsid w:val="28520641"/>
    <w:rsid w:val="29472434"/>
    <w:rsid w:val="29D11A3A"/>
    <w:rsid w:val="2B776A8B"/>
    <w:rsid w:val="2B7B3E48"/>
    <w:rsid w:val="2BA87CB0"/>
    <w:rsid w:val="2BC5112A"/>
    <w:rsid w:val="2C212804"/>
    <w:rsid w:val="2C972AC7"/>
    <w:rsid w:val="2CA11882"/>
    <w:rsid w:val="2D58341B"/>
    <w:rsid w:val="2D875411"/>
    <w:rsid w:val="2DCA6ECC"/>
    <w:rsid w:val="2DFD1478"/>
    <w:rsid w:val="2E1E446E"/>
    <w:rsid w:val="2EC15BD9"/>
    <w:rsid w:val="2F4A64A5"/>
    <w:rsid w:val="30542A7D"/>
    <w:rsid w:val="30A6777C"/>
    <w:rsid w:val="315A40C3"/>
    <w:rsid w:val="32101599"/>
    <w:rsid w:val="321B05DD"/>
    <w:rsid w:val="32D61E6F"/>
    <w:rsid w:val="32DF2AD1"/>
    <w:rsid w:val="334F40FB"/>
    <w:rsid w:val="337C0FE3"/>
    <w:rsid w:val="33FB31FA"/>
    <w:rsid w:val="35187BC7"/>
    <w:rsid w:val="35AF70D3"/>
    <w:rsid w:val="360B5E16"/>
    <w:rsid w:val="36107446"/>
    <w:rsid w:val="36323860"/>
    <w:rsid w:val="382D4AFA"/>
    <w:rsid w:val="38433B03"/>
    <w:rsid w:val="38B30C88"/>
    <w:rsid w:val="38F51FA9"/>
    <w:rsid w:val="39687BC4"/>
    <w:rsid w:val="398E34A3"/>
    <w:rsid w:val="39CF775B"/>
    <w:rsid w:val="3A5B7B2E"/>
    <w:rsid w:val="3A7A4997"/>
    <w:rsid w:val="3AD60C5E"/>
    <w:rsid w:val="3ADD527F"/>
    <w:rsid w:val="3B313301"/>
    <w:rsid w:val="3B3F4A55"/>
    <w:rsid w:val="3C2C23F8"/>
    <w:rsid w:val="3D420661"/>
    <w:rsid w:val="3D7A7FC6"/>
    <w:rsid w:val="3DAE1A1E"/>
    <w:rsid w:val="3DEE6A01"/>
    <w:rsid w:val="3E5D51F2"/>
    <w:rsid w:val="3E9F69F0"/>
    <w:rsid w:val="3EAE10D8"/>
    <w:rsid w:val="3EF21DDE"/>
    <w:rsid w:val="3F295564"/>
    <w:rsid w:val="40041DC9"/>
    <w:rsid w:val="40A84E4B"/>
    <w:rsid w:val="40EA71B1"/>
    <w:rsid w:val="41766110"/>
    <w:rsid w:val="42085A83"/>
    <w:rsid w:val="4275547D"/>
    <w:rsid w:val="42FF2D1C"/>
    <w:rsid w:val="43C7680B"/>
    <w:rsid w:val="44006D4C"/>
    <w:rsid w:val="44915BF6"/>
    <w:rsid w:val="452171AB"/>
    <w:rsid w:val="45356EC9"/>
    <w:rsid w:val="45575091"/>
    <w:rsid w:val="458F0387"/>
    <w:rsid w:val="460C34F8"/>
    <w:rsid w:val="47744EFD"/>
    <w:rsid w:val="47D227AD"/>
    <w:rsid w:val="485B27A2"/>
    <w:rsid w:val="485C5EA7"/>
    <w:rsid w:val="4A600688"/>
    <w:rsid w:val="4AA85A47"/>
    <w:rsid w:val="4AD11442"/>
    <w:rsid w:val="4AF34F14"/>
    <w:rsid w:val="4B885FA4"/>
    <w:rsid w:val="4C1C493F"/>
    <w:rsid w:val="4CA3296A"/>
    <w:rsid w:val="4D0C6761"/>
    <w:rsid w:val="4D104DF5"/>
    <w:rsid w:val="4D297313"/>
    <w:rsid w:val="4D562A3C"/>
    <w:rsid w:val="4DF06083"/>
    <w:rsid w:val="4E035DB6"/>
    <w:rsid w:val="4F844CD5"/>
    <w:rsid w:val="50EC48E0"/>
    <w:rsid w:val="515941C5"/>
    <w:rsid w:val="520D0FB1"/>
    <w:rsid w:val="52DB2E5E"/>
    <w:rsid w:val="5350386E"/>
    <w:rsid w:val="53FD2283"/>
    <w:rsid w:val="54B17344"/>
    <w:rsid w:val="552D196B"/>
    <w:rsid w:val="5588094F"/>
    <w:rsid w:val="55CE6CAA"/>
    <w:rsid w:val="56521689"/>
    <w:rsid w:val="567315FF"/>
    <w:rsid w:val="56AB0D99"/>
    <w:rsid w:val="574216FD"/>
    <w:rsid w:val="57603931"/>
    <w:rsid w:val="57FA4A1E"/>
    <w:rsid w:val="58FF53CC"/>
    <w:rsid w:val="59615F2E"/>
    <w:rsid w:val="598002BB"/>
    <w:rsid w:val="598C4EB2"/>
    <w:rsid w:val="59E7033A"/>
    <w:rsid w:val="5A111FBE"/>
    <w:rsid w:val="5A753B98"/>
    <w:rsid w:val="5BD91F04"/>
    <w:rsid w:val="5C5A1297"/>
    <w:rsid w:val="5C9A78E6"/>
    <w:rsid w:val="5CAD7458"/>
    <w:rsid w:val="5E8425FB"/>
    <w:rsid w:val="5EB0693F"/>
    <w:rsid w:val="5FE1582B"/>
    <w:rsid w:val="6094289E"/>
    <w:rsid w:val="609F196E"/>
    <w:rsid w:val="60AE7E03"/>
    <w:rsid w:val="613F5308"/>
    <w:rsid w:val="61686EB1"/>
    <w:rsid w:val="61860438"/>
    <w:rsid w:val="61A4584A"/>
    <w:rsid w:val="61FA760E"/>
    <w:rsid w:val="62083543"/>
    <w:rsid w:val="62B86648"/>
    <w:rsid w:val="62D94C2E"/>
    <w:rsid w:val="63740850"/>
    <w:rsid w:val="642030B6"/>
    <w:rsid w:val="646802C9"/>
    <w:rsid w:val="65222B6E"/>
    <w:rsid w:val="6584751B"/>
    <w:rsid w:val="66517729"/>
    <w:rsid w:val="66B800C8"/>
    <w:rsid w:val="678F3DBF"/>
    <w:rsid w:val="68CB194B"/>
    <w:rsid w:val="68D75A1D"/>
    <w:rsid w:val="68EA6F44"/>
    <w:rsid w:val="69026F3E"/>
    <w:rsid w:val="6942733B"/>
    <w:rsid w:val="695D64DA"/>
    <w:rsid w:val="69C2047C"/>
    <w:rsid w:val="69C2222A"/>
    <w:rsid w:val="69FC1BE0"/>
    <w:rsid w:val="6B96396E"/>
    <w:rsid w:val="6BB67B6C"/>
    <w:rsid w:val="6C6770B8"/>
    <w:rsid w:val="6CB06CB1"/>
    <w:rsid w:val="6D34343E"/>
    <w:rsid w:val="6D716441"/>
    <w:rsid w:val="6D7B375A"/>
    <w:rsid w:val="6E6733A0"/>
    <w:rsid w:val="6FAA3E8C"/>
    <w:rsid w:val="6FE50A20"/>
    <w:rsid w:val="703425F4"/>
    <w:rsid w:val="715916C6"/>
    <w:rsid w:val="720D425E"/>
    <w:rsid w:val="726C367A"/>
    <w:rsid w:val="7327134F"/>
    <w:rsid w:val="73C552EB"/>
    <w:rsid w:val="74940C67"/>
    <w:rsid w:val="762F0E50"/>
    <w:rsid w:val="76726933"/>
    <w:rsid w:val="768862A0"/>
    <w:rsid w:val="77C17FC5"/>
    <w:rsid w:val="77CD73FD"/>
    <w:rsid w:val="77D34C6B"/>
    <w:rsid w:val="78AF2513"/>
    <w:rsid w:val="78F817C4"/>
    <w:rsid w:val="79707F8B"/>
    <w:rsid w:val="7A9E639B"/>
    <w:rsid w:val="7AA03EC1"/>
    <w:rsid w:val="7B1A0118"/>
    <w:rsid w:val="7BCB7664"/>
    <w:rsid w:val="7D52346D"/>
    <w:rsid w:val="7DB163E5"/>
    <w:rsid w:val="7DCE343B"/>
    <w:rsid w:val="7DE1316F"/>
    <w:rsid w:val="7E373709"/>
    <w:rsid w:val="7E6C0AB4"/>
    <w:rsid w:val="7F73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BA430A-3284-4EAE-ABF9-701A60AE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lin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qFormat/>
    <w:pPr>
      <w:numPr>
        <w:numId w:val="1"/>
      </w:numPr>
      <w:contextualSpacing/>
    </w:pPr>
  </w:style>
  <w:style w:type="paragraph" w:styleId="CommentText">
    <w:name w:val="annotation text"/>
    <w:basedOn w:val="Normal"/>
    <w:qFormat/>
    <w:pPr>
      <w:jc w:val="left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LineNumber">
    <w:name w:val="line number"/>
    <w:basedOn w:val="DefaultParagraphFont"/>
    <w:qFormat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customStyle="1" w:styleId="id-label">
    <w:name w:val="id-label"/>
    <w:basedOn w:val="DefaultParagraphFont"/>
    <w:qFormat/>
  </w:style>
  <w:style w:type="character" w:customStyle="1" w:styleId="identifier">
    <w:name w:val="identifier"/>
    <w:basedOn w:val="DefaultParagraphFont"/>
    <w:qFormat/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Heading3Char">
    <w:name w:val="Heading 3 Char"/>
    <w:basedOn w:val="DefaultParagraphFont"/>
    <w:link w:val="Heading3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qFormat/>
    <w:pPr>
      <w:jc w:val="center"/>
    </w:pPr>
    <w:rPr>
      <w:rFonts w:ascii="Arial" w:hAnsi="Arial" w:cs="Arial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Pr>
      <w:rFonts w:ascii="Arial" w:eastAsiaTheme="minorEastAsia" w:hAnsi="Arial" w:cs="Arial"/>
      <w:kern w:val="2"/>
      <w:szCs w:val="22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qFormat/>
    <w:rPr>
      <w:rFonts w:ascii="Arial" w:hAnsi="Arial" w:cs="Arial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qFormat/>
    <w:rPr>
      <w:rFonts w:ascii="Arial" w:eastAsiaTheme="minorEastAsia" w:hAnsi="Arial" w:cs="Arial"/>
      <w:kern w:val="2"/>
      <w:szCs w:val="22"/>
      <w14:ligatures w14:val="standardContextual"/>
    </w:rPr>
  </w:style>
  <w:style w:type="character" w:customStyle="1" w:styleId="Heading1Char">
    <w:name w:val="Heading 1 Char"/>
    <w:basedOn w:val="DefaultParagraphFont"/>
    <w:link w:val="Heading1"/>
    <w:qFormat/>
    <w:rPr>
      <w:rFonts w:asciiTheme="minorHAnsi" w:eastAsiaTheme="minorEastAsia" w:hAnsiTheme="minorHAnsi" w:cstheme="minorBidi"/>
      <w:b/>
      <w:bCs/>
      <w:kern w:val="44"/>
      <w:sz w:val="44"/>
      <w:szCs w:val="44"/>
      <w14:ligatures w14:val="standardContextual"/>
    </w:rPr>
  </w:style>
  <w:style w:type="character" w:customStyle="1" w:styleId="Heading2Char">
    <w:name w:val="Heading 2 Char"/>
    <w:basedOn w:val="DefaultParagraphFont"/>
    <w:link w:val="Heading2"/>
    <w:qFormat/>
    <w:rPr>
      <w:rFonts w:asciiTheme="majorHAnsi" w:eastAsiaTheme="majorEastAsia" w:hAnsiTheme="majorHAnsi" w:cstheme="majorBidi"/>
      <w:b/>
      <w:bCs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3FC9C-3078-422D-B6F6-2AB3AE2FE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1060</Words>
  <Characters>6263</Characters>
  <Application>Microsoft Office Word</Application>
  <DocSecurity>0</DocSecurity>
  <Lines>52</Lines>
  <Paragraphs>14</Paragraphs>
  <ScaleCrop>false</ScaleCrop>
  <Company>China</Company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 Liu</dc:creator>
  <cp:lastModifiedBy>Manojkumar  Marichamy</cp:lastModifiedBy>
  <cp:revision>18</cp:revision>
  <dcterms:created xsi:type="dcterms:W3CDTF">2025-10-01T07:08:00Z</dcterms:created>
  <dcterms:modified xsi:type="dcterms:W3CDTF">2026-03-18T05:04:00Z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eyJoZGlkIjoiZTNmZjA5ZGFjODk2YzEyZGVmZWFkOTFhYzUwZmNmMGEiLCJ1c2VySWQiOiIyMzI4Mjk4NDUifQ==</vt:lpwstr>
  </property>
  <property fmtid="{D5CDD505-2E9C-101B-9397-08002B2CF9AE}" pid="4" name="ICV">
    <vt:lpwstr>4898FD369E204DF591C7B9CB139FC57D_13</vt:lpwstr>
  </property>
</Properties>
</file>