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149652">
      <w:pPr>
        <w:jc w:val="center"/>
        <w:rPr>
          <w:rFonts w:ascii="Times New Roman" w:hAnsi="Times New Roman"/>
          <w:sz w:val="32"/>
          <w:szCs w:val="40"/>
        </w:rPr>
      </w:pPr>
      <w:r>
        <w:rPr>
          <w:rFonts w:ascii="Times New Roman" w:hAnsi="Times New Roman"/>
          <w:sz w:val="32"/>
          <w:szCs w:val="40"/>
        </w:rPr>
        <w:t>Supporting Information</w:t>
      </w:r>
    </w:p>
    <w:p w14:paraId="049651F4">
      <w:pPr>
        <w:spacing w:line="480" w:lineRule="auto"/>
        <w:jc w:val="center"/>
        <w:rPr>
          <w:rFonts w:ascii="Times New Roman" w:hAnsi="Times New Roman"/>
          <w:b/>
          <w:bCs/>
          <w:sz w:val="32"/>
          <w:szCs w:val="32"/>
        </w:rPr>
      </w:pPr>
      <w:r>
        <w:rPr>
          <w:rFonts w:hint="eastAsia" w:ascii="Times New Roman" w:hAnsi="Times New Roman"/>
          <w:b/>
          <w:bCs/>
          <w:sz w:val="32"/>
          <w:szCs w:val="32"/>
        </w:rPr>
        <w:t>NIR-II Photothermal-Amplified Triple Catalysis of a Spherical Mesoporous Iron Single-atom Nanozyme for Potentiating Ferroptosis-Based Tumor Therapy</w:t>
      </w:r>
    </w:p>
    <w:p w14:paraId="3435C1ED">
      <w:pPr>
        <w:spacing w:line="480" w:lineRule="auto"/>
        <w:jc w:val="left"/>
        <w:rPr>
          <w:rFonts w:ascii="Times New Roman" w:hAnsi="Times New Roman"/>
          <w:color w:val="000000"/>
          <w:sz w:val="24"/>
          <w:vertAlign w:val="superscript"/>
        </w:rPr>
      </w:pPr>
      <w:r>
        <w:rPr>
          <w:rFonts w:ascii="Times New Roman" w:hAnsi="Times New Roman"/>
          <w:color w:val="000000"/>
          <w:sz w:val="24"/>
        </w:rPr>
        <w:t>Jingting Li</w:t>
      </w:r>
      <w:r>
        <w:rPr>
          <w:rFonts w:ascii="Times New Roman" w:hAnsi="Times New Roman"/>
          <w:color w:val="000000"/>
          <w:sz w:val="24"/>
          <w:vertAlign w:val="superscript"/>
        </w:rPr>
        <w:t xml:space="preserve"> a</w:t>
      </w:r>
      <w:r>
        <w:rPr>
          <w:rFonts w:ascii="Times New Roman" w:hAnsi="Times New Roman"/>
          <w:color w:val="000000"/>
          <w:sz w:val="24"/>
        </w:rPr>
        <w:t>, Sihan Wang</w:t>
      </w:r>
      <w:r>
        <w:rPr>
          <w:rFonts w:ascii="Times New Roman" w:hAnsi="Times New Roman"/>
          <w:color w:val="000000"/>
          <w:sz w:val="24"/>
          <w:vertAlign w:val="superscript"/>
        </w:rPr>
        <w:t xml:space="preserve"> a</w:t>
      </w:r>
      <w:r>
        <w:rPr>
          <w:rFonts w:ascii="Times New Roman" w:hAnsi="Times New Roman"/>
          <w:color w:val="000000"/>
          <w:sz w:val="24"/>
        </w:rPr>
        <w:t>, Fan Yang</w:t>
      </w:r>
      <w:r>
        <w:rPr>
          <w:rFonts w:ascii="Times New Roman" w:hAnsi="Times New Roman"/>
          <w:color w:val="000000"/>
          <w:sz w:val="24"/>
          <w:vertAlign w:val="superscript"/>
        </w:rPr>
        <w:t xml:space="preserve"> a</w:t>
      </w:r>
      <w:r>
        <w:rPr>
          <w:rFonts w:ascii="Times New Roman" w:hAnsi="Times New Roman"/>
          <w:color w:val="000000"/>
          <w:sz w:val="24"/>
        </w:rPr>
        <w:t>, Yang Guo</w:t>
      </w:r>
      <w:r>
        <w:rPr>
          <w:rFonts w:ascii="Times New Roman" w:hAnsi="Times New Roman"/>
          <w:color w:val="000000"/>
          <w:sz w:val="24"/>
          <w:vertAlign w:val="superscript"/>
        </w:rPr>
        <w:t xml:space="preserve"> a</w:t>
      </w:r>
      <w:r>
        <w:rPr>
          <w:rFonts w:ascii="Times New Roman" w:hAnsi="Times New Roman"/>
          <w:color w:val="000000"/>
          <w:sz w:val="24"/>
        </w:rPr>
        <w:t>, Xinyu Gao</w:t>
      </w:r>
      <w:r>
        <w:rPr>
          <w:rFonts w:ascii="Times New Roman" w:hAnsi="Times New Roman"/>
          <w:color w:val="000000"/>
          <w:sz w:val="24"/>
          <w:vertAlign w:val="superscript"/>
        </w:rPr>
        <w:t xml:space="preserve"> a</w:t>
      </w:r>
      <w:r>
        <w:rPr>
          <w:rFonts w:ascii="Times New Roman" w:hAnsi="Times New Roman"/>
          <w:color w:val="000000"/>
          <w:sz w:val="24"/>
        </w:rPr>
        <w:t>, Mingyu Nie</w:t>
      </w:r>
      <w:r>
        <w:rPr>
          <w:rFonts w:ascii="Times New Roman" w:hAnsi="Times New Roman"/>
          <w:color w:val="000000"/>
          <w:sz w:val="24"/>
          <w:vertAlign w:val="superscript"/>
        </w:rPr>
        <w:t xml:space="preserve"> a</w:t>
      </w:r>
      <w:r>
        <w:rPr>
          <w:rFonts w:ascii="Times New Roman" w:hAnsi="Times New Roman"/>
          <w:color w:val="000000"/>
          <w:sz w:val="24"/>
        </w:rPr>
        <w:t>, Zihan Zhou</w:t>
      </w:r>
      <w:r>
        <w:rPr>
          <w:rFonts w:ascii="Times New Roman" w:hAnsi="Times New Roman"/>
          <w:color w:val="000000"/>
          <w:sz w:val="24"/>
          <w:vertAlign w:val="superscript"/>
        </w:rPr>
        <w:t xml:space="preserve"> a</w:t>
      </w:r>
      <w:r>
        <w:rPr>
          <w:rFonts w:ascii="Times New Roman" w:hAnsi="Times New Roman"/>
          <w:color w:val="000000"/>
          <w:sz w:val="24"/>
        </w:rPr>
        <w:t>, Hao Xin</w:t>
      </w:r>
      <w:r>
        <w:rPr>
          <w:rFonts w:ascii="Times New Roman" w:hAnsi="Times New Roman"/>
          <w:color w:val="000000"/>
          <w:sz w:val="24"/>
          <w:vertAlign w:val="superscript"/>
        </w:rPr>
        <w:t xml:space="preserve"> a</w:t>
      </w:r>
      <w:r>
        <w:rPr>
          <w:rFonts w:ascii="Times New Roman" w:hAnsi="Times New Roman"/>
          <w:color w:val="000000"/>
          <w:sz w:val="24"/>
        </w:rPr>
        <w:t>, Fei Song</w:t>
      </w:r>
      <w:r>
        <w:rPr>
          <w:rFonts w:ascii="Times New Roman" w:hAnsi="Times New Roman"/>
          <w:color w:val="000000"/>
          <w:sz w:val="24"/>
          <w:vertAlign w:val="superscript"/>
        </w:rPr>
        <w:t xml:space="preserve"> a</w:t>
      </w:r>
      <w:r>
        <w:rPr>
          <w:rFonts w:ascii="Times New Roman" w:hAnsi="Times New Roman"/>
          <w:color w:val="000000"/>
          <w:sz w:val="24"/>
        </w:rPr>
        <w:t>, Changsong Dai</w:t>
      </w:r>
      <w:r>
        <w:rPr>
          <w:rFonts w:ascii="Times New Roman" w:hAnsi="Times New Roman"/>
          <w:color w:val="000000"/>
          <w:sz w:val="24"/>
          <w:vertAlign w:val="superscript"/>
        </w:rPr>
        <w:t xml:space="preserve"> b</w:t>
      </w:r>
      <w:r>
        <w:rPr>
          <w:rFonts w:ascii="Times New Roman" w:hAnsi="Times New Roman"/>
          <w:color w:val="000000"/>
          <w:sz w:val="24"/>
        </w:rPr>
        <w:t>,</w:t>
      </w:r>
      <w:r>
        <w:rPr>
          <w:rFonts w:ascii="Times New Roman" w:hAnsi="Times New Roman"/>
          <w:color w:val="000000"/>
          <w:sz w:val="24"/>
          <w:vertAlign w:val="superscript"/>
        </w:rPr>
        <w:t xml:space="preserve"> </w:t>
      </w:r>
      <w:r>
        <w:rPr>
          <w:rFonts w:ascii="Times New Roman" w:hAnsi="Times New Roman"/>
          <w:color w:val="000000"/>
          <w:sz w:val="24"/>
        </w:rPr>
        <w:t>Zhaohui Wen</w:t>
      </w:r>
      <w:r>
        <w:rPr>
          <w:rFonts w:ascii="Times New Roman" w:hAnsi="Times New Roman"/>
          <w:color w:val="000000"/>
          <w:sz w:val="24"/>
          <w:vertAlign w:val="superscript"/>
        </w:rPr>
        <w:t xml:space="preserve"> a</w:t>
      </w:r>
      <w:r>
        <w:rPr>
          <w:rFonts w:ascii="Times New Roman" w:hAnsi="Times New Roman" w:eastAsia="Malgun Gothic"/>
          <w:color w:val="000000"/>
          <w:sz w:val="24"/>
          <w:vertAlign w:val="superscript"/>
        </w:rPr>
        <w:t>＊</w:t>
      </w:r>
    </w:p>
    <w:p w14:paraId="52066B9D">
      <w:pPr>
        <w:spacing w:line="480" w:lineRule="auto"/>
        <w:jc w:val="left"/>
        <w:rPr>
          <w:rFonts w:ascii="Times New Roman" w:hAnsi="Times New Roman"/>
          <w:i/>
          <w:iCs/>
          <w:color w:val="000000"/>
          <w:sz w:val="24"/>
        </w:rPr>
      </w:pPr>
      <w:r>
        <w:rPr>
          <w:rFonts w:ascii="Times New Roman" w:hAnsi="Times New Roman"/>
          <w:color w:val="000000"/>
          <w:sz w:val="24"/>
          <w:vertAlign w:val="superscript"/>
        </w:rPr>
        <w:t xml:space="preserve">a </w:t>
      </w:r>
      <w:r>
        <w:rPr>
          <w:rFonts w:ascii="Times New Roman" w:hAnsi="Times New Roman"/>
          <w:i/>
          <w:iCs/>
          <w:color w:val="000000"/>
          <w:sz w:val="24"/>
        </w:rPr>
        <w:t>Department of Neurology, Brain Ultrasound, The First Affiliated Hospital of Harbin Medical University, Harbin 150001, China.</w:t>
      </w:r>
    </w:p>
    <w:p w14:paraId="5B5B5288">
      <w:pPr>
        <w:spacing w:line="480" w:lineRule="auto"/>
        <w:jc w:val="left"/>
        <w:rPr>
          <w:rFonts w:ascii="Times New Roman" w:hAnsi="Times New Roman"/>
          <w:i/>
          <w:iCs/>
          <w:color w:val="000000"/>
          <w:sz w:val="24"/>
        </w:rPr>
      </w:pPr>
      <w:r>
        <w:rPr>
          <w:rFonts w:ascii="Times New Roman" w:hAnsi="Times New Roman"/>
          <w:color w:val="000000"/>
          <w:sz w:val="24"/>
          <w:vertAlign w:val="superscript"/>
        </w:rPr>
        <w:t xml:space="preserve">b </w:t>
      </w:r>
      <w:r>
        <w:rPr>
          <w:rFonts w:ascii="Times New Roman" w:hAnsi="Times New Roman"/>
          <w:i/>
          <w:iCs/>
          <w:color w:val="000000"/>
          <w:sz w:val="24"/>
        </w:rPr>
        <w:t>MIIT Key Laboratory of Critical Materials Technology for New Energy Conversion and Storage, School of Chemistry and Chemical Engineering, Harbin Institute of Technology, Harbin 150001, China.</w:t>
      </w:r>
    </w:p>
    <w:p w14:paraId="1B550FA6">
      <w:pPr>
        <w:spacing w:line="480" w:lineRule="auto"/>
        <w:rPr>
          <w:rFonts w:ascii="Times New Roman" w:hAnsi="Times New Roman"/>
          <w:color w:val="000000"/>
          <w:kern w:val="0"/>
          <w:sz w:val="24"/>
        </w:rPr>
      </w:pPr>
      <w:r>
        <w:rPr>
          <w:rFonts w:ascii="Times New Roman" w:hAnsi="Times New Roman" w:eastAsia="Malgun Gothic"/>
          <w:b/>
          <w:bCs/>
          <w:color w:val="000000"/>
          <w:sz w:val="24"/>
          <w:vertAlign w:val="superscript"/>
        </w:rPr>
        <w:t>＊</w:t>
      </w:r>
      <w:r>
        <w:rPr>
          <w:rFonts w:ascii="Times New Roman" w:hAnsi="Times New Roman"/>
          <w:color w:val="000000"/>
          <w:kern w:val="0"/>
          <w:sz w:val="24"/>
        </w:rPr>
        <w:t>Corresponding author: wenzhaohui1968@163.com (Z. Wen).</w:t>
      </w:r>
    </w:p>
    <w:p w14:paraId="12B3CAA4">
      <w:pPr>
        <w:spacing w:line="480" w:lineRule="auto"/>
        <w:rPr>
          <w:rFonts w:ascii="Times New Roman" w:hAnsi="Times New Roman"/>
          <w:color w:val="000000"/>
          <w:kern w:val="0"/>
          <w:sz w:val="24"/>
        </w:rPr>
      </w:pPr>
    </w:p>
    <w:p w14:paraId="5CA7A1AE">
      <w:pPr>
        <w:spacing w:line="480" w:lineRule="auto"/>
        <w:rPr>
          <w:rFonts w:ascii="Times New Roman" w:hAnsi="Times New Roman"/>
          <w:b/>
          <w:bCs/>
          <w:sz w:val="24"/>
        </w:rPr>
      </w:pPr>
      <w:r>
        <w:rPr>
          <w:rFonts w:hint="eastAsia" w:ascii="Times New Roman" w:hAnsi="Times New Roman"/>
          <w:b/>
          <w:bCs/>
          <w:sz w:val="24"/>
        </w:rPr>
        <w:t>Supplementary figures and tables</w:t>
      </w:r>
    </w:p>
    <w:p w14:paraId="414996CF">
      <w:pPr>
        <w:jc w:val="center"/>
      </w:pPr>
      <w:r>
        <w:pict>
          <v:shape id="_x0000_i1025" o:spt="75" type="#_x0000_t75" style="height:212.5pt;width:312pt;" filled="f" o:preferrelative="t" stroked="f" coordsize="21600,21600">
            <v:path/>
            <v:fill on="f" focussize="0,0"/>
            <v:stroke on="f" joinstyle="miter"/>
            <v:imagedata r:id="rId5" o:title=""/>
            <o:lock v:ext="edit" aspectratio="t"/>
            <w10:wrap type="none"/>
            <w10:anchorlock/>
          </v:shape>
        </w:pict>
      </w:r>
    </w:p>
    <w:p w14:paraId="64929013">
      <w:pPr>
        <w:spacing w:line="480" w:lineRule="auto"/>
        <w:rPr>
          <w:rFonts w:ascii="Times New Roman" w:hAnsi="Times New Roman"/>
          <w:sz w:val="24"/>
        </w:rPr>
      </w:pPr>
      <w:r>
        <w:rPr>
          <w:rFonts w:ascii="Times New Roman" w:hAnsi="Times New Roman"/>
          <w:b/>
          <w:bCs/>
          <w:sz w:val="24"/>
        </w:rPr>
        <w:t>Fig</w:t>
      </w:r>
      <w:r>
        <w:rPr>
          <w:rFonts w:hint="eastAsia" w:ascii="Times New Roman" w:hAnsi="Times New Roman"/>
          <w:b/>
          <w:bCs/>
          <w:sz w:val="24"/>
        </w:rPr>
        <w:t xml:space="preserve">. </w:t>
      </w:r>
      <w:r>
        <w:rPr>
          <w:rFonts w:ascii="Times New Roman" w:hAnsi="Times New Roman"/>
          <w:b/>
          <w:bCs/>
          <w:sz w:val="24"/>
        </w:rPr>
        <w:t>S1</w:t>
      </w:r>
      <w:r>
        <w:rPr>
          <w:rFonts w:ascii="Times New Roman" w:hAnsi="Times New Roman"/>
          <w:sz w:val="24"/>
        </w:rPr>
        <w:t>. SEM image of Fe</w:t>
      </w:r>
      <w:r>
        <w:rPr>
          <w:rFonts w:hint="eastAsia" w:ascii="Times New Roman" w:hAnsi="Times New Roman"/>
          <w:sz w:val="24"/>
        </w:rPr>
        <w:t>-SAzyme-TPP</w:t>
      </w:r>
      <w:r>
        <w:rPr>
          <w:rFonts w:ascii="Times New Roman" w:hAnsi="Times New Roman"/>
          <w:sz w:val="24"/>
        </w:rPr>
        <w:t>.</w:t>
      </w:r>
    </w:p>
    <w:p w14:paraId="65AE2428">
      <w:pPr>
        <w:jc w:val="center"/>
        <w:rPr>
          <w:rFonts w:ascii="Times New Roman" w:hAnsi="Times New Roman"/>
          <w:sz w:val="24"/>
        </w:rPr>
      </w:pPr>
      <w:r>
        <w:rPr>
          <w:rFonts w:ascii="Times New Roman" w:hAnsi="Times New Roman"/>
          <w:sz w:val="24"/>
        </w:rPr>
        <w:pict>
          <v:shape id="_x0000_i1026" o:spt="75" type="#_x0000_t75" style="height:207.5pt;width:311pt;" filled="f" o:preferrelative="t" stroked="f" coordsize="21600,21600">
            <v:path/>
            <v:fill on="f" focussize="0,0"/>
            <v:stroke on="f" joinstyle="miter"/>
            <v:imagedata r:id="rId6" o:title=""/>
            <o:lock v:ext="edit" aspectratio="t"/>
            <w10:wrap type="none"/>
            <w10:anchorlock/>
          </v:shape>
        </w:pict>
      </w:r>
    </w:p>
    <w:p w14:paraId="64AE0B04">
      <w:pPr>
        <w:spacing w:line="480" w:lineRule="auto"/>
        <w:rPr>
          <w:rFonts w:ascii="Times New Roman" w:hAnsi="Times New Roman"/>
          <w:sz w:val="24"/>
        </w:rPr>
      </w:pPr>
      <w:r>
        <w:rPr>
          <w:rFonts w:ascii="Times New Roman" w:hAnsi="Times New Roman"/>
          <w:b/>
          <w:bCs/>
          <w:sz w:val="24"/>
        </w:rPr>
        <w:t>Fig. S2</w:t>
      </w:r>
      <w:r>
        <w:rPr>
          <w:rFonts w:ascii="Times New Roman" w:hAnsi="Times New Roman"/>
          <w:sz w:val="24"/>
        </w:rPr>
        <w:t>. TEM image of Fe</w:t>
      </w:r>
      <w:r>
        <w:rPr>
          <w:rFonts w:hint="eastAsia" w:ascii="Times New Roman" w:hAnsi="Times New Roman"/>
          <w:sz w:val="24"/>
        </w:rPr>
        <w:t>-SAzyme-TPP</w:t>
      </w:r>
    </w:p>
    <w:p w14:paraId="03E9754B">
      <w:r>
        <w:pict>
          <v:shape id="_x0000_i1027" o:spt="75" type="#_x0000_t75" style="height:213pt;width:477.5pt;" filled="f" o:preferrelative="t" stroked="f" coordsize="21600,21600">
            <v:path/>
            <v:fill on="f" focussize="0,0"/>
            <v:stroke on="f" joinstyle="miter"/>
            <v:imagedata r:id="rId7" cropleft="4234f" croptop="1582f" o:title=""/>
            <o:lock v:ext="edit" aspectratio="t"/>
            <w10:wrap type="none"/>
            <w10:anchorlock/>
          </v:shape>
        </w:pict>
      </w:r>
    </w:p>
    <w:p w14:paraId="2E4573BF">
      <w:pPr>
        <w:widowControl/>
        <w:rPr>
          <w:rFonts w:ascii="Times New Roman" w:hAnsi="Times New Roman"/>
          <w:sz w:val="24"/>
        </w:rPr>
      </w:pPr>
      <w:r>
        <w:rPr>
          <w:rFonts w:ascii="Times New Roman" w:hAnsi="Times New Roman"/>
          <w:b/>
          <w:bCs/>
          <w:sz w:val="24"/>
        </w:rPr>
        <w:t>Fig. S3</w:t>
      </w:r>
      <w:r>
        <w:rPr>
          <w:rFonts w:ascii="Times New Roman" w:hAnsi="Times New Roman"/>
          <w:sz w:val="24"/>
        </w:rPr>
        <w:t>.</w:t>
      </w:r>
      <w:r>
        <w:rPr>
          <w:rFonts w:hint="eastAsia" w:ascii="Times New Roman" w:hAnsi="Times New Roman"/>
          <w:sz w:val="24"/>
        </w:rPr>
        <w:t xml:space="preserve"> </w:t>
      </w:r>
      <w:r>
        <w:rPr>
          <w:rFonts w:ascii="Times New Roman" w:hAnsi="Times New Roman"/>
          <w:sz w:val="24"/>
        </w:rPr>
        <w:t>Survey</w:t>
      </w:r>
      <w:r>
        <w:rPr>
          <w:rFonts w:hint="eastAsia" w:ascii="Times New Roman" w:hAnsi="Times New Roman"/>
          <w:sz w:val="24"/>
        </w:rPr>
        <w:t xml:space="preserve"> </w:t>
      </w:r>
      <w:r>
        <w:rPr>
          <w:rFonts w:ascii="Times New Roman" w:hAnsi="Times New Roman"/>
          <w:sz w:val="24"/>
        </w:rPr>
        <w:t xml:space="preserve">XPS spectra </w:t>
      </w:r>
      <w:r>
        <w:rPr>
          <w:rFonts w:hint="eastAsia" w:ascii="Times New Roman" w:hAnsi="Times New Roman"/>
          <w:sz w:val="24"/>
        </w:rPr>
        <w:t>of</w:t>
      </w:r>
      <w:r>
        <w:rPr>
          <w:rFonts w:ascii="Times New Roman" w:hAnsi="Times New Roman"/>
          <w:sz w:val="24"/>
        </w:rPr>
        <w:t xml:space="preserve"> (</w:t>
      </w:r>
      <w:r>
        <w:rPr>
          <w:rFonts w:hint="eastAsia" w:ascii="Times New Roman" w:hAnsi="Times New Roman"/>
          <w:sz w:val="24"/>
        </w:rPr>
        <w:t>a</w:t>
      </w:r>
      <w:r>
        <w:rPr>
          <w:rFonts w:ascii="Times New Roman" w:hAnsi="Times New Roman"/>
          <w:sz w:val="24"/>
        </w:rPr>
        <w:t>) Fe-S</w:t>
      </w:r>
      <w:r>
        <w:rPr>
          <w:rFonts w:hint="eastAsia" w:ascii="Times New Roman" w:hAnsi="Times New Roman"/>
          <w:sz w:val="24"/>
        </w:rPr>
        <w:t>A</w:t>
      </w:r>
      <w:r>
        <w:rPr>
          <w:rFonts w:ascii="Times New Roman" w:hAnsi="Times New Roman"/>
          <w:sz w:val="24"/>
        </w:rPr>
        <w:t>zyme</w:t>
      </w:r>
      <w:r>
        <w:rPr>
          <w:rFonts w:hint="eastAsia" w:ascii="Times New Roman" w:hAnsi="Times New Roman"/>
          <w:sz w:val="24"/>
        </w:rPr>
        <w:t xml:space="preserve"> </w:t>
      </w:r>
      <w:r>
        <w:rPr>
          <w:rFonts w:ascii="Times New Roman" w:hAnsi="Times New Roman"/>
          <w:sz w:val="24"/>
        </w:rPr>
        <w:t>and (</w:t>
      </w:r>
      <w:r>
        <w:rPr>
          <w:rFonts w:hint="eastAsia" w:ascii="Times New Roman" w:hAnsi="Times New Roman"/>
          <w:sz w:val="24"/>
        </w:rPr>
        <w:t>b</w:t>
      </w:r>
      <w:r>
        <w:rPr>
          <w:rFonts w:ascii="Times New Roman" w:hAnsi="Times New Roman"/>
          <w:sz w:val="24"/>
        </w:rPr>
        <w:t>)</w:t>
      </w:r>
      <w:r>
        <w:rPr>
          <w:rFonts w:hint="eastAsia" w:ascii="Times New Roman" w:hAnsi="Times New Roman"/>
          <w:sz w:val="24"/>
        </w:rPr>
        <w:t xml:space="preserve"> h</w:t>
      </w:r>
      <w:r>
        <w:rPr>
          <w:rFonts w:ascii="Times New Roman" w:hAnsi="Times New Roman"/>
          <w:sz w:val="24"/>
        </w:rPr>
        <w:t>igh-resolution</w:t>
      </w:r>
      <w:r>
        <w:rPr>
          <w:rFonts w:hint="eastAsia" w:ascii="Times New Roman" w:hAnsi="Times New Roman"/>
          <w:sz w:val="24"/>
        </w:rPr>
        <w:t xml:space="preserve"> Fe2p </w:t>
      </w:r>
      <w:r>
        <w:rPr>
          <w:rFonts w:ascii="Times New Roman" w:hAnsi="Times New Roman"/>
          <w:sz w:val="24"/>
        </w:rPr>
        <w:t>spectra of</w:t>
      </w:r>
      <w:r>
        <w:rPr>
          <w:rFonts w:hint="eastAsia" w:ascii="Times New Roman" w:hAnsi="Times New Roman"/>
          <w:sz w:val="24"/>
        </w:rPr>
        <w:t xml:space="preserve"> </w:t>
      </w:r>
      <w:r>
        <w:rPr>
          <w:rFonts w:ascii="Times New Roman" w:hAnsi="Times New Roman"/>
          <w:sz w:val="24"/>
        </w:rPr>
        <w:t>Fe-S</w:t>
      </w:r>
      <w:r>
        <w:rPr>
          <w:rFonts w:hint="eastAsia" w:ascii="Times New Roman" w:hAnsi="Times New Roman"/>
          <w:sz w:val="24"/>
        </w:rPr>
        <w:t>A</w:t>
      </w:r>
      <w:r>
        <w:rPr>
          <w:rFonts w:ascii="Times New Roman" w:hAnsi="Times New Roman"/>
          <w:sz w:val="24"/>
        </w:rPr>
        <w:t>zyme.</w:t>
      </w:r>
    </w:p>
    <w:p w14:paraId="39763463">
      <w:pPr>
        <w:widowControl/>
        <w:spacing w:line="480" w:lineRule="auto"/>
        <w:jc w:val="center"/>
      </w:pPr>
      <w:r>
        <w:pict>
          <v:shape id="_x0000_i1028" o:spt="75" type="#_x0000_t75" style="height:589.5pt;width:423pt;" filled="f" o:preferrelative="t" stroked="f" coordsize="21600,21600">
            <v:path/>
            <v:fill on="f" focussize="0,0"/>
            <v:stroke on="f" joinstyle="miter"/>
            <v:imagedata r:id="rId8" cropleft="9617f" croptop="1387f" o:title=""/>
            <o:lock v:ext="edit" aspectratio="t"/>
            <w10:wrap type="none"/>
            <w10:anchorlock/>
          </v:shape>
        </w:pict>
      </w:r>
    </w:p>
    <w:p w14:paraId="06C4972E">
      <w:pPr>
        <w:pStyle w:val="4"/>
        <w:widowControl/>
        <w:jc w:val="both"/>
        <w:rPr>
          <w:rFonts w:hint="eastAsia" w:ascii="Times New Roman" w:hAnsi="Times New Roman"/>
          <w:lang w:val="de-DE"/>
        </w:rPr>
      </w:pPr>
      <w:r>
        <w:rPr>
          <w:rFonts w:ascii="Times New Roman" w:hAnsi="Times New Roman"/>
          <w:b/>
          <w:bCs/>
        </w:rPr>
        <w:t>Fig. S4.</w:t>
      </w:r>
      <w:r>
        <w:rPr>
          <w:rFonts w:hint="eastAsia" w:ascii="Times New Roman" w:hAnsi="Times New Roman"/>
        </w:rPr>
        <w:t xml:space="preserve"> </w:t>
      </w:r>
      <w:r>
        <w:rPr>
          <w:rFonts w:ascii="Times New Roman" w:hAnsi="Times New Roman"/>
          <w:kern w:val="2"/>
        </w:rPr>
        <w:t xml:space="preserve">Stability </w:t>
      </w:r>
      <w:r>
        <w:rPr>
          <w:rFonts w:hint="eastAsia" w:ascii="Times New Roman" w:hAnsi="Times New Roman"/>
          <w:kern w:val="2"/>
        </w:rPr>
        <w:t>a</w:t>
      </w:r>
      <w:r>
        <w:rPr>
          <w:rFonts w:ascii="Times New Roman" w:hAnsi="Times New Roman"/>
          <w:kern w:val="2"/>
        </w:rPr>
        <w:t>nalysis of Fe-SAzyme and Fe-SAzyme-TPP</w:t>
      </w:r>
      <w:r>
        <w:rPr>
          <w:rFonts w:hint="eastAsia" w:ascii="Times New Roman" w:hAnsi="Times New Roman"/>
          <w:kern w:val="2"/>
        </w:rPr>
        <w:t xml:space="preserve">. </w:t>
      </w:r>
      <w:r>
        <w:rPr>
          <w:rFonts w:ascii="Times New Roman" w:hAnsi="Times New Roman"/>
        </w:rPr>
        <w:t>(</w:t>
      </w:r>
      <w:r>
        <w:rPr>
          <w:rFonts w:hint="eastAsia" w:ascii="Times New Roman" w:hAnsi="Times New Roman"/>
        </w:rPr>
        <w:t>a</w:t>
      </w:r>
      <w:r>
        <w:rPr>
          <w:rFonts w:ascii="Times New Roman" w:hAnsi="Times New Roman"/>
        </w:rPr>
        <w:t>)</w:t>
      </w:r>
      <w:r>
        <w:rPr>
          <w:rFonts w:hint="eastAsia" w:ascii="Times New Roman" w:hAnsi="Times New Roman"/>
        </w:rPr>
        <w:t xml:space="preserve"> </w:t>
      </w:r>
      <w:r>
        <w:rPr>
          <w:rFonts w:ascii="Times New Roman" w:hAnsi="Times New Roman"/>
        </w:rPr>
        <w:t>Stability of Fe-SAzyme and Fe-SAzyme-TPP in PBS and saline after a 24</w:t>
      </w:r>
      <w:r>
        <w:rPr>
          <w:rFonts w:hint="eastAsia" w:ascii="Times New Roman" w:hAnsi="Times New Roman"/>
        </w:rPr>
        <w:t xml:space="preserve"> </w:t>
      </w:r>
      <w:r>
        <w:rPr>
          <w:rFonts w:ascii="Times New Roman" w:hAnsi="Times New Roman"/>
        </w:rPr>
        <w:t>h incubation period.</w:t>
      </w:r>
      <w:r>
        <w:rPr>
          <w:rFonts w:hint="eastAsia" w:ascii="Times New Roman" w:hAnsi="Times New Roman"/>
        </w:rPr>
        <w:t xml:space="preserve"> </w:t>
      </w:r>
      <w:r>
        <w:rPr>
          <w:rFonts w:ascii="Times New Roman" w:hAnsi="Times New Roman"/>
        </w:rPr>
        <w:t>Photographs showing (from left to right): Fe-SAzyme in PBS, Fe-SAzyme in saline, Fe-SAzyme-TPP in PBS, and Fe-SAzyme-TPP in saline,</w:t>
      </w:r>
      <w:r>
        <w:rPr>
          <w:rFonts w:hint="eastAsia" w:ascii="Times New Roman" w:hAnsi="Times New Roman"/>
        </w:rPr>
        <w:t xml:space="preserve"> </w:t>
      </w:r>
      <w:r>
        <w:rPr>
          <w:rFonts w:ascii="Times New Roman" w:hAnsi="Times New Roman"/>
          <w:lang w:val="de-DE"/>
        </w:rPr>
        <w:t>(</w:t>
      </w:r>
      <w:r>
        <w:rPr>
          <w:rFonts w:hint="eastAsia" w:ascii="Times New Roman" w:hAnsi="Times New Roman"/>
          <w:lang w:val="de-DE"/>
        </w:rPr>
        <w:t>b</w:t>
      </w:r>
      <w:r>
        <w:rPr>
          <w:rFonts w:ascii="Times New Roman" w:hAnsi="Times New Roman"/>
          <w:lang w:val="de-DE"/>
        </w:rPr>
        <w:t>)</w:t>
      </w:r>
      <w:r>
        <w:rPr>
          <w:rFonts w:ascii="Times New Roman" w:hAnsi="Times New Roman"/>
        </w:rPr>
        <w:t xml:space="preserve"> Time-dependent changes in the hydrodynamic diameter and polydispersity index (PDI) of Fe-SAzyme-TPP in saline over 7 days</w:t>
      </w:r>
      <w:r>
        <w:rPr>
          <w:rFonts w:hint="eastAsia" w:ascii="Times New Roman" w:hAnsi="Times New Roman"/>
          <w:lang w:val="de-DE"/>
        </w:rPr>
        <w:t>.</w:t>
      </w:r>
    </w:p>
    <w:p w14:paraId="6852E694">
      <w:pPr>
        <w:pStyle w:val="4"/>
        <w:widowControl/>
        <w:jc w:val="both"/>
        <w:rPr>
          <w:rFonts w:ascii="Times New Roman" w:hAnsi="Times New Roman"/>
          <w:lang w:val="de-DE"/>
        </w:rPr>
      </w:pPr>
    </w:p>
    <w:p w14:paraId="4FFA394E">
      <w:pPr>
        <w:widowControl/>
        <w:spacing w:line="480" w:lineRule="auto"/>
        <w:jc w:val="center"/>
        <w:rPr>
          <w:rFonts w:ascii="Times New Roman" w:hAnsi="Times New Roman"/>
          <w:sz w:val="24"/>
          <w:lang w:val="de-DE"/>
        </w:rPr>
      </w:pPr>
      <w:r>
        <w:pict>
          <v:shape id="_x0000_i1029" o:spt="75" type="#_x0000_t75" style="height:266.5pt;width:348pt;" filled="f" o:preferrelative="t" stroked="f" coordsize="21600,21600">
            <v:path/>
            <v:fill on="f" focussize="0,0"/>
            <v:stroke on="f" joinstyle="miter"/>
            <v:imagedata r:id="rId9" o:title=""/>
            <o:lock v:ext="edit" aspectratio="t"/>
            <w10:wrap type="none"/>
            <w10:anchorlock/>
          </v:shape>
        </w:pict>
      </w:r>
    </w:p>
    <w:p w14:paraId="765E4CB1">
      <w:pPr>
        <w:widowControl/>
        <w:spacing w:line="480" w:lineRule="auto"/>
        <w:rPr>
          <w:rFonts w:ascii="Times New Roman" w:hAnsi="Times New Roman"/>
          <w:sz w:val="24"/>
        </w:rPr>
      </w:pPr>
      <w:r>
        <w:rPr>
          <w:rFonts w:ascii="Times New Roman" w:hAnsi="Times New Roman"/>
          <w:b/>
          <w:bCs/>
          <w:sz w:val="24"/>
        </w:rPr>
        <w:t>Fig. S</w:t>
      </w:r>
      <w:r>
        <w:rPr>
          <w:rFonts w:hint="eastAsia" w:ascii="Times New Roman" w:hAnsi="Times New Roman"/>
          <w:b/>
          <w:bCs/>
          <w:sz w:val="24"/>
        </w:rPr>
        <w:t>5</w:t>
      </w:r>
      <w:r>
        <w:rPr>
          <w:rFonts w:ascii="Times New Roman" w:hAnsi="Times New Roman"/>
          <w:b/>
          <w:bCs/>
          <w:sz w:val="24"/>
        </w:rPr>
        <w:t>.</w:t>
      </w:r>
      <w:r>
        <w:rPr>
          <w:rFonts w:hint="eastAsia" w:ascii="Times New Roman" w:hAnsi="Times New Roman"/>
          <w:b/>
          <w:bCs/>
          <w:sz w:val="24"/>
        </w:rPr>
        <w:t xml:space="preserve"> </w:t>
      </w:r>
      <w:r>
        <w:rPr>
          <w:rFonts w:ascii="Times New Roman" w:hAnsi="Times New Roman"/>
          <w:sz w:val="24"/>
        </w:rPr>
        <w:t>FT-IR patterns of</w:t>
      </w:r>
      <w:r>
        <w:rPr>
          <w:rFonts w:hint="eastAsia" w:ascii="Times New Roman" w:hAnsi="Times New Roman"/>
          <w:sz w:val="24"/>
        </w:rPr>
        <w:t xml:space="preserve"> </w:t>
      </w:r>
      <w:r>
        <w:rPr>
          <w:rFonts w:ascii="Times New Roman" w:hAnsi="Times New Roman"/>
          <w:sz w:val="24"/>
        </w:rPr>
        <w:t>Fe-SAzyme</w:t>
      </w:r>
      <w:r>
        <w:rPr>
          <w:rFonts w:hint="eastAsia" w:ascii="Times New Roman" w:hAnsi="Times New Roman"/>
          <w:sz w:val="24"/>
        </w:rPr>
        <w:t>, TPP</w:t>
      </w:r>
      <w:r>
        <w:rPr>
          <w:rFonts w:ascii="Times New Roman" w:hAnsi="Times New Roman"/>
          <w:sz w:val="24"/>
        </w:rPr>
        <w:t>,</w:t>
      </w:r>
      <w:r>
        <w:rPr>
          <w:rFonts w:hint="eastAsia" w:ascii="Times New Roman" w:hAnsi="Times New Roman"/>
          <w:sz w:val="24"/>
        </w:rPr>
        <w:t xml:space="preserve"> and Fe-SAzyme-TPP.</w:t>
      </w:r>
    </w:p>
    <w:p w14:paraId="1AB127C0">
      <w:pPr>
        <w:widowControl/>
      </w:pPr>
    </w:p>
    <w:p w14:paraId="7800357C">
      <w:pPr>
        <w:widowControl/>
        <w:jc w:val="center"/>
        <w:rPr>
          <w:rFonts w:ascii="Times New Roman" w:hAnsi="Times New Roman"/>
          <w:sz w:val="24"/>
        </w:rPr>
      </w:pPr>
      <w:r>
        <w:pict>
          <v:shape id="_x0000_i1030" o:spt="75" type="#_x0000_t75" style="height:267pt;width:348pt;" filled="f" o:preferrelative="t" stroked="f" coordsize="21600,21600">
            <v:path/>
            <v:fill on="f" focussize="0,0"/>
            <v:stroke on="f" joinstyle="miter"/>
            <v:imagedata r:id="rId10" o:title=""/>
            <o:lock v:ext="edit" aspectratio="t"/>
            <w10:wrap type="none"/>
            <w10:anchorlock/>
          </v:shape>
        </w:pict>
      </w:r>
    </w:p>
    <w:p w14:paraId="194EB78F">
      <w:pPr>
        <w:widowControl/>
        <w:rPr>
          <w:rFonts w:ascii="Times New Roman" w:hAnsi="Times New Roman"/>
          <w:sz w:val="24"/>
        </w:rPr>
      </w:pPr>
      <w:r>
        <w:rPr>
          <w:rFonts w:ascii="Times New Roman" w:hAnsi="Times New Roman"/>
          <w:b/>
          <w:bCs/>
          <w:sz w:val="24"/>
        </w:rPr>
        <w:t>Fig. S</w:t>
      </w:r>
      <w:r>
        <w:rPr>
          <w:rFonts w:hint="eastAsia" w:ascii="Times New Roman" w:hAnsi="Times New Roman"/>
          <w:b/>
          <w:bCs/>
          <w:sz w:val="24"/>
        </w:rPr>
        <w:t>6.</w:t>
      </w:r>
      <w:r>
        <w:rPr>
          <w:rFonts w:hint="eastAsia" w:ascii="Times New Roman" w:hAnsi="Times New Roman"/>
          <w:sz w:val="24"/>
        </w:rPr>
        <w:t xml:space="preserve"> Zeta potential of Fe-SAzyme, </w:t>
      </w:r>
      <w:r>
        <w:rPr>
          <w:rFonts w:ascii="Times New Roman" w:hAnsi="Times New Roman"/>
          <w:sz w:val="24"/>
        </w:rPr>
        <w:t>Fe-SAzyme</w:t>
      </w:r>
      <w:r>
        <w:rPr>
          <w:rFonts w:hint="eastAsia" w:ascii="Times New Roman" w:hAnsi="Times New Roman"/>
          <w:sz w:val="24"/>
        </w:rPr>
        <w:t>-PEG</w:t>
      </w:r>
      <w:r>
        <w:rPr>
          <w:rFonts w:ascii="Times New Roman" w:hAnsi="Times New Roman"/>
          <w:sz w:val="24"/>
        </w:rPr>
        <w:t>,</w:t>
      </w:r>
      <w:r>
        <w:rPr>
          <w:rFonts w:hint="eastAsia" w:ascii="Times New Roman" w:hAnsi="Times New Roman"/>
          <w:sz w:val="24"/>
        </w:rPr>
        <w:t xml:space="preserve"> and Fe-SAzyme-TPP.</w:t>
      </w:r>
    </w:p>
    <w:p w14:paraId="7BE4B55F">
      <w:pPr>
        <w:widowControl/>
        <w:spacing w:line="480" w:lineRule="auto"/>
        <w:jc w:val="center"/>
        <w:rPr>
          <w:rFonts w:ascii="Times New Roman" w:hAnsi="Times New Roman"/>
          <w:b/>
          <w:bCs/>
          <w:sz w:val="24"/>
        </w:rPr>
      </w:pPr>
    </w:p>
    <w:p w14:paraId="77C42835">
      <w:pPr>
        <w:widowControl/>
        <w:spacing w:line="480" w:lineRule="auto"/>
        <w:jc w:val="center"/>
        <w:rPr>
          <w:rFonts w:ascii="Times New Roman" w:hAnsi="Times New Roman"/>
          <w:b/>
          <w:bCs/>
          <w:sz w:val="24"/>
        </w:rPr>
      </w:pPr>
      <w:r>
        <w:pict>
          <v:shape id="_x0000_i1031" o:spt="75" type="#_x0000_t75" style="height:266.5pt;width:348pt;" filled="f" o:preferrelative="t" stroked="f" coordsize="21600,21600">
            <v:path/>
            <v:fill on="f" focussize="0,0"/>
            <v:stroke on="f" joinstyle="miter"/>
            <v:imagedata r:id="rId11" o:title=""/>
            <o:lock v:ext="edit" aspectratio="t"/>
            <w10:wrap type="none"/>
            <w10:anchorlock/>
          </v:shape>
        </w:pict>
      </w:r>
    </w:p>
    <w:p w14:paraId="100F0835">
      <w:pPr>
        <w:widowControl/>
        <w:rPr>
          <w:rFonts w:ascii="Times New Roman" w:hAnsi="Times New Roman"/>
          <w:sz w:val="24"/>
        </w:rPr>
      </w:pPr>
      <w:r>
        <w:rPr>
          <w:rFonts w:ascii="Times New Roman" w:hAnsi="Times New Roman"/>
          <w:b/>
          <w:bCs/>
          <w:sz w:val="24"/>
        </w:rPr>
        <w:t>Fig</w:t>
      </w:r>
      <w:r>
        <w:rPr>
          <w:rFonts w:hint="eastAsia" w:ascii="Times New Roman" w:hAnsi="Times New Roman"/>
          <w:b/>
          <w:bCs/>
          <w:sz w:val="24"/>
        </w:rPr>
        <w:t xml:space="preserve">. </w:t>
      </w:r>
      <w:r>
        <w:rPr>
          <w:rFonts w:ascii="Times New Roman" w:hAnsi="Times New Roman"/>
          <w:b/>
          <w:bCs/>
          <w:sz w:val="24"/>
        </w:rPr>
        <w:t>S</w:t>
      </w:r>
      <w:r>
        <w:rPr>
          <w:rFonts w:hint="eastAsia" w:ascii="Times New Roman" w:hAnsi="Times New Roman"/>
          <w:b/>
          <w:bCs/>
          <w:sz w:val="24"/>
        </w:rPr>
        <w:t>7.</w:t>
      </w:r>
      <w:r>
        <w:rPr>
          <w:rFonts w:hint="eastAsia" w:ascii="Times New Roman" w:hAnsi="Times New Roman"/>
          <w:sz w:val="24"/>
        </w:rPr>
        <w:t xml:space="preserve"> Thermogravimetric analysis of Fe-SAzyme-TPP.</w:t>
      </w:r>
    </w:p>
    <w:p w14:paraId="2BBA9520">
      <w:pPr>
        <w:widowControl/>
        <w:spacing w:line="480" w:lineRule="auto"/>
        <w:jc w:val="center"/>
      </w:pPr>
      <w:r>
        <w:pict>
          <v:shape id="_x0000_i1032" o:spt="75" type="#_x0000_t75" style="height:266.5pt;width:348pt;" filled="f" o:preferrelative="t" stroked="f" coordsize="21600,21600">
            <v:path/>
            <v:fill on="f" focussize="0,0"/>
            <v:stroke on="f" joinstyle="miter"/>
            <v:imagedata r:id="rId12" o:title=""/>
            <o:lock v:ext="edit" aspectratio="t"/>
            <w10:wrap type="none"/>
            <w10:anchorlock/>
          </v:shape>
        </w:pict>
      </w:r>
    </w:p>
    <w:p w14:paraId="2FF7A51F">
      <w:pPr>
        <w:rPr>
          <w:rFonts w:ascii="Times New Roman" w:hAnsi="Times New Roman"/>
          <w:b/>
          <w:bCs/>
          <w:color w:val="000000"/>
          <w:sz w:val="24"/>
          <w:lang w:val="de-DE"/>
        </w:rPr>
      </w:pPr>
      <w:r>
        <w:rPr>
          <w:rFonts w:ascii="Times New Roman" w:hAnsi="Times New Roman"/>
          <w:b/>
          <w:bCs/>
          <w:sz w:val="24"/>
        </w:rPr>
        <w:t>Fig. S</w:t>
      </w:r>
      <w:r>
        <w:rPr>
          <w:rFonts w:hint="eastAsia" w:ascii="Times New Roman" w:hAnsi="Times New Roman"/>
          <w:b/>
          <w:bCs/>
          <w:sz w:val="24"/>
        </w:rPr>
        <w:t xml:space="preserve">8. </w:t>
      </w:r>
      <w:r>
        <w:rPr>
          <w:rFonts w:ascii="Times New Roman" w:hAnsi="Times New Roman" w:eastAsia="ScalaSansLF-Regular"/>
          <w:color w:val="000000"/>
          <w:kern w:val="0"/>
          <w:sz w:val="24"/>
        </w:rPr>
        <w:t xml:space="preserve">Temperature </w:t>
      </w:r>
      <w:r>
        <w:rPr>
          <w:rFonts w:hint="eastAsia" w:ascii="Times New Roman" w:hAnsi="Times New Roman" w:eastAsia="ScalaSansLF-Regular"/>
          <w:color w:val="000000"/>
          <w:kern w:val="0"/>
          <w:sz w:val="24"/>
        </w:rPr>
        <w:t xml:space="preserve">changes </w:t>
      </w:r>
      <w:r>
        <w:rPr>
          <w:rFonts w:ascii="Times New Roman" w:hAnsi="Times New Roman" w:eastAsia="ScalaSansLF-Regular"/>
          <w:color w:val="000000"/>
          <w:kern w:val="0"/>
          <w:sz w:val="24"/>
        </w:rPr>
        <w:t xml:space="preserve">of </w:t>
      </w:r>
      <w:r>
        <w:rPr>
          <w:rFonts w:ascii="Times New Roman" w:hAnsi="Times New Roman"/>
          <w:color w:val="000000"/>
          <w:kern w:val="0"/>
          <w:sz w:val="24"/>
        </w:rPr>
        <w:t xml:space="preserve">the </w:t>
      </w:r>
      <w:r>
        <w:rPr>
          <w:rFonts w:hint="eastAsia" w:ascii="Times New Roman" w:hAnsi="Times New Roman"/>
          <w:sz w:val="24"/>
        </w:rPr>
        <w:t>Fe-SAzyme aqueous solutions</w:t>
      </w:r>
      <w:r>
        <w:rPr>
          <w:rFonts w:ascii="Times New Roman" w:hAnsi="Times New Roman" w:eastAsia="ScalaSansLF-Regular"/>
          <w:color w:val="000000"/>
          <w:kern w:val="0"/>
          <w:sz w:val="24"/>
        </w:rPr>
        <w:t xml:space="preserve"> at different laser power densities</w:t>
      </w:r>
      <w:r>
        <w:rPr>
          <w:rFonts w:hint="eastAsia" w:ascii="Times New Roman" w:hAnsi="Times New Roman" w:eastAsia="ScalaSansLF-Regular"/>
          <w:color w:val="000000"/>
          <w:kern w:val="0"/>
          <w:sz w:val="24"/>
        </w:rPr>
        <w:t xml:space="preserve"> (1064 nm)</w:t>
      </w:r>
      <w:r>
        <w:rPr>
          <w:rFonts w:ascii="Times New Roman" w:hAnsi="Times New Roman" w:eastAsia="ScalaSansLF-Regular"/>
          <w:color w:val="000000"/>
          <w:kern w:val="0"/>
          <w:sz w:val="24"/>
        </w:rPr>
        <w:t>.</w:t>
      </w:r>
    </w:p>
    <w:p w14:paraId="4A866E74">
      <w:pPr>
        <w:widowControl/>
        <w:spacing w:line="480" w:lineRule="auto"/>
        <w:jc w:val="center"/>
        <w:rPr>
          <w:rFonts w:hint="eastAsia" w:ascii="Times New Roman" w:hAnsi="Times New Roman" w:eastAsia="宋体"/>
          <w:b/>
          <w:bCs/>
          <w:sz w:val="24"/>
          <w:lang w:eastAsia="zh-CN"/>
        </w:rPr>
      </w:pPr>
      <w:r>
        <w:rPr>
          <w:rFonts w:hint="eastAsia" w:ascii="Times New Roman" w:hAnsi="Times New Roman" w:eastAsia="宋体"/>
          <w:b/>
          <w:bCs/>
          <w:sz w:val="24"/>
          <w:lang w:eastAsia="zh-CN"/>
        </w:rPr>
        <w:pict>
          <v:shape id="_x0000_i1055" o:spt="75" alt="不同浓度" type="#_x0000_t75" style="height:266.45pt;width:348.2pt;" filled="f" o:preferrelative="t" stroked="f" coordsize="21600,21600">
            <v:path/>
            <v:fill on="f" focussize="0,0"/>
            <v:stroke on="f"/>
            <v:imagedata r:id="rId13" o:title="不同浓度"/>
            <o:lock v:ext="edit" aspectratio="t"/>
            <w10:wrap type="none"/>
            <w10:anchorlock/>
          </v:shape>
        </w:pict>
      </w:r>
    </w:p>
    <w:p w14:paraId="224829F7">
      <w:pPr>
        <w:widowControl/>
        <w:rPr>
          <w:rFonts w:ascii="Times New Roman" w:hAnsi="Times New Roman"/>
          <w:sz w:val="24"/>
        </w:rPr>
      </w:pPr>
      <w:r>
        <w:rPr>
          <w:rFonts w:ascii="Times New Roman" w:hAnsi="Times New Roman"/>
          <w:b/>
          <w:bCs/>
          <w:sz w:val="24"/>
        </w:rPr>
        <w:t>Fig. S</w:t>
      </w:r>
      <w:r>
        <w:rPr>
          <w:rFonts w:hint="eastAsia" w:ascii="Times New Roman" w:hAnsi="Times New Roman"/>
          <w:b/>
          <w:bCs/>
          <w:sz w:val="24"/>
        </w:rPr>
        <w:t xml:space="preserve">9. </w:t>
      </w:r>
      <w:r>
        <w:rPr>
          <w:rFonts w:ascii="Times New Roman" w:hAnsi="Times New Roman" w:eastAsia="ScalaSansLF-Regular"/>
          <w:color w:val="000000"/>
          <w:kern w:val="0"/>
          <w:sz w:val="24"/>
        </w:rPr>
        <w:t>Temperature</w:t>
      </w:r>
      <w:r>
        <w:rPr>
          <w:rFonts w:hint="eastAsia" w:ascii="Times New Roman" w:hAnsi="Times New Roman" w:eastAsia="ScalaSansLF-Regular"/>
          <w:color w:val="000000"/>
          <w:kern w:val="0"/>
          <w:sz w:val="24"/>
        </w:rPr>
        <w:t xml:space="preserve"> changes</w:t>
      </w:r>
      <w:r>
        <w:rPr>
          <w:rFonts w:ascii="Times New Roman" w:hAnsi="Times New Roman" w:eastAsia="ScalaSansLF-Regular"/>
          <w:color w:val="000000"/>
          <w:kern w:val="0"/>
          <w:sz w:val="24"/>
        </w:rPr>
        <w:t xml:space="preserve"> of </w:t>
      </w:r>
      <w:r>
        <w:rPr>
          <w:rFonts w:ascii="Times New Roman" w:hAnsi="Times New Roman"/>
          <w:color w:val="000000"/>
          <w:kern w:val="0"/>
          <w:sz w:val="24"/>
        </w:rPr>
        <w:t>Fe-SAzyme aqueous solutions at different concentrations after 5 min of irradiation (1064</w:t>
      </w:r>
      <w:r>
        <w:rPr>
          <w:rFonts w:hint="eastAsia" w:ascii="Times New Roman" w:hAnsi="Times New Roman"/>
          <w:color w:val="000000"/>
          <w:kern w:val="0"/>
          <w:sz w:val="24"/>
        </w:rPr>
        <w:t xml:space="preserve"> </w:t>
      </w:r>
      <w:r>
        <w:rPr>
          <w:rFonts w:ascii="Times New Roman" w:hAnsi="Times New Roman"/>
          <w:color w:val="000000"/>
          <w:kern w:val="0"/>
          <w:sz w:val="24"/>
        </w:rPr>
        <w:t>nm, 500</w:t>
      </w:r>
      <w:r>
        <w:rPr>
          <w:rFonts w:hint="eastAsia" w:ascii="Times New Roman" w:hAnsi="Times New Roman"/>
          <w:color w:val="000000"/>
          <w:kern w:val="0"/>
          <w:sz w:val="24"/>
        </w:rPr>
        <w:t xml:space="preserve"> </w:t>
      </w:r>
      <w:r>
        <w:rPr>
          <w:rFonts w:ascii="Times New Roman" w:hAnsi="Times New Roman"/>
          <w:color w:val="000000"/>
          <w:kern w:val="0"/>
          <w:sz w:val="24"/>
        </w:rPr>
        <w:t>mW/cm</w:t>
      </w:r>
      <w:r>
        <w:rPr>
          <w:rFonts w:hint="eastAsia" w:ascii="Times New Roman" w:hAnsi="Times New Roman"/>
          <w:color w:val="000000"/>
          <w:kern w:val="0"/>
          <w:sz w:val="24"/>
          <w:vertAlign w:val="superscript"/>
        </w:rPr>
        <w:t>2</w:t>
      </w:r>
      <w:r>
        <w:rPr>
          <w:rFonts w:hint="eastAsia" w:ascii="Times New Roman" w:hAnsi="Times New Roman"/>
          <w:sz w:val="24"/>
        </w:rPr>
        <w:t>).</w:t>
      </w:r>
    </w:p>
    <w:p w14:paraId="71B8FC50">
      <w:pPr>
        <w:widowControl/>
        <w:rPr>
          <w:rFonts w:ascii="Times New Roman" w:hAnsi="Times New Roman"/>
          <w:sz w:val="24"/>
        </w:rPr>
      </w:pPr>
    </w:p>
    <w:p w14:paraId="5B05F736">
      <w:pPr>
        <w:widowControl/>
        <w:jc w:val="center"/>
        <w:rPr>
          <w:rFonts w:ascii="Times New Roman" w:hAnsi="Times New Roman"/>
          <w:sz w:val="24"/>
        </w:rPr>
      </w:pPr>
      <w:r>
        <w:rPr>
          <w:rFonts w:ascii="Times New Roman" w:hAnsi="Times New Roman"/>
          <w:sz w:val="24"/>
        </w:rPr>
        <w:pict>
          <v:shape id="_x0000_i1034" o:spt="75" alt="MCHC" type="#_x0000_t75" style="height:266.5pt;width:348pt;" filled="f" o:preferrelative="t" stroked="f" coordsize="21600,21600">
            <v:path/>
            <v:fill on="f" focussize="0,0"/>
            <v:stroke on="f" joinstyle="miter"/>
            <v:imagedata r:id="rId14" o:title="MCHC"/>
            <o:lock v:ext="edit" aspectratio="t"/>
            <w10:wrap type="none"/>
            <w10:anchorlock/>
          </v:shape>
        </w:pict>
      </w:r>
    </w:p>
    <w:p w14:paraId="5A7B09F7">
      <w:pPr>
        <w:widowControl/>
        <w:rPr>
          <w:rFonts w:ascii="Times New Roman" w:hAnsi="Times New Roman"/>
          <w:sz w:val="24"/>
        </w:rPr>
      </w:pPr>
      <w:r>
        <w:rPr>
          <w:rFonts w:ascii="Times New Roman" w:hAnsi="Times New Roman"/>
          <w:b/>
          <w:bCs/>
          <w:sz w:val="24"/>
        </w:rPr>
        <w:t>Fig. S</w:t>
      </w:r>
      <w:r>
        <w:rPr>
          <w:rFonts w:hint="eastAsia" w:ascii="Times New Roman" w:hAnsi="Times New Roman"/>
          <w:b/>
          <w:bCs/>
          <w:sz w:val="24"/>
        </w:rPr>
        <w:t xml:space="preserve">10. </w:t>
      </w:r>
      <w:r>
        <w:rPr>
          <w:rFonts w:ascii="Times New Roman" w:hAnsi="Times New Roman" w:eastAsia="ScalaSansLF-Regular"/>
          <w:color w:val="000000"/>
          <w:kern w:val="0"/>
          <w:sz w:val="24"/>
        </w:rPr>
        <w:t>Temperature</w:t>
      </w:r>
      <w:r>
        <w:rPr>
          <w:rFonts w:hint="eastAsia" w:ascii="Times New Roman" w:hAnsi="Times New Roman" w:eastAsia="ScalaSansLF-Regular"/>
          <w:color w:val="000000"/>
          <w:kern w:val="0"/>
          <w:sz w:val="24"/>
        </w:rPr>
        <w:t xml:space="preserve"> changes</w:t>
      </w:r>
      <w:r>
        <w:rPr>
          <w:rFonts w:ascii="Times New Roman" w:hAnsi="Times New Roman" w:eastAsia="ScalaSansLF-Regular"/>
          <w:color w:val="000000"/>
          <w:kern w:val="0"/>
          <w:sz w:val="24"/>
        </w:rPr>
        <w:t xml:space="preserve"> of </w:t>
      </w:r>
      <w:r>
        <w:rPr>
          <w:rFonts w:hint="eastAsia" w:ascii="Times New Roman" w:hAnsi="Times New Roman" w:eastAsia="ScalaSansLF-Regular"/>
          <w:color w:val="000000"/>
          <w:kern w:val="0"/>
          <w:sz w:val="24"/>
        </w:rPr>
        <w:t xml:space="preserve">NC, </w:t>
      </w:r>
      <w:r>
        <w:rPr>
          <w:rFonts w:ascii="Times New Roman" w:hAnsi="Times New Roman"/>
          <w:color w:val="000000"/>
          <w:kern w:val="0"/>
          <w:sz w:val="24"/>
        </w:rPr>
        <w:t>Fe-SAzyme</w:t>
      </w:r>
      <w:r>
        <w:rPr>
          <w:rFonts w:hint="eastAsia" w:ascii="Times New Roman" w:hAnsi="Times New Roman"/>
          <w:color w:val="000000"/>
          <w:kern w:val="0"/>
          <w:sz w:val="24"/>
        </w:rPr>
        <w:t>, and Fe-SAzyme-TPP</w:t>
      </w:r>
      <w:r>
        <w:rPr>
          <w:rFonts w:ascii="Times New Roman" w:hAnsi="Times New Roman"/>
          <w:color w:val="000000"/>
          <w:kern w:val="0"/>
          <w:sz w:val="24"/>
        </w:rPr>
        <w:t xml:space="preserve"> aqueous solutions</w:t>
      </w:r>
      <w:r>
        <w:rPr>
          <w:rFonts w:hint="eastAsia" w:ascii="Times New Roman" w:hAnsi="Times New Roman"/>
          <w:color w:val="000000"/>
          <w:kern w:val="0"/>
          <w:sz w:val="24"/>
        </w:rPr>
        <w:t xml:space="preserve"> (1 mg/ml)</w:t>
      </w:r>
      <w:r>
        <w:rPr>
          <w:rFonts w:ascii="Times New Roman" w:hAnsi="Times New Roman"/>
          <w:color w:val="000000"/>
          <w:kern w:val="0"/>
          <w:sz w:val="24"/>
        </w:rPr>
        <w:t xml:space="preserve"> after 5 min of irradiation (1064</w:t>
      </w:r>
      <w:r>
        <w:rPr>
          <w:rFonts w:hint="eastAsia" w:ascii="Times New Roman" w:hAnsi="Times New Roman"/>
          <w:color w:val="000000"/>
          <w:kern w:val="0"/>
          <w:sz w:val="24"/>
        </w:rPr>
        <w:t xml:space="preserve"> </w:t>
      </w:r>
      <w:r>
        <w:rPr>
          <w:rFonts w:ascii="Times New Roman" w:hAnsi="Times New Roman"/>
          <w:color w:val="000000"/>
          <w:kern w:val="0"/>
          <w:sz w:val="24"/>
        </w:rPr>
        <w:t>nm, 500</w:t>
      </w:r>
      <w:r>
        <w:rPr>
          <w:rFonts w:hint="eastAsia" w:ascii="Times New Roman" w:hAnsi="Times New Roman"/>
          <w:color w:val="000000"/>
          <w:kern w:val="0"/>
          <w:sz w:val="24"/>
        </w:rPr>
        <w:t xml:space="preserve"> </w:t>
      </w:r>
      <w:r>
        <w:rPr>
          <w:rFonts w:ascii="Times New Roman" w:hAnsi="Times New Roman"/>
          <w:color w:val="000000"/>
          <w:kern w:val="0"/>
          <w:sz w:val="24"/>
        </w:rPr>
        <w:t>mW/cm</w:t>
      </w:r>
      <w:r>
        <w:rPr>
          <w:rFonts w:hint="eastAsia" w:ascii="Times New Roman" w:hAnsi="Times New Roman"/>
          <w:color w:val="000000"/>
          <w:kern w:val="0"/>
          <w:sz w:val="24"/>
          <w:vertAlign w:val="superscript"/>
        </w:rPr>
        <w:t>2</w:t>
      </w:r>
      <w:r>
        <w:rPr>
          <w:rFonts w:hint="eastAsia" w:ascii="Times New Roman" w:hAnsi="Times New Roman"/>
          <w:sz w:val="24"/>
        </w:rPr>
        <w:t>).</w:t>
      </w:r>
    </w:p>
    <w:p w14:paraId="25502D42">
      <w:pPr>
        <w:widowControl/>
        <w:rPr>
          <w:rFonts w:ascii="Times New Roman" w:hAnsi="Times New Roman"/>
          <w:sz w:val="24"/>
        </w:rPr>
      </w:pPr>
    </w:p>
    <w:p w14:paraId="457EA9B1">
      <w:pPr>
        <w:widowControl/>
        <w:spacing w:line="480" w:lineRule="auto"/>
        <w:jc w:val="center"/>
        <w:rPr>
          <w:rFonts w:ascii="Times New Roman" w:hAnsi="Times New Roman"/>
          <w:sz w:val="24"/>
        </w:rPr>
      </w:pPr>
      <w:r>
        <w:pict>
          <v:shape id="_x0000_i1035" o:spt="75" type="#_x0000_t75" style="height:266.5pt;width:348pt;" filled="f" o:preferrelative="t" stroked="f" coordsize="21600,21600">
            <v:path/>
            <v:fill on="f" focussize="0,0"/>
            <v:stroke on="f" joinstyle="miter"/>
            <v:imagedata r:id="rId15" o:title=""/>
            <o:lock v:ext="edit" aspectratio="t"/>
            <w10:wrap type="none"/>
            <w10:anchorlock/>
          </v:shape>
        </w:pict>
      </w:r>
    </w:p>
    <w:p w14:paraId="2740D7A6">
      <w:pPr>
        <w:widowControl/>
        <w:rPr>
          <w:rFonts w:ascii="Times New Roman" w:hAnsi="Times New Roman"/>
          <w:sz w:val="24"/>
        </w:rPr>
      </w:pPr>
      <w:r>
        <w:rPr>
          <w:rFonts w:ascii="Times New Roman" w:hAnsi="Times New Roman"/>
          <w:b/>
          <w:bCs/>
          <w:sz w:val="24"/>
        </w:rPr>
        <w:t>Fig. S</w:t>
      </w:r>
      <w:r>
        <w:rPr>
          <w:rFonts w:hint="eastAsia" w:ascii="Times New Roman" w:hAnsi="Times New Roman"/>
          <w:b/>
          <w:bCs/>
          <w:sz w:val="24"/>
        </w:rPr>
        <w:t xml:space="preserve">11. </w:t>
      </w:r>
      <w:r>
        <w:rPr>
          <w:rFonts w:ascii="Times New Roman" w:hAnsi="Times New Roman" w:eastAsia="ScalaSansLF-Regular"/>
          <w:color w:val="000000"/>
          <w:kern w:val="0"/>
          <w:sz w:val="24"/>
        </w:rPr>
        <w:t xml:space="preserve">Absorbance </w:t>
      </w:r>
      <w:r>
        <w:rPr>
          <w:rFonts w:ascii="Times New Roman" w:hAnsi="Times New Roman"/>
          <w:color w:val="000000"/>
          <w:kern w:val="0"/>
          <w:sz w:val="24"/>
        </w:rPr>
        <w:t>changes of the TMB</w:t>
      </w:r>
      <w:r>
        <w:rPr>
          <w:rFonts w:ascii="Times New Roman" w:hAnsi="Times New Roman" w:eastAsia="ScalaSansLF-Regular"/>
          <w:color w:val="000000"/>
          <w:kern w:val="0"/>
          <w:sz w:val="24"/>
        </w:rPr>
        <w:t xml:space="preserve"> </w:t>
      </w:r>
      <w:r>
        <w:rPr>
          <w:rFonts w:ascii="Times New Roman" w:hAnsi="Times New Roman"/>
          <w:color w:val="000000"/>
          <w:kern w:val="0"/>
          <w:sz w:val="24"/>
        </w:rPr>
        <w:t xml:space="preserve">solution containing </w:t>
      </w:r>
      <w:r>
        <w:rPr>
          <w:rFonts w:hint="eastAsia" w:ascii="Times New Roman" w:hAnsi="Times New Roman"/>
          <w:color w:val="000000"/>
          <w:kern w:val="0"/>
          <w:sz w:val="24"/>
        </w:rPr>
        <w:t xml:space="preserve">1 </w:t>
      </w:r>
      <w:r>
        <w:rPr>
          <w:rFonts w:ascii="Times New Roman" w:hAnsi="Times New Roman" w:eastAsia="ScalaSansLF-Regular"/>
          <w:color w:val="000000"/>
          <w:kern w:val="0"/>
          <w:sz w:val="24"/>
        </w:rPr>
        <w:t>mM H</w:t>
      </w:r>
      <w:r>
        <w:rPr>
          <w:rFonts w:ascii="Times New Roman" w:hAnsi="Times New Roman" w:eastAsia="ScalaSansLF-Regular"/>
          <w:color w:val="000000"/>
          <w:kern w:val="0"/>
          <w:sz w:val="24"/>
          <w:vertAlign w:val="subscript"/>
        </w:rPr>
        <w:t>2</w:t>
      </w:r>
      <w:r>
        <w:rPr>
          <w:rFonts w:ascii="Times New Roman" w:hAnsi="Times New Roman" w:eastAsia="ScalaSansLF-Regular"/>
          <w:color w:val="000000"/>
          <w:kern w:val="0"/>
          <w:sz w:val="24"/>
        </w:rPr>
        <w:t>O</w:t>
      </w:r>
      <w:r>
        <w:rPr>
          <w:rFonts w:ascii="Times New Roman" w:hAnsi="Times New Roman" w:eastAsia="ScalaSansLF-Regular"/>
          <w:color w:val="000000"/>
          <w:kern w:val="0"/>
          <w:sz w:val="24"/>
          <w:vertAlign w:val="subscript"/>
        </w:rPr>
        <w:t>2</w:t>
      </w:r>
      <w:r>
        <w:rPr>
          <w:rFonts w:ascii="Times New Roman" w:hAnsi="Times New Roman" w:eastAsia="ScalaSansLF-Regular"/>
          <w:color w:val="000000"/>
          <w:kern w:val="0"/>
          <w:sz w:val="24"/>
        </w:rPr>
        <w:t xml:space="preserve"> with the addition of different </w:t>
      </w:r>
      <w:r>
        <w:rPr>
          <w:rFonts w:hint="eastAsia" w:ascii="Times New Roman" w:hAnsi="Times New Roman"/>
          <w:sz w:val="24"/>
        </w:rPr>
        <w:t xml:space="preserve">Fe-SAzyme </w:t>
      </w:r>
      <w:r>
        <w:rPr>
          <w:rFonts w:ascii="Times New Roman" w:hAnsi="Times New Roman" w:eastAsia="ScalaSansLF-Regular"/>
          <w:color w:val="000000"/>
          <w:kern w:val="0"/>
          <w:sz w:val="24"/>
        </w:rPr>
        <w:t>concentrations.</w:t>
      </w:r>
    </w:p>
    <w:p w14:paraId="7D9DC7CE">
      <w:pPr>
        <w:widowControl/>
        <w:spacing w:line="480" w:lineRule="auto"/>
        <w:jc w:val="center"/>
        <w:rPr>
          <w:rFonts w:ascii="Times New Roman" w:hAnsi="Times New Roman"/>
          <w:sz w:val="24"/>
        </w:rPr>
      </w:pPr>
      <w:r>
        <w:pict>
          <v:shape id="_x0000_i1036" o:spt="75" type="#_x0000_t75" style="height:266.5pt;width:348pt;" filled="f" o:preferrelative="t" stroked="f" coordsize="21600,21600">
            <v:path/>
            <v:fill on="f" focussize="0,0"/>
            <v:stroke on="f" joinstyle="miter"/>
            <v:imagedata r:id="rId16" o:title=""/>
            <o:lock v:ext="edit" aspectratio="t"/>
            <w10:wrap type="none"/>
            <w10:anchorlock/>
          </v:shape>
        </w:pict>
      </w:r>
    </w:p>
    <w:p w14:paraId="29071523">
      <w:pPr>
        <w:widowControl/>
        <w:rPr>
          <w:rFonts w:ascii="Times New Roman" w:hAnsi="Times New Roman"/>
          <w:sz w:val="24"/>
        </w:rPr>
      </w:pPr>
      <w:r>
        <w:rPr>
          <w:rFonts w:ascii="Times New Roman" w:hAnsi="Times New Roman"/>
          <w:b/>
          <w:bCs/>
          <w:sz w:val="24"/>
        </w:rPr>
        <w:t>Fig. S</w:t>
      </w:r>
      <w:r>
        <w:rPr>
          <w:rFonts w:hint="eastAsia" w:ascii="Times New Roman" w:hAnsi="Times New Roman"/>
          <w:b/>
          <w:bCs/>
          <w:sz w:val="24"/>
        </w:rPr>
        <w:t xml:space="preserve">12. </w:t>
      </w:r>
      <w:r>
        <w:rPr>
          <w:rFonts w:ascii="Times New Roman" w:hAnsi="Times New Roman" w:eastAsia="ScalaSansLF-Regular"/>
          <w:color w:val="000000"/>
          <w:kern w:val="0"/>
          <w:sz w:val="24"/>
        </w:rPr>
        <w:t xml:space="preserve">Absorbance </w:t>
      </w:r>
      <w:r>
        <w:rPr>
          <w:rFonts w:ascii="Times New Roman" w:hAnsi="Times New Roman"/>
          <w:color w:val="000000"/>
          <w:kern w:val="0"/>
          <w:sz w:val="24"/>
        </w:rPr>
        <w:t>changes of TMB</w:t>
      </w:r>
      <w:r>
        <w:rPr>
          <w:rFonts w:ascii="Times New Roman" w:hAnsi="Times New Roman" w:eastAsia="ScalaSansLF-Regular"/>
          <w:color w:val="000000"/>
          <w:kern w:val="0"/>
          <w:sz w:val="24"/>
        </w:rPr>
        <w:t xml:space="preserve"> </w:t>
      </w:r>
      <w:r>
        <w:rPr>
          <w:rFonts w:ascii="Times New Roman" w:hAnsi="Times New Roman"/>
          <w:color w:val="000000"/>
          <w:kern w:val="0"/>
          <w:sz w:val="24"/>
        </w:rPr>
        <w:t>solution containing</w:t>
      </w:r>
      <w:r>
        <w:rPr>
          <w:rFonts w:hint="eastAsia" w:ascii="Times New Roman" w:hAnsi="Times New Roman"/>
          <w:color w:val="000000"/>
          <w:kern w:val="0"/>
          <w:sz w:val="24"/>
        </w:rPr>
        <w:t xml:space="preserve"> 10 </w:t>
      </w:r>
      <w:r>
        <w:rPr>
          <w:rFonts w:ascii="Times New Roman" w:hAnsi="Times New Roman"/>
          <w:color w:val="000000"/>
          <w:sz w:val="24"/>
        </w:rPr>
        <w:t>μg/mL</w:t>
      </w:r>
      <w:r>
        <w:rPr>
          <w:rFonts w:ascii="Times New Roman" w:hAnsi="Times New Roman" w:eastAsia="ScalaLF-Regular"/>
          <w:color w:val="000000"/>
          <w:kern w:val="0"/>
          <w:sz w:val="24"/>
        </w:rPr>
        <w:t xml:space="preserve"> </w:t>
      </w:r>
      <w:r>
        <w:rPr>
          <w:rFonts w:hint="eastAsia" w:ascii="Times New Roman" w:hAnsi="Times New Roman"/>
          <w:sz w:val="24"/>
        </w:rPr>
        <w:t xml:space="preserve">Fe-SAzyme at different pH </w:t>
      </w:r>
      <w:r>
        <w:rPr>
          <w:rFonts w:ascii="Times New Roman" w:hAnsi="Times New Roman"/>
          <w:sz w:val="24"/>
        </w:rPr>
        <w:t xml:space="preserve">levels </w:t>
      </w:r>
      <w:r>
        <w:rPr>
          <w:rFonts w:hint="eastAsia" w:ascii="Times New Roman" w:hAnsi="Times New Roman"/>
          <w:sz w:val="24"/>
        </w:rPr>
        <w:t>with 1mM H</w:t>
      </w:r>
      <w:r>
        <w:rPr>
          <w:rFonts w:hint="eastAsia" w:ascii="Times New Roman" w:hAnsi="Times New Roman"/>
          <w:sz w:val="24"/>
          <w:vertAlign w:val="subscript"/>
        </w:rPr>
        <w:t>2</w:t>
      </w:r>
      <w:r>
        <w:rPr>
          <w:rFonts w:hint="eastAsia" w:ascii="Times New Roman" w:hAnsi="Times New Roman"/>
          <w:sz w:val="24"/>
        </w:rPr>
        <w:t>O</w:t>
      </w:r>
      <w:r>
        <w:rPr>
          <w:rFonts w:hint="eastAsia" w:ascii="Times New Roman" w:hAnsi="Times New Roman"/>
          <w:sz w:val="24"/>
          <w:vertAlign w:val="subscript"/>
        </w:rPr>
        <w:t>2</w:t>
      </w:r>
      <w:r>
        <w:rPr>
          <w:rFonts w:hint="eastAsia" w:ascii="Times New Roman" w:hAnsi="Times New Roman"/>
          <w:sz w:val="24"/>
        </w:rPr>
        <w:t xml:space="preserve"> as a substrate.</w:t>
      </w:r>
    </w:p>
    <w:p w14:paraId="0FC29764">
      <w:pPr>
        <w:widowControl/>
        <w:spacing w:line="480" w:lineRule="auto"/>
        <w:jc w:val="center"/>
        <w:rPr>
          <w:rFonts w:hint="eastAsia" w:ascii="Times New Roman" w:hAnsi="Times New Roman" w:eastAsia="宋体"/>
          <w:sz w:val="24"/>
          <w:lang w:eastAsia="zh-CN"/>
        </w:rPr>
      </w:pPr>
      <w:r>
        <w:rPr>
          <w:rFonts w:hint="eastAsia" w:ascii="Times New Roman" w:hAnsi="Times New Roman" w:eastAsia="宋体"/>
          <w:sz w:val="24"/>
          <w:lang w:eastAsia="zh-CN"/>
        </w:rPr>
        <w:pict>
          <v:shape id="_x0000_i1056" o:spt="75" alt="不同H2O2" type="#_x0000_t75" style="height:267pt;width:348.95pt;" filled="f" o:preferrelative="t" stroked="f" coordsize="21600,21600">
            <v:path/>
            <v:fill on="f" focussize="0,0"/>
            <v:stroke on="f"/>
            <v:imagedata r:id="rId17" o:title="不同H2O2"/>
            <o:lock v:ext="edit" aspectratio="t"/>
            <w10:wrap type="none"/>
            <w10:anchorlock/>
          </v:shape>
        </w:pict>
      </w:r>
    </w:p>
    <w:p w14:paraId="3736893B">
      <w:pPr>
        <w:widowControl/>
        <w:rPr>
          <w:rFonts w:ascii="Times New Roman" w:hAnsi="Times New Roman" w:eastAsia="ScalaSansLF-Regular"/>
          <w:color w:val="000000"/>
          <w:kern w:val="0"/>
          <w:sz w:val="24"/>
        </w:rPr>
      </w:pPr>
      <w:r>
        <w:rPr>
          <w:rFonts w:ascii="Times New Roman" w:hAnsi="Times New Roman"/>
          <w:b/>
          <w:bCs/>
          <w:sz w:val="24"/>
        </w:rPr>
        <w:t>Fig. S</w:t>
      </w:r>
      <w:r>
        <w:rPr>
          <w:rFonts w:hint="eastAsia" w:ascii="Times New Roman" w:hAnsi="Times New Roman"/>
          <w:b/>
          <w:bCs/>
          <w:sz w:val="24"/>
        </w:rPr>
        <w:t xml:space="preserve">13. </w:t>
      </w:r>
      <w:r>
        <w:rPr>
          <w:rFonts w:ascii="Times New Roman" w:hAnsi="Times New Roman" w:eastAsia="ScalaSansLF-Regular"/>
          <w:color w:val="000000"/>
          <w:kern w:val="0"/>
          <w:sz w:val="24"/>
        </w:rPr>
        <w:t xml:space="preserve">Absorbance </w:t>
      </w:r>
      <w:r>
        <w:rPr>
          <w:rFonts w:ascii="Times New Roman" w:hAnsi="Times New Roman"/>
          <w:color w:val="000000"/>
          <w:kern w:val="0"/>
          <w:sz w:val="24"/>
        </w:rPr>
        <w:t>changes of TMB solution containing</w:t>
      </w:r>
      <w:r>
        <w:rPr>
          <w:rFonts w:ascii="Times New Roman" w:hAnsi="Times New Roman" w:eastAsia="ScalaSansLF-Regular"/>
          <w:color w:val="000000"/>
          <w:kern w:val="0"/>
          <w:sz w:val="24"/>
        </w:rPr>
        <w:t xml:space="preserve"> </w:t>
      </w:r>
      <w:r>
        <w:rPr>
          <w:rFonts w:hint="eastAsia" w:ascii="Times New Roman" w:hAnsi="Times New Roman" w:eastAsia="ScalaSansLF-Regular"/>
          <w:color w:val="000000"/>
          <w:kern w:val="0"/>
          <w:sz w:val="24"/>
        </w:rPr>
        <w:t xml:space="preserve">10 </w:t>
      </w:r>
      <w:r>
        <w:rPr>
          <w:rFonts w:ascii="Times New Roman" w:hAnsi="Times New Roman"/>
          <w:color w:val="000000"/>
          <w:sz w:val="24"/>
        </w:rPr>
        <w:t>μg/mL</w:t>
      </w:r>
      <w:r>
        <w:rPr>
          <w:rFonts w:ascii="Times New Roman" w:hAnsi="Times New Roman" w:eastAsia="ScalaLF-Regular"/>
          <w:color w:val="000000"/>
          <w:kern w:val="0"/>
          <w:sz w:val="24"/>
        </w:rPr>
        <w:t xml:space="preserve"> </w:t>
      </w:r>
      <w:r>
        <w:rPr>
          <w:rFonts w:hint="eastAsia" w:ascii="Times New Roman" w:hAnsi="Times New Roman"/>
          <w:sz w:val="24"/>
        </w:rPr>
        <w:t>Fe-SAzyme</w:t>
      </w:r>
      <w:r>
        <w:rPr>
          <w:rFonts w:ascii="Times New Roman" w:hAnsi="Times New Roman"/>
          <w:color w:val="000000"/>
          <w:kern w:val="0"/>
          <w:sz w:val="24"/>
        </w:rPr>
        <w:t xml:space="preserve"> </w:t>
      </w:r>
      <w:r>
        <w:rPr>
          <w:rFonts w:ascii="Times New Roman" w:hAnsi="Times New Roman" w:eastAsia="ScalaSansLF-Regular"/>
          <w:color w:val="000000"/>
          <w:kern w:val="0"/>
          <w:sz w:val="24"/>
        </w:rPr>
        <w:t>with the addition of different H</w:t>
      </w:r>
      <w:r>
        <w:rPr>
          <w:rFonts w:ascii="Times New Roman" w:hAnsi="Times New Roman" w:eastAsia="ScalaSansLF-Regular"/>
          <w:color w:val="000000"/>
          <w:kern w:val="0"/>
          <w:sz w:val="24"/>
          <w:vertAlign w:val="subscript"/>
        </w:rPr>
        <w:t>2</w:t>
      </w:r>
      <w:r>
        <w:rPr>
          <w:rFonts w:ascii="Times New Roman" w:hAnsi="Times New Roman" w:eastAsia="ScalaSansLF-Regular"/>
          <w:color w:val="000000"/>
          <w:kern w:val="0"/>
          <w:sz w:val="24"/>
        </w:rPr>
        <w:t>O</w:t>
      </w:r>
      <w:r>
        <w:rPr>
          <w:rFonts w:ascii="Times New Roman" w:hAnsi="Times New Roman" w:eastAsia="ScalaSansLF-Regular"/>
          <w:color w:val="000000"/>
          <w:kern w:val="0"/>
          <w:sz w:val="24"/>
          <w:vertAlign w:val="subscript"/>
        </w:rPr>
        <w:t>2</w:t>
      </w:r>
      <w:r>
        <w:rPr>
          <w:rFonts w:hint="eastAsia" w:ascii="Times New Roman" w:hAnsi="Times New Roman" w:eastAsia="ScalaSansLF-Regular"/>
          <w:color w:val="000000"/>
          <w:kern w:val="0"/>
          <w:sz w:val="24"/>
          <w:vertAlign w:val="subscript"/>
        </w:rPr>
        <w:t xml:space="preserve"> </w:t>
      </w:r>
      <w:r>
        <w:rPr>
          <w:rFonts w:ascii="Times New Roman" w:hAnsi="Times New Roman" w:eastAsia="ScalaSansLF-Regular"/>
          <w:color w:val="000000"/>
          <w:kern w:val="0"/>
          <w:sz w:val="24"/>
        </w:rPr>
        <w:t>concentrations.</w:t>
      </w:r>
    </w:p>
    <w:p w14:paraId="423B7539">
      <w:pPr>
        <w:widowControl/>
        <w:spacing w:line="480" w:lineRule="auto"/>
        <w:jc w:val="center"/>
      </w:pPr>
    </w:p>
    <w:p w14:paraId="492F036E">
      <w:pPr>
        <w:widowControl/>
        <w:spacing w:line="480" w:lineRule="auto"/>
        <w:jc w:val="center"/>
      </w:pPr>
      <w:r>
        <w:pict>
          <v:shape id="_x0000_i1038" o:spt="75" type="#_x0000_t75" style="height:509.5pt;width:347.5pt;" filled="f" o:preferrelative="t" stroked="f" coordsize="21600,21600">
            <v:path/>
            <v:fill on="f" focussize="0,0"/>
            <v:stroke on="f" joinstyle="miter"/>
            <v:imagedata r:id="rId18" o:title=""/>
            <o:lock v:ext="edit" aspectratio="t"/>
            <w10:wrap type="none"/>
            <w10:anchorlock/>
          </v:shape>
        </w:pict>
      </w:r>
    </w:p>
    <w:p w14:paraId="7E0CEEE9">
      <w:pPr>
        <w:widowControl/>
        <w:rPr>
          <w:rFonts w:ascii="Times New Roman" w:hAnsi="Times New Roman" w:eastAsia="ScalaSansLF-Regular"/>
          <w:color w:val="000000"/>
          <w:kern w:val="0"/>
          <w:sz w:val="24"/>
        </w:rPr>
      </w:pPr>
      <w:r>
        <w:rPr>
          <w:rFonts w:ascii="Times New Roman" w:hAnsi="Times New Roman"/>
          <w:b/>
          <w:bCs/>
          <w:sz w:val="24"/>
        </w:rPr>
        <w:t>Fig. S</w:t>
      </w:r>
      <w:r>
        <w:rPr>
          <w:rFonts w:hint="eastAsia" w:ascii="Times New Roman" w:hAnsi="Times New Roman"/>
          <w:b/>
          <w:bCs/>
          <w:sz w:val="24"/>
        </w:rPr>
        <w:t xml:space="preserve">14. </w:t>
      </w:r>
      <w:r>
        <w:rPr>
          <w:rFonts w:ascii="Times New Roman" w:hAnsi="Times New Roman" w:eastAsia="ScalaSansLF-Regular"/>
          <w:color w:val="000000"/>
          <w:kern w:val="0"/>
          <w:sz w:val="24"/>
        </w:rPr>
        <w:t xml:space="preserve">Absorbance </w:t>
      </w:r>
      <w:r>
        <w:rPr>
          <w:rFonts w:ascii="Times New Roman" w:hAnsi="Times New Roman"/>
          <w:color w:val="000000"/>
          <w:kern w:val="0"/>
          <w:sz w:val="24"/>
        </w:rPr>
        <w:t>changes of TMB solution containing</w:t>
      </w:r>
      <w:r>
        <w:rPr>
          <w:rFonts w:ascii="Times New Roman" w:hAnsi="Times New Roman" w:eastAsia="ScalaSansLF-Regular"/>
          <w:color w:val="000000"/>
          <w:kern w:val="0"/>
          <w:sz w:val="24"/>
        </w:rPr>
        <w:t xml:space="preserve"> </w:t>
      </w:r>
      <w:r>
        <w:rPr>
          <w:rFonts w:hint="eastAsia" w:ascii="Times New Roman" w:hAnsi="Times New Roman" w:eastAsia="ScalaSansLF-Regular"/>
          <w:color w:val="000000"/>
          <w:kern w:val="0"/>
          <w:sz w:val="24"/>
        </w:rPr>
        <w:t xml:space="preserve">10 </w:t>
      </w:r>
      <w:r>
        <w:rPr>
          <w:rFonts w:ascii="Times New Roman" w:hAnsi="Times New Roman"/>
          <w:color w:val="000000"/>
          <w:sz w:val="24"/>
        </w:rPr>
        <w:t>μg/mL</w:t>
      </w:r>
      <w:r>
        <w:rPr>
          <w:rFonts w:ascii="Times New Roman" w:hAnsi="Times New Roman" w:eastAsia="ScalaLF-Regular"/>
          <w:color w:val="000000"/>
          <w:kern w:val="0"/>
          <w:sz w:val="24"/>
        </w:rPr>
        <w:t xml:space="preserve"> </w:t>
      </w:r>
      <w:r>
        <w:rPr>
          <w:rFonts w:hint="eastAsia" w:ascii="Times New Roman" w:hAnsi="Times New Roman"/>
          <w:sz w:val="24"/>
        </w:rPr>
        <w:t>Fe-SAzyme</w:t>
      </w:r>
      <w:r>
        <w:rPr>
          <w:rFonts w:ascii="Times New Roman" w:hAnsi="Times New Roman"/>
          <w:color w:val="000000"/>
          <w:kern w:val="0"/>
          <w:sz w:val="24"/>
        </w:rPr>
        <w:t xml:space="preserve"> </w:t>
      </w:r>
      <w:r>
        <w:rPr>
          <w:rFonts w:ascii="Times New Roman" w:hAnsi="Times New Roman" w:eastAsia="ScalaSansLF-Regular"/>
          <w:color w:val="000000"/>
          <w:kern w:val="0"/>
          <w:sz w:val="24"/>
        </w:rPr>
        <w:t>with the addition of different H</w:t>
      </w:r>
      <w:r>
        <w:rPr>
          <w:rFonts w:ascii="Times New Roman" w:hAnsi="Times New Roman" w:eastAsia="ScalaSansLF-Regular"/>
          <w:color w:val="000000"/>
          <w:kern w:val="0"/>
          <w:sz w:val="24"/>
          <w:vertAlign w:val="subscript"/>
        </w:rPr>
        <w:t>2</w:t>
      </w:r>
      <w:r>
        <w:rPr>
          <w:rFonts w:ascii="Times New Roman" w:hAnsi="Times New Roman" w:eastAsia="ScalaSansLF-Regular"/>
          <w:color w:val="000000"/>
          <w:kern w:val="0"/>
          <w:sz w:val="24"/>
        </w:rPr>
        <w:t>O</w:t>
      </w:r>
      <w:r>
        <w:rPr>
          <w:rFonts w:ascii="Times New Roman" w:hAnsi="Times New Roman" w:eastAsia="ScalaSansLF-Regular"/>
          <w:color w:val="000000"/>
          <w:kern w:val="0"/>
          <w:sz w:val="24"/>
          <w:vertAlign w:val="subscript"/>
        </w:rPr>
        <w:t>2</w:t>
      </w:r>
      <w:r>
        <w:rPr>
          <w:rFonts w:hint="eastAsia" w:ascii="Times New Roman" w:hAnsi="Times New Roman" w:eastAsia="ScalaSansLF-Regular"/>
          <w:color w:val="000000"/>
          <w:kern w:val="0"/>
          <w:sz w:val="24"/>
          <w:vertAlign w:val="subscript"/>
        </w:rPr>
        <w:t xml:space="preserve"> </w:t>
      </w:r>
      <w:r>
        <w:rPr>
          <w:rFonts w:ascii="Times New Roman" w:hAnsi="Times New Roman" w:eastAsia="ScalaSansLF-Regular"/>
          <w:color w:val="000000"/>
          <w:kern w:val="0"/>
          <w:sz w:val="24"/>
        </w:rPr>
        <w:t>concentrations</w:t>
      </w:r>
      <w:r>
        <w:rPr>
          <w:rFonts w:hint="eastAsia" w:ascii="Times New Roman" w:hAnsi="Times New Roman" w:eastAsia="ScalaSansLF-Regular"/>
          <w:color w:val="000000"/>
          <w:kern w:val="0"/>
          <w:sz w:val="24"/>
        </w:rPr>
        <w:t xml:space="preserve"> (a) without or (b) with mild NIR-II laser treatments.</w:t>
      </w:r>
    </w:p>
    <w:p w14:paraId="51364D5D">
      <w:pPr>
        <w:widowControl/>
        <w:spacing w:line="480" w:lineRule="auto"/>
        <w:jc w:val="center"/>
        <w:rPr>
          <w:rFonts w:ascii="Times New Roman" w:hAnsi="Times New Roman" w:eastAsia="ScalaSansLF-Regular"/>
          <w:color w:val="000000"/>
          <w:kern w:val="0"/>
          <w:sz w:val="24"/>
        </w:rPr>
      </w:pPr>
      <w:r>
        <w:pict>
          <v:shape id="_x0000_i1039" o:spt="75" type="#_x0000_t75" style="height:266.5pt;width:348pt;" filled="f" o:preferrelative="t" stroked="f" coordsize="21600,21600">
            <v:path/>
            <v:fill on="f" focussize="0,0"/>
            <v:stroke on="f" joinstyle="miter"/>
            <v:imagedata r:id="rId19" o:title=""/>
            <o:lock v:ext="edit" aspectratio="t"/>
            <w10:wrap type="none"/>
            <w10:anchorlock/>
          </v:shape>
        </w:pict>
      </w:r>
    </w:p>
    <w:p w14:paraId="2B42D835">
      <w:pPr>
        <w:widowControl/>
        <w:rPr>
          <w:rFonts w:ascii="Times New Roman" w:hAnsi="Times New Roman" w:eastAsia="ScalaSansLF-Regular"/>
          <w:color w:val="000000"/>
          <w:kern w:val="0"/>
          <w:sz w:val="24"/>
        </w:rPr>
      </w:pPr>
      <w:r>
        <w:rPr>
          <w:rFonts w:ascii="Times New Roman" w:hAnsi="Times New Roman"/>
          <w:b/>
          <w:bCs/>
          <w:sz w:val="24"/>
        </w:rPr>
        <w:t>Fig. S</w:t>
      </w:r>
      <w:r>
        <w:rPr>
          <w:rFonts w:hint="eastAsia" w:ascii="Times New Roman" w:hAnsi="Times New Roman"/>
          <w:b/>
          <w:bCs/>
          <w:sz w:val="24"/>
        </w:rPr>
        <w:t xml:space="preserve">15. </w:t>
      </w:r>
      <w:r>
        <w:rPr>
          <w:rFonts w:ascii="Times New Roman" w:hAnsi="Times New Roman"/>
          <w:color w:val="000000"/>
          <w:kern w:val="0"/>
          <w:sz w:val="24"/>
        </w:rPr>
        <w:t>Dissolved O</w:t>
      </w:r>
      <w:r>
        <w:rPr>
          <w:rFonts w:ascii="Times New Roman" w:hAnsi="Times New Roman"/>
          <w:color w:val="000000"/>
          <w:kern w:val="0"/>
          <w:sz w:val="24"/>
          <w:vertAlign w:val="subscript"/>
        </w:rPr>
        <w:t>2</w:t>
      </w:r>
      <w:r>
        <w:rPr>
          <w:rFonts w:ascii="Times New Roman" w:hAnsi="Times New Roman"/>
          <w:color w:val="000000"/>
          <w:kern w:val="0"/>
          <w:sz w:val="24"/>
        </w:rPr>
        <w:t xml:space="preserve"> concentrations of</w:t>
      </w:r>
      <w:r>
        <w:rPr>
          <w:rFonts w:ascii="Times New Roman" w:hAnsi="Times New Roman" w:eastAsia="ScalaSansLF-Regular"/>
          <w:color w:val="000000"/>
          <w:kern w:val="0"/>
          <w:sz w:val="24"/>
        </w:rPr>
        <w:t xml:space="preserve"> different </w:t>
      </w:r>
      <w:r>
        <w:rPr>
          <w:rFonts w:hint="eastAsia" w:ascii="Times New Roman" w:hAnsi="Times New Roman"/>
          <w:sz w:val="24"/>
        </w:rPr>
        <w:t xml:space="preserve">concentrations </w:t>
      </w:r>
      <w:r>
        <w:rPr>
          <w:rFonts w:ascii="Times New Roman" w:hAnsi="Times New Roman"/>
          <w:sz w:val="24"/>
        </w:rPr>
        <w:t xml:space="preserve">of </w:t>
      </w:r>
      <w:r>
        <w:rPr>
          <w:rFonts w:hint="eastAsia" w:ascii="Times New Roman" w:hAnsi="Times New Roman"/>
          <w:sz w:val="24"/>
        </w:rPr>
        <w:t>Fe-SAzyme</w:t>
      </w:r>
    </w:p>
    <w:p w14:paraId="3E6D208D">
      <w:pPr>
        <w:autoSpaceDE w:val="0"/>
        <w:autoSpaceDN w:val="0"/>
        <w:adjustRightInd w:val="0"/>
        <w:rPr>
          <w:rFonts w:ascii="Times New Roman" w:hAnsi="Times New Roman"/>
          <w:color w:val="000000"/>
          <w:kern w:val="0"/>
          <w:sz w:val="24"/>
        </w:rPr>
      </w:pPr>
      <w:r>
        <w:rPr>
          <w:rFonts w:ascii="Times New Roman" w:hAnsi="Times New Roman"/>
          <w:color w:val="000000"/>
          <w:kern w:val="0"/>
          <w:sz w:val="24"/>
        </w:rPr>
        <w:t>in H</w:t>
      </w:r>
      <w:r>
        <w:rPr>
          <w:rFonts w:ascii="Times New Roman" w:hAnsi="Times New Roman"/>
          <w:color w:val="000000"/>
          <w:kern w:val="0"/>
          <w:sz w:val="24"/>
          <w:vertAlign w:val="subscript"/>
        </w:rPr>
        <w:t>2</w:t>
      </w:r>
      <w:r>
        <w:rPr>
          <w:rFonts w:ascii="Times New Roman" w:hAnsi="Times New Roman"/>
          <w:color w:val="000000"/>
          <w:kern w:val="0"/>
          <w:sz w:val="24"/>
        </w:rPr>
        <w:t>O</w:t>
      </w:r>
      <w:r>
        <w:rPr>
          <w:rFonts w:ascii="Times New Roman" w:hAnsi="Times New Roman"/>
          <w:color w:val="000000"/>
          <w:kern w:val="0"/>
          <w:sz w:val="24"/>
          <w:vertAlign w:val="subscript"/>
        </w:rPr>
        <w:t>2</w:t>
      </w:r>
      <w:r>
        <w:rPr>
          <w:rFonts w:ascii="Times New Roman" w:hAnsi="Times New Roman"/>
          <w:color w:val="000000"/>
          <w:kern w:val="0"/>
          <w:sz w:val="24"/>
        </w:rPr>
        <w:t xml:space="preserve"> solution.</w:t>
      </w:r>
    </w:p>
    <w:p w14:paraId="7B869D02">
      <w:pPr>
        <w:widowControl/>
        <w:spacing w:line="480" w:lineRule="auto"/>
        <w:jc w:val="center"/>
        <w:rPr>
          <w:rFonts w:ascii="Times New Roman" w:hAnsi="Times New Roman" w:eastAsia="ScalaSansLF-Regular"/>
          <w:color w:val="000000"/>
          <w:kern w:val="0"/>
          <w:sz w:val="24"/>
        </w:rPr>
      </w:pPr>
      <w:r>
        <w:pict>
          <v:shape id="_x0000_i1040" o:spt="75" type="#_x0000_t75" style="height:266.5pt;width:348pt;" filled="f" o:preferrelative="t" stroked="f" coordsize="21600,21600">
            <v:path/>
            <v:fill on="f" focussize="0,0"/>
            <v:stroke on="f" joinstyle="miter"/>
            <v:imagedata r:id="rId20" o:title=""/>
            <o:lock v:ext="edit" aspectratio="t"/>
            <w10:wrap type="none"/>
            <w10:anchorlock/>
          </v:shape>
        </w:pict>
      </w:r>
    </w:p>
    <w:p w14:paraId="7642431E">
      <w:pPr>
        <w:widowControl/>
        <w:rPr>
          <w:rFonts w:ascii="Times New Roman" w:hAnsi="Times New Roman"/>
          <w:color w:val="000000"/>
          <w:kern w:val="0"/>
          <w:sz w:val="24"/>
        </w:rPr>
      </w:pPr>
      <w:r>
        <w:rPr>
          <w:rFonts w:ascii="Times New Roman" w:hAnsi="Times New Roman"/>
          <w:b/>
          <w:bCs/>
          <w:sz w:val="24"/>
        </w:rPr>
        <w:t>Fig. S</w:t>
      </w:r>
      <w:r>
        <w:rPr>
          <w:rFonts w:hint="eastAsia" w:ascii="Times New Roman" w:hAnsi="Times New Roman"/>
          <w:b/>
          <w:bCs/>
          <w:sz w:val="24"/>
        </w:rPr>
        <w:t xml:space="preserve">16. </w:t>
      </w:r>
      <w:r>
        <w:rPr>
          <w:rFonts w:ascii="Times New Roman" w:hAnsi="Times New Roman"/>
          <w:color w:val="000000"/>
          <w:kern w:val="0"/>
          <w:sz w:val="24"/>
        </w:rPr>
        <w:t>Dissolved O</w:t>
      </w:r>
      <w:r>
        <w:rPr>
          <w:rFonts w:ascii="Times New Roman" w:hAnsi="Times New Roman"/>
          <w:color w:val="000000"/>
          <w:kern w:val="0"/>
          <w:sz w:val="24"/>
          <w:vertAlign w:val="subscript"/>
        </w:rPr>
        <w:t>2</w:t>
      </w:r>
      <w:r>
        <w:rPr>
          <w:rFonts w:ascii="Times New Roman" w:hAnsi="Times New Roman"/>
          <w:color w:val="000000"/>
          <w:kern w:val="0"/>
          <w:sz w:val="24"/>
        </w:rPr>
        <w:t xml:space="preserve"> concentrations of </w:t>
      </w:r>
      <w:r>
        <w:rPr>
          <w:rFonts w:hint="eastAsia" w:ascii="Times New Roman" w:hAnsi="Times New Roman"/>
          <w:sz w:val="24"/>
        </w:rPr>
        <w:t>Fe-SAzyme</w:t>
      </w:r>
      <w:r>
        <w:rPr>
          <w:rFonts w:ascii="Times New Roman" w:hAnsi="Times New Roman"/>
          <w:color w:val="000000"/>
          <w:kern w:val="0"/>
          <w:sz w:val="24"/>
        </w:rPr>
        <w:t xml:space="preserve"> </w:t>
      </w:r>
      <w:r>
        <w:rPr>
          <w:rFonts w:hint="eastAsia" w:ascii="Times New Roman" w:hAnsi="Times New Roman"/>
          <w:sz w:val="24"/>
        </w:rPr>
        <w:t xml:space="preserve">at different pH </w:t>
      </w:r>
      <w:r>
        <w:rPr>
          <w:rFonts w:ascii="Times New Roman" w:hAnsi="Times New Roman"/>
          <w:sz w:val="24"/>
        </w:rPr>
        <w:t xml:space="preserve">levels </w:t>
      </w:r>
      <w:r>
        <w:rPr>
          <w:rFonts w:ascii="Times New Roman" w:hAnsi="Times New Roman"/>
          <w:color w:val="000000"/>
          <w:kern w:val="0"/>
          <w:sz w:val="24"/>
        </w:rPr>
        <w:t>in H</w:t>
      </w:r>
      <w:r>
        <w:rPr>
          <w:rFonts w:ascii="Times New Roman" w:hAnsi="Times New Roman"/>
          <w:color w:val="000000"/>
          <w:kern w:val="0"/>
          <w:sz w:val="24"/>
          <w:vertAlign w:val="subscript"/>
        </w:rPr>
        <w:t>2</w:t>
      </w:r>
      <w:r>
        <w:rPr>
          <w:rFonts w:ascii="Times New Roman" w:hAnsi="Times New Roman"/>
          <w:color w:val="000000"/>
          <w:kern w:val="0"/>
          <w:sz w:val="24"/>
        </w:rPr>
        <w:t>O</w:t>
      </w:r>
      <w:r>
        <w:rPr>
          <w:rFonts w:ascii="Times New Roman" w:hAnsi="Times New Roman"/>
          <w:color w:val="000000"/>
          <w:kern w:val="0"/>
          <w:sz w:val="24"/>
          <w:vertAlign w:val="subscript"/>
        </w:rPr>
        <w:t>2</w:t>
      </w:r>
      <w:r>
        <w:rPr>
          <w:rFonts w:ascii="Times New Roman" w:hAnsi="Times New Roman"/>
          <w:color w:val="000000"/>
          <w:kern w:val="0"/>
          <w:sz w:val="24"/>
        </w:rPr>
        <w:t xml:space="preserve"> solution.</w:t>
      </w:r>
    </w:p>
    <w:p w14:paraId="6715DD97">
      <w:pPr>
        <w:widowControl/>
        <w:spacing w:line="480" w:lineRule="auto"/>
        <w:jc w:val="center"/>
        <w:rPr>
          <w:rFonts w:ascii="Times New Roman" w:hAnsi="Times New Roman"/>
          <w:color w:val="000000"/>
          <w:kern w:val="0"/>
          <w:sz w:val="24"/>
        </w:rPr>
      </w:pPr>
      <w:r>
        <w:pict>
          <v:shape id="_x0000_i1041" o:spt="75" type="#_x0000_t75" style="height:489pt;width:348pt;" filled="f" o:preferrelative="t" stroked="f" coordsize="21600,21600">
            <v:path/>
            <v:fill on="f" focussize="0,0"/>
            <v:stroke on="f" joinstyle="miter"/>
            <v:imagedata r:id="rId21" o:title=""/>
            <o:lock v:ext="edit" aspectratio="t"/>
            <w10:wrap type="none"/>
            <w10:anchorlock/>
          </v:shape>
        </w:pict>
      </w:r>
    </w:p>
    <w:p w14:paraId="4CE2E842">
      <w:pPr>
        <w:widowControl/>
        <w:rPr>
          <w:rFonts w:ascii="Times New Roman" w:hAnsi="Times New Roman"/>
          <w:color w:val="000000"/>
          <w:kern w:val="0"/>
          <w:sz w:val="24"/>
        </w:rPr>
      </w:pPr>
      <w:r>
        <w:rPr>
          <w:rFonts w:ascii="Times New Roman" w:hAnsi="Times New Roman"/>
          <w:b/>
          <w:bCs/>
          <w:sz w:val="24"/>
        </w:rPr>
        <w:t>Fig. S</w:t>
      </w:r>
      <w:r>
        <w:rPr>
          <w:rFonts w:hint="eastAsia" w:ascii="Times New Roman" w:hAnsi="Times New Roman"/>
          <w:b/>
          <w:bCs/>
          <w:sz w:val="24"/>
        </w:rPr>
        <w:t xml:space="preserve">17. </w:t>
      </w:r>
      <w:r>
        <w:rPr>
          <w:rFonts w:hint="eastAsia" w:ascii="Times New Roman" w:hAnsi="Times New Roman" w:eastAsia="ScalaSansLF-Regular"/>
          <w:color w:val="000000"/>
          <w:kern w:val="0"/>
          <w:sz w:val="24"/>
        </w:rPr>
        <w:t>O</w:t>
      </w:r>
      <w:r>
        <w:rPr>
          <w:rFonts w:hint="eastAsia" w:ascii="Times New Roman" w:hAnsi="Times New Roman" w:eastAsia="ScalaSansLF-Regular"/>
          <w:color w:val="000000"/>
          <w:kern w:val="0"/>
          <w:sz w:val="24"/>
          <w:vertAlign w:val="subscript"/>
        </w:rPr>
        <w:t>2</w:t>
      </w:r>
      <w:r>
        <w:rPr>
          <w:rFonts w:hint="eastAsia" w:ascii="Times New Roman" w:hAnsi="Times New Roman" w:eastAsia="ScalaSansLF-Regular"/>
          <w:color w:val="000000"/>
          <w:kern w:val="0"/>
          <w:sz w:val="24"/>
        </w:rPr>
        <w:t xml:space="preserve"> generation upon the addition of 10 </w:t>
      </w:r>
      <w:r>
        <w:rPr>
          <w:rFonts w:ascii="Times New Roman" w:hAnsi="Times New Roman"/>
          <w:color w:val="000000"/>
          <w:sz w:val="24"/>
        </w:rPr>
        <w:t>μg/mL</w:t>
      </w:r>
      <w:r>
        <w:rPr>
          <w:rFonts w:ascii="Times New Roman" w:hAnsi="Times New Roman" w:eastAsia="ScalaLF-Regular"/>
          <w:color w:val="000000"/>
          <w:kern w:val="0"/>
          <w:sz w:val="24"/>
        </w:rPr>
        <w:t xml:space="preserve"> </w:t>
      </w:r>
      <w:r>
        <w:rPr>
          <w:rFonts w:hint="eastAsia" w:ascii="Times New Roman" w:hAnsi="Times New Roman"/>
          <w:sz w:val="24"/>
        </w:rPr>
        <w:t>Fe-SAzyme</w:t>
      </w:r>
      <w:r>
        <w:rPr>
          <w:rFonts w:hint="eastAsia" w:ascii="Times New Roman" w:hAnsi="Times New Roman" w:eastAsia="ScalaSansLF-Regular"/>
          <w:color w:val="000000"/>
          <w:kern w:val="0"/>
          <w:sz w:val="24"/>
        </w:rPr>
        <w:t xml:space="preserve"> and H</w:t>
      </w:r>
      <w:r>
        <w:rPr>
          <w:rFonts w:hint="eastAsia" w:ascii="Times New Roman" w:hAnsi="Times New Roman" w:eastAsia="ScalaSansLF-Regular"/>
          <w:color w:val="000000"/>
          <w:kern w:val="0"/>
          <w:sz w:val="24"/>
          <w:vertAlign w:val="subscript"/>
        </w:rPr>
        <w:t>2</w:t>
      </w:r>
      <w:r>
        <w:rPr>
          <w:rFonts w:hint="eastAsia" w:ascii="Times New Roman" w:hAnsi="Times New Roman" w:eastAsia="ScalaSansLF-Regular"/>
          <w:color w:val="000000"/>
          <w:kern w:val="0"/>
          <w:sz w:val="24"/>
        </w:rPr>
        <w:t>O</w:t>
      </w:r>
      <w:r>
        <w:rPr>
          <w:rFonts w:hint="eastAsia" w:ascii="Times New Roman" w:hAnsi="Times New Roman" w:eastAsia="ScalaSansLF-Regular"/>
          <w:color w:val="000000"/>
          <w:kern w:val="0"/>
          <w:sz w:val="24"/>
          <w:vertAlign w:val="subscript"/>
        </w:rPr>
        <w:t>2</w:t>
      </w:r>
      <w:r>
        <w:rPr>
          <w:rFonts w:hint="eastAsia" w:ascii="Times New Roman" w:hAnsi="Times New Roman" w:eastAsia="ScalaSansLF-Regular"/>
          <w:color w:val="000000"/>
          <w:kern w:val="0"/>
          <w:sz w:val="24"/>
        </w:rPr>
        <w:t xml:space="preserve"> with varying concentrations (a) without or (b) with mild NIR-II laser treatments.</w:t>
      </w:r>
    </w:p>
    <w:p w14:paraId="3A35F2BC">
      <w:pPr>
        <w:widowControl/>
        <w:spacing w:line="480" w:lineRule="auto"/>
        <w:jc w:val="center"/>
      </w:pPr>
    </w:p>
    <w:p w14:paraId="0C0DE9F5">
      <w:pPr>
        <w:widowControl/>
        <w:spacing w:line="480" w:lineRule="auto"/>
        <w:jc w:val="center"/>
      </w:pPr>
      <w:bookmarkStart w:id="0" w:name="_Hlk219309350"/>
      <w:bookmarkStart w:id="11" w:name="_GoBack"/>
      <w:r>
        <w:pict>
          <v:shape id="_x0000_i1042" o:spt="75" type="#_x0000_t75" style="height:488pt;width:335.5pt;" filled="f" o:preferrelative="t" stroked="f" coordsize="21600,21600">
            <v:path/>
            <v:fill on="f" focussize="0,0"/>
            <v:stroke on="f" joinstyle="miter"/>
            <v:imagedata r:id="rId22" o:title=""/>
            <o:lock v:ext="edit" aspectratio="t"/>
            <w10:wrap type="none"/>
            <w10:anchorlock/>
          </v:shape>
        </w:pict>
      </w:r>
      <w:bookmarkEnd w:id="11"/>
    </w:p>
    <w:p w14:paraId="51F7D202">
      <w:pPr>
        <w:widowControl/>
        <w:jc w:val="left"/>
        <w:rPr>
          <w:rFonts w:ascii="Times New Roman" w:hAnsi="Times New Roman" w:eastAsia="ScalaSansLF-Regular"/>
          <w:color w:val="000000"/>
          <w:kern w:val="0"/>
          <w:sz w:val="24"/>
        </w:rPr>
      </w:pPr>
      <w:r>
        <w:rPr>
          <w:rFonts w:ascii="Times New Roman" w:hAnsi="Times New Roman"/>
          <w:b/>
          <w:bCs/>
          <w:sz w:val="24"/>
        </w:rPr>
        <w:t>Fig. S</w:t>
      </w:r>
      <w:r>
        <w:rPr>
          <w:rFonts w:hint="eastAsia" w:ascii="Times New Roman" w:hAnsi="Times New Roman"/>
          <w:b/>
          <w:bCs/>
          <w:sz w:val="24"/>
        </w:rPr>
        <w:t xml:space="preserve">18. </w:t>
      </w:r>
      <w:r>
        <w:rPr>
          <w:rFonts w:ascii="Times New Roman" w:hAnsi="Times New Roman" w:eastAsia="ScalaSansLF-Regular"/>
          <w:color w:val="000000"/>
          <w:kern w:val="0"/>
          <w:sz w:val="24"/>
        </w:rPr>
        <w:t>Arrhenius plots for Fe-SAzyme's</w:t>
      </w:r>
      <w:r>
        <w:rPr>
          <w:rFonts w:hint="eastAsia" w:ascii="Times New Roman" w:hAnsi="Times New Roman" w:eastAsia="ScalaSansLF-Regular"/>
          <w:color w:val="000000"/>
          <w:kern w:val="0"/>
          <w:sz w:val="24"/>
        </w:rPr>
        <w:t xml:space="preserve"> (a) </w:t>
      </w:r>
      <w:r>
        <w:rPr>
          <w:rFonts w:ascii="Times New Roman" w:hAnsi="Times New Roman" w:eastAsia="ScalaSansLF-Regular"/>
          <w:color w:val="000000"/>
          <w:kern w:val="0"/>
          <w:sz w:val="24"/>
        </w:rPr>
        <w:t xml:space="preserve">POD-like catalytic activity and </w:t>
      </w:r>
      <w:r>
        <w:rPr>
          <w:rFonts w:hint="eastAsia" w:ascii="Times New Roman" w:hAnsi="Times New Roman" w:eastAsia="ScalaSansLF-Regular"/>
          <w:color w:val="000000"/>
          <w:kern w:val="0"/>
          <w:sz w:val="24"/>
        </w:rPr>
        <w:t xml:space="preserve">(b) </w:t>
      </w:r>
      <w:r>
        <w:rPr>
          <w:rFonts w:ascii="Times New Roman" w:hAnsi="Times New Roman" w:eastAsia="ScalaSansLF-Regular"/>
          <w:color w:val="000000"/>
          <w:kern w:val="0"/>
          <w:sz w:val="24"/>
        </w:rPr>
        <w:t xml:space="preserve">CAT-like catalytic activity at room temperature and </w:t>
      </w:r>
      <w:r>
        <w:rPr>
          <w:rFonts w:hint="eastAsia" w:ascii="Times New Roman" w:hAnsi="Times New Roman" w:eastAsia="ScalaSansLF-Regular"/>
          <w:color w:val="000000"/>
          <w:kern w:val="0"/>
          <w:sz w:val="24"/>
        </w:rPr>
        <w:t>PTT</w:t>
      </w:r>
      <w:r>
        <w:rPr>
          <w:rFonts w:ascii="Times New Roman" w:hAnsi="Times New Roman" w:eastAsia="ScalaSansLF-Regular"/>
          <w:color w:val="000000"/>
          <w:kern w:val="0"/>
          <w:sz w:val="24"/>
        </w:rPr>
        <w:t xml:space="preserve"> temperature</w:t>
      </w:r>
      <w:r>
        <w:rPr>
          <w:rFonts w:hint="eastAsia" w:ascii="Times New Roman" w:hAnsi="Times New Roman" w:eastAsia="ScalaSansLF-Regular"/>
          <w:color w:val="000000"/>
          <w:kern w:val="0"/>
          <w:sz w:val="24"/>
        </w:rPr>
        <w:t>.</w:t>
      </w:r>
    </w:p>
    <w:bookmarkEnd w:id="0"/>
    <w:p w14:paraId="5B470D1C">
      <w:pPr>
        <w:widowControl/>
        <w:spacing w:line="480" w:lineRule="auto"/>
        <w:jc w:val="center"/>
      </w:pPr>
    </w:p>
    <w:p w14:paraId="37F5163A">
      <w:pPr>
        <w:widowControl/>
        <w:spacing w:line="480" w:lineRule="auto"/>
        <w:jc w:val="center"/>
        <w:rPr>
          <w:rFonts w:ascii="Times New Roman" w:hAnsi="Times New Roman" w:eastAsia="ScalaSansLF-Regular"/>
          <w:color w:val="000000"/>
          <w:kern w:val="0"/>
          <w:sz w:val="24"/>
        </w:rPr>
      </w:pPr>
      <w:r>
        <w:pict>
          <v:shape id="_x0000_i1043" o:spt="75" type="#_x0000_t75" style="height:511pt;width:348pt;" filled="f" o:preferrelative="t" stroked="f" coordsize="21600,21600">
            <v:path/>
            <v:fill on="f" focussize="0,0"/>
            <v:stroke on="f" joinstyle="miter"/>
            <v:imagedata r:id="rId23" o:title=""/>
            <o:lock v:ext="edit" aspectratio="t"/>
            <w10:wrap type="none"/>
            <w10:anchorlock/>
          </v:shape>
        </w:pict>
      </w:r>
    </w:p>
    <w:p w14:paraId="50627846">
      <w:pPr>
        <w:widowControl/>
        <w:rPr>
          <w:rFonts w:ascii="Times New Roman" w:hAnsi="Times New Roman" w:eastAsia="ScalaSansLF-Regular"/>
          <w:color w:val="000000"/>
          <w:kern w:val="0"/>
          <w:sz w:val="24"/>
        </w:rPr>
      </w:pPr>
      <w:r>
        <w:rPr>
          <w:rFonts w:ascii="Times New Roman" w:hAnsi="Times New Roman"/>
          <w:b/>
          <w:bCs/>
          <w:sz w:val="24"/>
        </w:rPr>
        <w:t>Fig. S</w:t>
      </w:r>
      <w:r>
        <w:rPr>
          <w:rFonts w:hint="eastAsia" w:ascii="Times New Roman" w:hAnsi="Times New Roman"/>
          <w:b/>
          <w:bCs/>
          <w:sz w:val="24"/>
        </w:rPr>
        <w:t xml:space="preserve">19. </w:t>
      </w:r>
      <w:r>
        <w:rPr>
          <w:rFonts w:hint="eastAsia" w:ascii="Times New Roman" w:hAnsi="Times New Roman" w:eastAsia="ScalaSansLF-Regular"/>
          <w:color w:val="000000"/>
          <w:kern w:val="0"/>
          <w:sz w:val="24"/>
        </w:rPr>
        <w:t xml:space="preserve">The GSH depletion activity evaluation of </w:t>
      </w:r>
      <w:r>
        <w:rPr>
          <w:rFonts w:hint="eastAsia" w:ascii="Times New Roman" w:hAnsi="Times New Roman"/>
          <w:sz w:val="24"/>
        </w:rPr>
        <w:t>Fe-SAzyme</w:t>
      </w:r>
      <w:r>
        <w:rPr>
          <w:rFonts w:hint="eastAsia" w:ascii="Times New Roman" w:hAnsi="Times New Roman" w:eastAsia="ScalaSansLF-Regular"/>
          <w:color w:val="000000"/>
          <w:kern w:val="0"/>
          <w:sz w:val="24"/>
        </w:rPr>
        <w:t xml:space="preserve"> (a) without or (b) with mild NIR-II laser treatments.</w:t>
      </w:r>
    </w:p>
    <w:p w14:paraId="52BF1A6D">
      <w:pPr>
        <w:widowControl/>
        <w:rPr>
          <w:rFonts w:ascii="Times New Roman" w:hAnsi="Times New Roman" w:eastAsia="ScalaSansLF-Regular"/>
          <w:color w:val="000000"/>
          <w:kern w:val="0"/>
          <w:sz w:val="24"/>
        </w:rPr>
      </w:pPr>
    </w:p>
    <w:p w14:paraId="633EC0EE">
      <w:pPr>
        <w:widowControl/>
        <w:jc w:val="center"/>
        <w:rPr>
          <w:rFonts w:ascii="Times New Roman" w:hAnsi="Times New Roman" w:eastAsia="ScalaSansLF-Regular"/>
          <w:color w:val="000000"/>
          <w:kern w:val="0"/>
          <w:sz w:val="24"/>
        </w:rPr>
      </w:pPr>
      <w:bookmarkStart w:id="1" w:name="_Hlk219799918"/>
      <w:r>
        <w:rPr>
          <w:rFonts w:ascii="Times New Roman" w:hAnsi="Times New Roman" w:eastAsia="ScalaSansLF-Regular"/>
          <w:color w:val="000000"/>
          <w:kern w:val="0"/>
          <w:sz w:val="24"/>
        </w:rPr>
        <w:pict>
          <v:shape id="_x0000_i1044" o:spt="75" type="#_x0000_t75" style="height:255.5pt;width:341pt;" filled="f" o:preferrelative="t" stroked="f" coordsize="21600,21600">
            <v:path/>
            <v:fill on="f" focussize="0,0"/>
            <v:stroke on="f" joinstyle="miter"/>
            <v:imagedata r:id="rId24" o:title="36d3f1bb204e8889e9790d017ea6b65"/>
            <o:lock v:ext="edit" aspectratio="t"/>
            <w10:wrap type="none"/>
            <w10:anchorlock/>
          </v:shape>
        </w:pict>
      </w:r>
    </w:p>
    <w:p w14:paraId="416B27CF">
      <w:pPr>
        <w:widowControl/>
        <w:rPr>
          <w:rFonts w:ascii="Times New Roman" w:hAnsi="Times New Roman" w:eastAsia="ScalaSansLF-Regular"/>
          <w:color w:val="000000"/>
          <w:kern w:val="0"/>
          <w:sz w:val="24"/>
        </w:rPr>
      </w:pPr>
      <w:r>
        <w:rPr>
          <w:rFonts w:hint="eastAsia" w:ascii="Times New Roman" w:hAnsi="Times New Roman" w:eastAsia="ScalaSansLF-Regular"/>
          <w:b/>
          <w:bCs/>
          <w:color w:val="000000"/>
          <w:kern w:val="0"/>
          <w:sz w:val="24"/>
        </w:rPr>
        <w:t>Fig. S20.</w:t>
      </w:r>
      <w:r>
        <w:rPr>
          <w:rFonts w:hint="eastAsia" w:ascii="Times New Roman" w:hAnsi="Times New Roman" w:eastAsia="ScalaSansLF-Regular"/>
          <w:color w:val="000000"/>
          <w:kern w:val="0"/>
          <w:sz w:val="24"/>
        </w:rPr>
        <w:t xml:space="preserve"> </w:t>
      </w:r>
      <w:r>
        <w:rPr>
          <w:rFonts w:ascii="Times New Roman" w:hAnsi="Times New Roman" w:eastAsia="ScalaSansLF-Regular"/>
          <w:color w:val="000000"/>
          <w:kern w:val="0"/>
          <w:sz w:val="24"/>
        </w:rPr>
        <w:t>Confocal fluorescence colocalization analysis of Fe</w:t>
      </w:r>
      <w:r>
        <w:rPr>
          <w:rFonts w:hint="eastAsia" w:ascii="Times New Roman" w:hAnsi="Times New Roman" w:eastAsia="ScalaSansLF-Regular"/>
          <w:color w:val="000000"/>
          <w:kern w:val="0"/>
          <w:sz w:val="24"/>
        </w:rPr>
        <w:t>-SAzyme-TPP</w:t>
      </w:r>
      <w:r>
        <w:rPr>
          <w:rFonts w:ascii="Times New Roman" w:hAnsi="Times New Roman" w:eastAsia="ScalaSansLF-Regular"/>
          <w:color w:val="000000"/>
          <w:kern w:val="0"/>
          <w:sz w:val="24"/>
        </w:rPr>
        <w:t xml:space="preserve"> stained with Rhodamine B, green-fluorescent mitochondria, and blue-fluorescent cells</w:t>
      </w:r>
      <w:r>
        <w:rPr>
          <w:rFonts w:hint="eastAsia" w:ascii="Times New Roman" w:hAnsi="Times New Roman" w:eastAsia="ScalaSansLF-Regular"/>
          <w:color w:val="000000"/>
          <w:kern w:val="0"/>
          <w:sz w:val="24"/>
        </w:rPr>
        <w:t>.</w:t>
      </w:r>
    </w:p>
    <w:bookmarkEnd w:id="1"/>
    <w:p w14:paraId="6AAFDC3F">
      <w:pPr>
        <w:widowControl/>
        <w:jc w:val="center"/>
        <w:rPr>
          <w:rFonts w:ascii="Times New Roman" w:hAnsi="Times New Roman" w:eastAsia="ScalaSansLF-Regular"/>
          <w:color w:val="000000"/>
          <w:kern w:val="0"/>
          <w:sz w:val="24"/>
        </w:rPr>
      </w:pPr>
    </w:p>
    <w:p w14:paraId="6CAD0106">
      <w:pPr>
        <w:widowControl/>
        <w:spacing w:line="480" w:lineRule="auto"/>
        <w:jc w:val="center"/>
      </w:pPr>
      <w:r>
        <w:pict>
          <v:shape id="_x0000_i1045" o:spt="75" type="#_x0000_t75" style="height:279.5pt;width:283.5pt;" filled="f" o:preferrelative="t" stroked="f" coordsize="21600,21600">
            <v:path/>
            <v:fill on="f" focussize="0,0"/>
            <v:stroke on="f" joinstyle="miter"/>
            <v:imagedata r:id="rId25" o:title=""/>
            <o:lock v:ext="edit" aspectratio="t"/>
            <w10:wrap type="none"/>
            <w10:anchorlock/>
          </v:shape>
        </w:pict>
      </w:r>
    </w:p>
    <w:p w14:paraId="440D3D17">
      <w:pPr>
        <w:widowControl/>
        <w:rPr>
          <w:rFonts w:ascii="Times New Roman" w:hAnsi="Times New Roman" w:eastAsia="ScalaSansLF-Regular"/>
          <w:color w:val="000000"/>
          <w:kern w:val="0"/>
          <w:sz w:val="24"/>
        </w:rPr>
      </w:pPr>
      <w:r>
        <w:rPr>
          <w:rFonts w:hint="eastAsia" w:ascii="Times New Roman" w:hAnsi="Times New Roman" w:eastAsia="ScalaSansLF-Regular"/>
          <w:b/>
          <w:bCs/>
          <w:color w:val="000000"/>
          <w:kern w:val="0"/>
          <w:sz w:val="24"/>
        </w:rPr>
        <w:t>Fig. S21.</w:t>
      </w:r>
      <w:r>
        <w:rPr>
          <w:rFonts w:hint="eastAsia" w:ascii="Times New Roman" w:hAnsi="Times New Roman" w:eastAsia="ScalaSansLF-Regular"/>
          <w:color w:val="000000"/>
          <w:kern w:val="0"/>
          <w:sz w:val="24"/>
        </w:rPr>
        <w:t xml:space="preserve"> Flow cytometry imaging of cellular uptake of Rhodamine B-labeled Fe-SAzyme-TPP over time.</w:t>
      </w:r>
    </w:p>
    <w:p w14:paraId="1C766057">
      <w:pPr>
        <w:widowControl/>
        <w:rPr>
          <w:rFonts w:ascii="Times New Roman" w:hAnsi="Times New Roman" w:eastAsia="ScalaSansLF-Regular"/>
          <w:color w:val="000000"/>
          <w:kern w:val="0"/>
          <w:sz w:val="24"/>
        </w:rPr>
      </w:pPr>
    </w:p>
    <w:p w14:paraId="030D6A99">
      <w:pPr>
        <w:widowControl/>
        <w:jc w:val="center"/>
      </w:pPr>
      <w:r>
        <w:pict>
          <v:shape id="_x0000_i1046" o:spt="75" type="#_x0000_t75" style="height:300pt;width:207.5pt;" filled="f" o:preferrelative="t" stroked="f" coordsize="21600,21600">
            <v:path/>
            <v:fill on="f" focussize="0,0"/>
            <v:stroke on="f" joinstyle="miter"/>
            <v:imagedata r:id="rId26" o:title=""/>
            <o:lock v:ext="edit" aspectratio="t"/>
            <w10:wrap type="none"/>
            <w10:anchorlock/>
          </v:shape>
        </w:pict>
      </w:r>
    </w:p>
    <w:p w14:paraId="3E94C685">
      <w:pPr>
        <w:widowControl/>
        <w:rPr>
          <w:rFonts w:ascii="Times New Roman" w:hAnsi="Times New Roman" w:eastAsia="ScalaSansLF-Regular"/>
          <w:color w:val="000000"/>
          <w:kern w:val="0"/>
          <w:sz w:val="24"/>
        </w:rPr>
      </w:pPr>
      <w:r>
        <w:rPr>
          <w:rFonts w:ascii="Times New Roman" w:hAnsi="Times New Roman"/>
          <w:b/>
          <w:bCs/>
          <w:sz w:val="24"/>
        </w:rPr>
        <w:t>Fig. S</w:t>
      </w:r>
      <w:r>
        <w:rPr>
          <w:rFonts w:hint="eastAsia" w:ascii="Times New Roman" w:hAnsi="Times New Roman"/>
          <w:b/>
          <w:bCs/>
          <w:sz w:val="24"/>
        </w:rPr>
        <w:t xml:space="preserve">22. </w:t>
      </w:r>
      <w:r>
        <w:rPr>
          <w:rFonts w:ascii="Times New Roman" w:hAnsi="Times New Roman"/>
          <w:sz w:val="24"/>
        </w:rPr>
        <w:t>ICP-</w:t>
      </w:r>
      <w:r>
        <w:rPr>
          <w:rFonts w:hint="eastAsia" w:ascii="Times New Roman" w:hAnsi="Times New Roman"/>
          <w:sz w:val="24"/>
        </w:rPr>
        <w:t>OE</w:t>
      </w:r>
      <w:r>
        <w:rPr>
          <w:rFonts w:ascii="Times New Roman" w:hAnsi="Times New Roman"/>
          <w:sz w:val="24"/>
        </w:rPr>
        <w:t xml:space="preserve">S </w:t>
      </w:r>
      <w:r>
        <w:rPr>
          <w:rFonts w:hint="eastAsia" w:ascii="Times New Roman" w:hAnsi="Times New Roman"/>
          <w:sz w:val="24"/>
        </w:rPr>
        <w:t>q</w:t>
      </w:r>
      <w:r>
        <w:rPr>
          <w:rFonts w:ascii="Times New Roman" w:hAnsi="Times New Roman"/>
          <w:sz w:val="24"/>
        </w:rPr>
        <w:t xml:space="preserve">uantification of </w:t>
      </w:r>
      <w:r>
        <w:rPr>
          <w:rFonts w:hint="eastAsia" w:ascii="Times New Roman" w:hAnsi="Times New Roman"/>
          <w:sz w:val="24"/>
        </w:rPr>
        <w:t>i</w:t>
      </w:r>
      <w:r>
        <w:rPr>
          <w:rFonts w:ascii="Times New Roman" w:hAnsi="Times New Roman"/>
          <w:sz w:val="24"/>
        </w:rPr>
        <w:t xml:space="preserve">ntracellular </w:t>
      </w:r>
      <w:r>
        <w:rPr>
          <w:rFonts w:hint="eastAsia" w:ascii="Times New Roman" w:hAnsi="Times New Roman"/>
          <w:sz w:val="24"/>
        </w:rPr>
        <w:t>Fe</w:t>
      </w:r>
      <w:r>
        <w:rPr>
          <w:rFonts w:ascii="Times New Roman" w:hAnsi="Times New Roman"/>
          <w:sz w:val="24"/>
        </w:rPr>
        <w:t xml:space="preserve"> </w:t>
      </w:r>
      <w:r>
        <w:rPr>
          <w:rFonts w:hint="eastAsia" w:ascii="Times New Roman" w:hAnsi="Times New Roman"/>
          <w:sz w:val="24"/>
        </w:rPr>
        <w:t>c</w:t>
      </w:r>
      <w:r>
        <w:rPr>
          <w:rFonts w:ascii="Times New Roman" w:hAnsi="Times New Roman"/>
          <w:sz w:val="24"/>
        </w:rPr>
        <w:t>ontent</w:t>
      </w:r>
      <w:r>
        <w:rPr>
          <w:rFonts w:hint="eastAsia" w:ascii="Times New Roman" w:hAnsi="Times New Roman" w:eastAsia="ScalaSansLF-Regular"/>
          <w:color w:val="000000"/>
          <w:kern w:val="0"/>
          <w:sz w:val="24"/>
        </w:rPr>
        <w:t>.</w:t>
      </w:r>
    </w:p>
    <w:p w14:paraId="0CDCC3E4">
      <w:pPr>
        <w:widowControl/>
        <w:jc w:val="center"/>
        <w:rPr>
          <w:rFonts w:ascii="Times New Roman" w:hAnsi="Times New Roman" w:eastAsia="ScalaSansLF-Regular"/>
          <w:color w:val="000000"/>
          <w:kern w:val="0"/>
          <w:sz w:val="24"/>
        </w:rPr>
      </w:pPr>
    </w:p>
    <w:p w14:paraId="4AED6336">
      <w:pPr>
        <w:widowControl/>
        <w:spacing w:line="480" w:lineRule="auto"/>
        <w:jc w:val="center"/>
      </w:pPr>
      <w:r>
        <w:pict>
          <v:shape id="_x0000_i1047" o:spt="75" alt="S19" type="#_x0000_t75" style="height:244.5pt;width:348pt;" filled="f" o:preferrelative="t" stroked="f" coordsize="21600,21600">
            <v:path/>
            <v:fill on="f" focussize="0,0"/>
            <v:stroke on="f" joinstyle="miter"/>
            <v:imagedata r:id="rId27" o:title="S19"/>
            <o:lock v:ext="edit" aspectratio="t"/>
            <w10:wrap type="none"/>
            <w10:anchorlock/>
          </v:shape>
        </w:pict>
      </w:r>
    </w:p>
    <w:p w14:paraId="1003EFE1">
      <w:pPr>
        <w:widowControl/>
        <w:rPr>
          <w:rFonts w:ascii="Times New Roman" w:hAnsi="Times New Roman" w:eastAsia="ScalaSansLF-Regular"/>
          <w:color w:val="000000"/>
          <w:kern w:val="0"/>
          <w:sz w:val="24"/>
        </w:rPr>
      </w:pPr>
      <w:r>
        <w:rPr>
          <w:rFonts w:ascii="Times New Roman" w:hAnsi="Times New Roman"/>
          <w:b/>
          <w:bCs/>
          <w:sz w:val="24"/>
        </w:rPr>
        <w:t>Fig. S</w:t>
      </w:r>
      <w:r>
        <w:rPr>
          <w:rFonts w:hint="eastAsia" w:ascii="Times New Roman" w:hAnsi="Times New Roman"/>
          <w:b/>
          <w:bCs/>
          <w:sz w:val="24"/>
        </w:rPr>
        <w:t xml:space="preserve">23. </w:t>
      </w:r>
      <w:r>
        <w:rPr>
          <w:rFonts w:hint="eastAsia" w:ascii="Times New Roman" w:hAnsi="Times New Roman"/>
          <w:sz w:val="24"/>
        </w:rPr>
        <w:t>Cell viability of HUVEC after treatment with different concentrations of Fe-SAzyme-TPP</w:t>
      </w:r>
      <w:r>
        <w:rPr>
          <w:rFonts w:hint="eastAsia" w:ascii="Times New Roman" w:hAnsi="Times New Roman" w:eastAsia="ScalaSansLF-Regular"/>
          <w:color w:val="000000"/>
          <w:kern w:val="0"/>
          <w:sz w:val="24"/>
        </w:rPr>
        <w:t>.</w:t>
      </w:r>
    </w:p>
    <w:p w14:paraId="1FB5F808">
      <w:pPr>
        <w:widowControl/>
        <w:spacing w:line="480" w:lineRule="auto"/>
      </w:pPr>
    </w:p>
    <w:p w14:paraId="6AA84B45">
      <w:pPr>
        <w:widowControl/>
        <w:spacing w:line="480" w:lineRule="auto"/>
      </w:pPr>
      <w:bookmarkStart w:id="2" w:name="_Hlk219576577"/>
      <w:r>
        <w:pict>
          <v:shape id="_x0000_i1048" o:spt="75" type="#_x0000_t75" style="height:198pt;width:400pt;" filled="f" o:preferrelative="t" stroked="f" coordsize="21600,21600">
            <v:path/>
            <v:fill on="f" focussize="0,0"/>
            <v:stroke on="f" joinstyle="miter"/>
            <v:imagedata r:id="rId28" o:title=""/>
            <o:lock v:ext="edit" aspectratio="t"/>
            <w10:wrap type="none"/>
            <w10:anchorlock/>
          </v:shape>
        </w:pict>
      </w:r>
    </w:p>
    <w:p w14:paraId="56B0B271">
      <w:pPr>
        <w:widowControl/>
        <w:rPr>
          <w:rFonts w:ascii="Times New Roman" w:hAnsi="Times New Roman"/>
          <w:sz w:val="24"/>
        </w:rPr>
      </w:pPr>
      <w:r>
        <w:rPr>
          <w:rFonts w:ascii="Times New Roman" w:hAnsi="Times New Roman"/>
          <w:b/>
          <w:bCs/>
          <w:sz w:val="24"/>
        </w:rPr>
        <w:t>Fig. S</w:t>
      </w:r>
      <w:r>
        <w:rPr>
          <w:rFonts w:hint="eastAsia" w:ascii="Times New Roman" w:hAnsi="Times New Roman"/>
          <w:b/>
          <w:bCs/>
          <w:sz w:val="24"/>
        </w:rPr>
        <w:t xml:space="preserve">24. </w:t>
      </w:r>
      <w:r>
        <w:rPr>
          <w:rFonts w:hint="eastAsia" w:ascii="Times New Roman" w:hAnsi="Times New Roman"/>
          <w:sz w:val="24"/>
        </w:rPr>
        <w:t>Quantitative analysis of fluorescence intensity in cell (a) ROS, (b) O</w:t>
      </w:r>
      <w:r>
        <w:rPr>
          <w:rFonts w:hint="eastAsia" w:ascii="Times New Roman" w:hAnsi="Times New Roman"/>
          <w:sz w:val="24"/>
          <w:vertAlign w:val="subscript"/>
        </w:rPr>
        <w:t>2</w:t>
      </w:r>
      <w:r>
        <w:rPr>
          <w:rFonts w:hint="eastAsia" w:ascii="Times New Roman" w:hAnsi="Times New Roman"/>
          <w:sz w:val="24"/>
        </w:rPr>
        <w:t xml:space="preserve">, and (c) </w:t>
      </w:r>
      <w:r>
        <w:rPr>
          <w:rFonts w:ascii="Times New Roman" w:hAnsi="Times New Roman"/>
          <w:sz w:val="24"/>
        </w:rPr>
        <w:t>Live/dead staining</w:t>
      </w:r>
      <w:r>
        <w:rPr>
          <w:rFonts w:hint="eastAsia" w:ascii="Times New Roman" w:hAnsi="Times New Roman"/>
          <w:sz w:val="24"/>
        </w:rPr>
        <w:t>.</w:t>
      </w:r>
    </w:p>
    <w:p w14:paraId="2A75C132">
      <w:pPr>
        <w:widowControl/>
        <w:rPr>
          <w:rFonts w:ascii="Times New Roman" w:hAnsi="Times New Roman"/>
          <w:sz w:val="24"/>
        </w:rPr>
      </w:pPr>
    </w:p>
    <w:p w14:paraId="1B9B6E76">
      <w:pPr>
        <w:widowControl/>
        <w:jc w:val="center"/>
        <w:rPr>
          <w:rFonts w:ascii="Times New Roman" w:hAnsi="Times New Roman"/>
          <w:sz w:val="24"/>
        </w:rPr>
      </w:pPr>
      <w:bookmarkStart w:id="3" w:name="_Hlk219795082"/>
      <w:r>
        <w:pict>
          <v:shape id="_x0000_i1049" o:spt="75" type="#_x0000_t75" style="height:308pt;width:219pt;" filled="f" o:preferrelative="t" stroked="f" coordsize="21600,21600">
            <v:path/>
            <v:fill on="f" focussize="0,0"/>
            <v:stroke on="f" joinstyle="miter"/>
            <v:imagedata r:id="rId29" o:title=""/>
            <o:lock v:ext="edit" aspectratio="t"/>
            <w10:wrap type="none"/>
            <w10:anchorlock/>
          </v:shape>
        </w:pict>
      </w:r>
    </w:p>
    <w:p w14:paraId="7FC87AF2">
      <w:pPr>
        <w:widowControl/>
        <w:rPr>
          <w:rFonts w:ascii="Times New Roman" w:hAnsi="Times New Roman"/>
          <w:sz w:val="24"/>
        </w:rPr>
      </w:pPr>
      <w:bookmarkStart w:id="4" w:name="_Hlk219795070"/>
      <w:r>
        <w:rPr>
          <w:rFonts w:ascii="Times New Roman" w:hAnsi="Times New Roman"/>
          <w:b/>
          <w:bCs/>
          <w:sz w:val="24"/>
        </w:rPr>
        <w:t>Fig.</w:t>
      </w:r>
      <w:r>
        <w:rPr>
          <w:rFonts w:hint="eastAsia" w:ascii="Times New Roman" w:hAnsi="Times New Roman"/>
          <w:b/>
          <w:bCs/>
          <w:sz w:val="24"/>
        </w:rPr>
        <w:t xml:space="preserve"> </w:t>
      </w:r>
      <w:r>
        <w:rPr>
          <w:rFonts w:ascii="Times New Roman" w:hAnsi="Times New Roman"/>
          <w:b/>
          <w:bCs/>
          <w:sz w:val="24"/>
        </w:rPr>
        <w:t>S</w:t>
      </w:r>
      <w:r>
        <w:rPr>
          <w:rFonts w:hint="eastAsia" w:ascii="Times New Roman" w:hAnsi="Times New Roman"/>
          <w:b/>
          <w:bCs/>
          <w:sz w:val="24"/>
        </w:rPr>
        <w:t xml:space="preserve">25. </w:t>
      </w:r>
      <w:r>
        <w:rPr>
          <w:rFonts w:ascii="Times New Roman" w:hAnsi="Times New Roman"/>
          <w:sz w:val="24"/>
        </w:rPr>
        <w:t>MDA levels in cells treated with Fe</w:t>
      </w:r>
      <w:r>
        <w:rPr>
          <w:rFonts w:hint="eastAsia" w:ascii="Times New Roman" w:hAnsi="Times New Roman"/>
          <w:sz w:val="24"/>
        </w:rPr>
        <w:t>-SAzyme-TPP</w:t>
      </w:r>
      <w:r>
        <w:rPr>
          <w:rFonts w:ascii="Times New Roman" w:hAnsi="Times New Roman"/>
          <w:sz w:val="24"/>
        </w:rPr>
        <w:t xml:space="preserve"> and Fe</w:t>
      </w:r>
      <w:r>
        <w:rPr>
          <w:rFonts w:hint="eastAsia" w:ascii="Times New Roman" w:hAnsi="Times New Roman"/>
          <w:sz w:val="24"/>
        </w:rPr>
        <w:t>-SAzyme-TPP</w:t>
      </w:r>
      <w:r>
        <w:rPr>
          <w:rFonts w:ascii="Times New Roman" w:hAnsi="Times New Roman"/>
          <w:sz w:val="24"/>
        </w:rPr>
        <w:t>+Fer</w:t>
      </w:r>
      <w:r>
        <w:rPr>
          <w:rFonts w:hint="eastAsia" w:ascii="Times New Roman" w:hAnsi="Times New Roman"/>
          <w:sz w:val="24"/>
        </w:rPr>
        <w:t>rostatin-1</w:t>
      </w:r>
      <w:r>
        <w:rPr>
          <w:rFonts w:ascii="Times New Roman" w:hAnsi="Times New Roman"/>
          <w:sz w:val="24"/>
        </w:rPr>
        <w:t xml:space="preserve"> for 24 h</w:t>
      </w:r>
      <w:r>
        <w:rPr>
          <w:rFonts w:hint="eastAsia" w:ascii="Times New Roman" w:hAnsi="Times New Roman"/>
          <w:sz w:val="24"/>
        </w:rPr>
        <w:t>.</w:t>
      </w:r>
    </w:p>
    <w:bookmarkEnd w:id="3"/>
    <w:bookmarkEnd w:id="4"/>
    <w:p w14:paraId="49218CFA">
      <w:pPr>
        <w:widowControl/>
        <w:rPr>
          <w:rFonts w:ascii="Times New Roman" w:hAnsi="Times New Roman"/>
          <w:sz w:val="24"/>
        </w:rPr>
      </w:pPr>
    </w:p>
    <w:p w14:paraId="7CD89E53">
      <w:pPr>
        <w:widowControl/>
        <w:jc w:val="center"/>
        <w:rPr>
          <w:rFonts w:ascii="Times New Roman" w:hAnsi="Times New Roman"/>
          <w:sz w:val="24"/>
        </w:rPr>
      </w:pPr>
      <w:bookmarkStart w:id="5" w:name="_Hlk219795486"/>
      <w:r>
        <w:pict>
          <v:shape id="_x0000_i1050" o:spt="75" type="#_x0000_t75" style="height:195.5pt;width:196pt;" filled="f" o:preferrelative="t" stroked="f" coordsize="21600,21600">
            <v:path/>
            <v:fill on="f" focussize="0,0"/>
            <v:stroke on="f" joinstyle="miter"/>
            <v:imagedata r:id="rId30" o:title=""/>
            <o:lock v:ext="edit" aspectratio="t"/>
            <w10:wrap type="none"/>
            <w10:anchorlock/>
          </v:shape>
        </w:pict>
      </w:r>
    </w:p>
    <w:p w14:paraId="41A1A2C8">
      <w:pPr>
        <w:widowControl/>
        <w:rPr>
          <w:rFonts w:ascii="Times New Roman" w:hAnsi="Times New Roman"/>
          <w:sz w:val="24"/>
        </w:rPr>
      </w:pPr>
      <w:r>
        <w:rPr>
          <w:rFonts w:ascii="Times New Roman" w:hAnsi="Times New Roman"/>
          <w:b/>
          <w:bCs/>
          <w:sz w:val="24"/>
        </w:rPr>
        <w:t>Fig. S</w:t>
      </w:r>
      <w:r>
        <w:rPr>
          <w:rFonts w:hint="eastAsia" w:ascii="Times New Roman" w:hAnsi="Times New Roman"/>
          <w:b/>
          <w:bCs/>
          <w:sz w:val="24"/>
        </w:rPr>
        <w:t xml:space="preserve">26. </w:t>
      </w:r>
      <w:r>
        <w:rPr>
          <w:rFonts w:ascii="Times New Roman" w:hAnsi="Times New Roman"/>
          <w:sz w:val="24"/>
        </w:rPr>
        <w:t>GPX4 protein expression levels following treatment with Fe</w:t>
      </w:r>
      <w:r>
        <w:rPr>
          <w:rFonts w:hint="eastAsia" w:ascii="Times New Roman" w:hAnsi="Times New Roman"/>
          <w:sz w:val="24"/>
        </w:rPr>
        <w:t>-SAzyme-TPP+NIR-Ⅱ</w:t>
      </w:r>
      <w:r>
        <w:rPr>
          <w:rFonts w:ascii="Times New Roman" w:hAnsi="Times New Roman"/>
          <w:sz w:val="24"/>
        </w:rPr>
        <w:t xml:space="preserve"> and Fe</w:t>
      </w:r>
      <w:r>
        <w:rPr>
          <w:rFonts w:hint="eastAsia" w:ascii="Times New Roman" w:hAnsi="Times New Roman"/>
          <w:sz w:val="24"/>
        </w:rPr>
        <w:t>-SAzyme-TPP+NIR-Ⅱ</w:t>
      </w:r>
      <w:r>
        <w:rPr>
          <w:rFonts w:ascii="Times New Roman" w:hAnsi="Times New Roman"/>
          <w:sz w:val="24"/>
        </w:rPr>
        <w:t>+Fer</w:t>
      </w:r>
      <w:r>
        <w:rPr>
          <w:rFonts w:hint="eastAsia" w:ascii="Times New Roman" w:hAnsi="Times New Roman"/>
          <w:sz w:val="24"/>
        </w:rPr>
        <w:t>rostatin-1.</w:t>
      </w:r>
    </w:p>
    <w:bookmarkEnd w:id="5"/>
    <w:p w14:paraId="70EEB58F">
      <w:pPr>
        <w:widowControl/>
        <w:rPr>
          <w:rFonts w:ascii="Times New Roman" w:hAnsi="Times New Roman"/>
          <w:sz w:val="24"/>
        </w:rPr>
      </w:pPr>
    </w:p>
    <w:p w14:paraId="265D21C7">
      <w:pPr>
        <w:widowControl/>
        <w:rPr>
          <w:rFonts w:ascii="Times New Roman" w:hAnsi="Times New Roman"/>
          <w:sz w:val="24"/>
        </w:rPr>
      </w:pPr>
      <w:bookmarkStart w:id="6" w:name="_Hlk219578410"/>
      <w:r>
        <w:pict>
          <v:shape id="_x0000_i1051" o:spt="75" type="#_x0000_t75" style="height:272.5pt;width:430.5pt;" filled="f" o:preferrelative="t" stroked="f" coordsize="21600,21600">
            <v:path/>
            <v:fill on="f" focussize="0,0"/>
            <v:stroke on="f" joinstyle="miter"/>
            <v:imagedata r:id="rId31" o:title=""/>
            <o:lock v:ext="edit" aspectratio="t"/>
            <w10:wrap type="none"/>
            <w10:anchorlock/>
          </v:shape>
        </w:pict>
      </w:r>
    </w:p>
    <w:bookmarkEnd w:id="2"/>
    <w:p w14:paraId="748BF622">
      <w:pPr>
        <w:widowControl/>
        <w:rPr>
          <w:rFonts w:ascii="Times New Roman" w:hAnsi="Times New Roman"/>
          <w:sz w:val="24"/>
        </w:rPr>
      </w:pPr>
      <w:r>
        <w:rPr>
          <w:rFonts w:ascii="Times New Roman" w:hAnsi="Times New Roman"/>
          <w:b/>
          <w:bCs/>
          <w:sz w:val="24"/>
        </w:rPr>
        <w:t xml:space="preserve">Fig. </w:t>
      </w:r>
      <w:r>
        <w:rPr>
          <w:rFonts w:hint="eastAsia" w:ascii="Times New Roman" w:hAnsi="Times New Roman"/>
          <w:b/>
          <w:bCs/>
          <w:sz w:val="24"/>
        </w:rPr>
        <w:t xml:space="preserve">S27. </w:t>
      </w:r>
      <w:r>
        <w:rPr>
          <w:rFonts w:ascii="Times New Roman" w:hAnsi="Times New Roman"/>
          <w:sz w:val="24"/>
        </w:rPr>
        <w:t>Fluorescent</w:t>
      </w:r>
      <w:r>
        <w:rPr>
          <w:rFonts w:hint="eastAsia" w:ascii="Times New Roman" w:hAnsi="Times New Roman"/>
          <w:sz w:val="24"/>
        </w:rPr>
        <w:t xml:space="preserve"> </w:t>
      </w:r>
      <w:r>
        <w:rPr>
          <w:rFonts w:ascii="Times New Roman" w:hAnsi="Times New Roman"/>
          <w:sz w:val="24"/>
        </w:rPr>
        <w:t xml:space="preserve">staining </w:t>
      </w:r>
      <w:r>
        <w:rPr>
          <w:rFonts w:hint="eastAsia" w:ascii="Times New Roman" w:hAnsi="Times New Roman"/>
          <w:sz w:val="24"/>
        </w:rPr>
        <w:t>(a) images</w:t>
      </w:r>
      <w:r>
        <w:rPr>
          <w:rFonts w:ascii="Times New Roman" w:hAnsi="Times New Roman"/>
          <w:sz w:val="24"/>
        </w:rPr>
        <w:t xml:space="preserve"> and </w:t>
      </w:r>
      <w:r>
        <w:rPr>
          <w:rFonts w:hint="eastAsia" w:ascii="Times New Roman" w:hAnsi="Times New Roman"/>
          <w:sz w:val="24"/>
        </w:rPr>
        <w:t xml:space="preserve">(b) </w:t>
      </w:r>
      <w:r>
        <w:rPr>
          <w:rFonts w:ascii="Times New Roman" w:hAnsi="Times New Roman"/>
          <w:sz w:val="24"/>
        </w:rPr>
        <w:t xml:space="preserve">quantitative analysis of intracellular </w:t>
      </w:r>
      <w:r>
        <w:rPr>
          <w:rFonts w:hint="eastAsia" w:ascii="Times New Roman" w:hAnsi="Times New Roman"/>
          <w:sz w:val="24"/>
        </w:rPr>
        <w:t>Fe</w:t>
      </w:r>
      <w:r>
        <w:rPr>
          <w:rFonts w:hint="eastAsia" w:ascii="Times New Roman" w:hAnsi="Times New Roman"/>
          <w:sz w:val="24"/>
          <w:vertAlign w:val="superscript"/>
        </w:rPr>
        <w:t>2+</w:t>
      </w:r>
      <w:r>
        <w:rPr>
          <w:rFonts w:ascii="Times New Roman" w:hAnsi="Times New Roman"/>
          <w:sz w:val="24"/>
        </w:rPr>
        <w:t xml:space="preserve"> in cells treated with </w:t>
      </w:r>
      <w:bookmarkStart w:id="7" w:name="OLE_LINK1"/>
      <w:r>
        <w:rPr>
          <w:rFonts w:hint="eastAsia" w:ascii="Times New Roman" w:hAnsi="Times New Roman"/>
          <w:sz w:val="24"/>
        </w:rPr>
        <w:t>Ferrostatin-1</w:t>
      </w:r>
      <w:bookmarkEnd w:id="7"/>
      <w:r>
        <w:rPr>
          <w:rFonts w:hint="eastAsia" w:ascii="Times New Roman" w:hAnsi="Times New Roman"/>
          <w:sz w:val="24"/>
        </w:rPr>
        <w:t xml:space="preserve"> (</w:t>
      </w:r>
      <w:r>
        <w:rPr>
          <w:rFonts w:ascii="Times New Roman" w:hAnsi="Times New Roman"/>
          <w:sz w:val="24"/>
        </w:rPr>
        <w:t>Scale bars:</w:t>
      </w:r>
      <w:r>
        <w:rPr>
          <w:rFonts w:hint="eastAsia" w:ascii="Times New Roman" w:hAnsi="Times New Roman"/>
          <w:sz w:val="24"/>
        </w:rPr>
        <w:t xml:space="preserve"> 5</w:t>
      </w:r>
      <w:r>
        <w:rPr>
          <w:rFonts w:ascii="Times New Roman" w:hAnsi="Times New Roman"/>
          <w:sz w:val="24"/>
        </w:rPr>
        <w:t>0 μm</w:t>
      </w:r>
      <w:r>
        <w:rPr>
          <w:rFonts w:hint="eastAsia" w:ascii="Times New Roman" w:hAnsi="Times New Roman"/>
          <w:sz w:val="24"/>
        </w:rPr>
        <w:t>).</w:t>
      </w:r>
    </w:p>
    <w:bookmarkEnd w:id="6"/>
    <w:p w14:paraId="37753B55">
      <w:pPr>
        <w:widowControl/>
      </w:pPr>
    </w:p>
    <w:p w14:paraId="290A64EA">
      <w:pPr>
        <w:widowControl/>
        <w:spacing w:line="480" w:lineRule="auto"/>
        <w:jc w:val="center"/>
      </w:pPr>
      <w:r>
        <w:pict>
          <v:shape id="_x0000_i1052" o:spt="75" type="#_x0000_t75" style="height:225.5pt;width:462pt;" filled="f" o:preferrelative="t" stroked="f" coordsize="21600,21600">
            <v:path/>
            <v:fill on="f" focussize="0,0"/>
            <v:stroke on="f" joinstyle="miter"/>
            <v:imagedata r:id="rId32" o:title="S20(2)"/>
            <o:lock v:ext="edit" aspectratio="t"/>
            <w10:wrap type="none"/>
            <w10:anchorlock/>
          </v:shape>
        </w:pict>
      </w:r>
    </w:p>
    <w:p w14:paraId="0ECE31F7">
      <w:pPr>
        <w:widowControl/>
        <w:rPr>
          <w:rFonts w:hint="eastAsia" w:ascii="Times New Roman" w:hAnsi="Times New Roman"/>
          <w:sz w:val="24"/>
        </w:rPr>
      </w:pPr>
      <w:r>
        <w:rPr>
          <w:rFonts w:ascii="Times New Roman" w:hAnsi="Times New Roman"/>
          <w:b/>
          <w:bCs/>
          <w:sz w:val="24"/>
        </w:rPr>
        <w:t xml:space="preserve">Fig. </w:t>
      </w:r>
      <w:r>
        <w:rPr>
          <w:rFonts w:hint="eastAsia" w:ascii="Times New Roman" w:hAnsi="Times New Roman"/>
          <w:b/>
          <w:bCs/>
          <w:sz w:val="24"/>
        </w:rPr>
        <w:t xml:space="preserve">S28. </w:t>
      </w:r>
      <w:r>
        <w:rPr>
          <w:rFonts w:hint="eastAsia" w:ascii="Times New Roman" w:hAnsi="Times New Roman"/>
          <w:sz w:val="24"/>
        </w:rPr>
        <w:t>Wound healing assays of 4T1 cells after treatment at the indicated time points.</w:t>
      </w:r>
    </w:p>
    <w:p w14:paraId="7982A1D2">
      <w:pPr>
        <w:widowControl/>
        <w:rPr>
          <w:rFonts w:hint="eastAsia" w:ascii="Times New Roman" w:hAnsi="Times New Roman"/>
          <w:sz w:val="24"/>
        </w:rPr>
      </w:pPr>
    </w:p>
    <w:p w14:paraId="175F89C1">
      <w:pPr>
        <w:widowControl/>
        <w:spacing w:line="480" w:lineRule="auto"/>
        <w:jc w:val="center"/>
        <w:rPr>
          <w:rFonts w:ascii="Times New Roman" w:hAnsi="Times New Roman"/>
          <w:sz w:val="24"/>
        </w:rPr>
      </w:pPr>
      <w:r>
        <w:pict>
          <v:shape id="_x0000_i1053" o:spt="75" type="#_x0000_t75" style="height:266.5pt;width:348pt;" filled="f" o:preferrelative="t" stroked="f" coordsize="21600,21600">
            <v:path/>
            <v:fill on="f" focussize="0,0"/>
            <v:stroke on="f" joinstyle="miter"/>
            <v:imagedata r:id="rId33" o:title=""/>
            <o:lock v:ext="edit" aspectratio="t"/>
            <w10:wrap type="none"/>
            <w10:anchorlock/>
          </v:shape>
        </w:pict>
      </w:r>
    </w:p>
    <w:p w14:paraId="47346D5B">
      <w:pPr>
        <w:widowControl/>
        <w:rPr>
          <w:rFonts w:hint="eastAsia" w:ascii="Times New Roman" w:hAnsi="Times New Roman"/>
          <w:sz w:val="24"/>
        </w:rPr>
      </w:pPr>
      <w:r>
        <w:rPr>
          <w:rFonts w:ascii="Times New Roman" w:hAnsi="Times New Roman"/>
          <w:b/>
          <w:bCs/>
          <w:sz w:val="24"/>
        </w:rPr>
        <w:t>Fig. S</w:t>
      </w:r>
      <w:r>
        <w:rPr>
          <w:rFonts w:hint="eastAsia" w:ascii="Times New Roman" w:hAnsi="Times New Roman"/>
          <w:b/>
          <w:bCs/>
          <w:sz w:val="24"/>
        </w:rPr>
        <w:t xml:space="preserve">29. </w:t>
      </w:r>
      <w:r>
        <w:rPr>
          <w:rFonts w:hint="eastAsia" w:ascii="Times New Roman" w:hAnsi="Times New Roman"/>
          <w:sz w:val="24"/>
        </w:rPr>
        <w:t>Temperature changes of the tumors in mice under irradiation (1064 nm, 500mW/cm</w:t>
      </w:r>
      <w:r>
        <w:rPr>
          <w:rFonts w:hint="eastAsia" w:ascii="Times New Roman" w:hAnsi="Times New Roman"/>
          <w:sz w:val="24"/>
          <w:vertAlign w:val="superscript"/>
        </w:rPr>
        <w:t>2</w:t>
      </w:r>
      <w:r>
        <w:rPr>
          <w:rFonts w:hint="eastAsia" w:ascii="Times New Roman" w:hAnsi="Times New Roman"/>
          <w:sz w:val="24"/>
        </w:rPr>
        <w:t>) for 5 min after the administration of PBS and Fe-SAzyme-TPP.</w:t>
      </w:r>
    </w:p>
    <w:p w14:paraId="33B6C849">
      <w:pPr>
        <w:widowControl/>
        <w:rPr>
          <w:rFonts w:hint="eastAsia" w:ascii="Times New Roman" w:hAnsi="Times New Roman"/>
          <w:sz w:val="24"/>
        </w:rPr>
      </w:pPr>
    </w:p>
    <w:p w14:paraId="41541765">
      <w:pPr>
        <w:widowControl/>
        <w:spacing w:line="480" w:lineRule="auto"/>
        <w:jc w:val="center"/>
      </w:pPr>
      <w:r>
        <w:pict>
          <v:shape id="_x0000_i1054" o:spt="75" alt="S21" type="#_x0000_t75" style="height:418.5pt;width:414.5pt;" filled="f" o:preferrelative="t" stroked="f" coordsize="21600,21600">
            <v:path/>
            <v:fill on="f" focussize="0,0"/>
            <v:stroke on="f" joinstyle="miter"/>
            <v:imagedata r:id="rId34" o:title="S21"/>
            <o:lock v:ext="edit" aspectratio="t"/>
            <w10:wrap type="none"/>
            <w10:anchorlock/>
          </v:shape>
        </w:pict>
      </w:r>
    </w:p>
    <w:p w14:paraId="1C05E2DC">
      <w:pPr>
        <w:widowControl/>
        <w:rPr>
          <w:rFonts w:ascii="Times New Roman" w:hAnsi="Times New Roman"/>
          <w:sz w:val="24"/>
        </w:rPr>
      </w:pPr>
      <w:r>
        <w:rPr>
          <w:rFonts w:ascii="Times New Roman" w:hAnsi="Times New Roman"/>
          <w:b/>
          <w:bCs/>
          <w:sz w:val="24"/>
        </w:rPr>
        <w:t>Fig. S</w:t>
      </w:r>
      <w:r>
        <w:rPr>
          <w:rFonts w:hint="eastAsia" w:ascii="Times New Roman" w:hAnsi="Times New Roman"/>
          <w:b/>
          <w:bCs/>
          <w:sz w:val="24"/>
        </w:rPr>
        <w:t xml:space="preserve">30. </w:t>
      </w:r>
      <w:r>
        <w:rPr>
          <w:rFonts w:ascii="Times New Roman" w:hAnsi="Times New Roman"/>
          <w:sz w:val="24"/>
        </w:rPr>
        <w:t>Serum biochemical parameters of mice following treatment with</w:t>
      </w:r>
      <w:r>
        <w:rPr>
          <w:rFonts w:hint="eastAsia" w:ascii="Times New Roman" w:hAnsi="Times New Roman"/>
          <w:sz w:val="24"/>
        </w:rPr>
        <w:t xml:space="preserve"> </w:t>
      </w:r>
      <w:r>
        <w:rPr>
          <w:rFonts w:ascii="Times New Roman" w:hAnsi="Times New Roman"/>
          <w:sz w:val="24"/>
          <w:lang w:bidi="ar"/>
        </w:rPr>
        <w:t>PBS</w:t>
      </w:r>
      <w:r>
        <w:rPr>
          <w:rFonts w:ascii="Times New Roman" w:hAnsi="Times New Roman"/>
          <w:sz w:val="24"/>
        </w:rPr>
        <w:t xml:space="preserve"> </w:t>
      </w:r>
      <w:r>
        <w:rPr>
          <w:rFonts w:hint="eastAsia" w:ascii="Times New Roman" w:hAnsi="Times New Roman"/>
          <w:sz w:val="24"/>
        </w:rPr>
        <w:t>and</w:t>
      </w:r>
      <w:r>
        <w:rPr>
          <w:rFonts w:ascii="Times New Roman" w:hAnsi="Times New Roman"/>
          <w:sz w:val="24"/>
        </w:rPr>
        <w:t xml:space="preserve"> Fe-SAzyme-TPP.</w:t>
      </w:r>
    </w:p>
    <w:p w14:paraId="39C4C5EB">
      <w:pPr>
        <w:widowControl/>
        <w:rPr>
          <w:rFonts w:ascii="Times New Roman" w:hAnsi="Times New Roman"/>
          <w:b/>
          <w:bCs/>
          <w:sz w:val="24"/>
        </w:rPr>
      </w:pPr>
    </w:p>
    <w:p w14:paraId="35C5D0F5">
      <w:pPr>
        <w:widowControl/>
        <w:rPr>
          <w:rFonts w:ascii="Times New Roman" w:hAnsi="Times New Roman"/>
          <w:b/>
          <w:bCs/>
          <w:sz w:val="24"/>
        </w:rPr>
      </w:pPr>
      <w:r>
        <w:rPr>
          <w:rFonts w:ascii="Times New Roman" w:hAnsi="Times New Roman"/>
          <w:b/>
          <w:bCs/>
          <w:sz w:val="24"/>
        </w:rPr>
        <w:t xml:space="preserve">Table S1. </w:t>
      </w:r>
      <w:r>
        <w:rPr>
          <w:rFonts w:ascii="Times New Roman" w:hAnsi="Times New Roman"/>
          <w:sz w:val="24"/>
        </w:rPr>
        <w:t>Elemental quantification of Fe-SAzyme determined by XPS spectra.</w:t>
      </w:r>
    </w:p>
    <w:tbl>
      <w:tblPr>
        <w:tblStyle w:val="5"/>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30"/>
        <w:gridCol w:w="2130"/>
        <w:gridCol w:w="2131"/>
        <w:gridCol w:w="2131"/>
      </w:tblGrid>
      <w:tr w14:paraId="0DEE2E6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130" w:type="dxa"/>
            <w:tcBorders>
              <w:top w:val="single" w:color="auto" w:sz="4" w:space="0"/>
              <w:bottom w:val="single" w:color="auto" w:sz="4" w:space="0"/>
            </w:tcBorders>
            <w:vAlign w:val="center"/>
          </w:tcPr>
          <w:p w14:paraId="7389FD38">
            <w:pPr>
              <w:widowControl/>
              <w:jc w:val="center"/>
              <w:rPr>
                <w:rFonts w:ascii="Times New Roman" w:hAnsi="Times New Roman"/>
                <w:b/>
                <w:bCs/>
                <w:sz w:val="24"/>
              </w:rPr>
            </w:pPr>
            <w:r>
              <w:rPr>
                <w:rFonts w:hint="eastAsia" w:ascii="Times New Roman" w:hAnsi="Times New Roman"/>
                <w:b/>
                <w:bCs/>
                <w:sz w:val="24"/>
              </w:rPr>
              <w:t>Percentage</w:t>
            </w:r>
          </w:p>
        </w:tc>
        <w:tc>
          <w:tcPr>
            <w:tcW w:w="2130" w:type="dxa"/>
            <w:tcBorders>
              <w:top w:val="single" w:color="auto" w:sz="4" w:space="0"/>
              <w:bottom w:val="single" w:color="auto" w:sz="4" w:space="0"/>
            </w:tcBorders>
            <w:vAlign w:val="center"/>
          </w:tcPr>
          <w:p w14:paraId="0FC451AC">
            <w:pPr>
              <w:widowControl/>
              <w:jc w:val="center"/>
              <w:rPr>
                <w:rFonts w:ascii="Times New Roman" w:hAnsi="Times New Roman"/>
                <w:b/>
                <w:bCs/>
                <w:sz w:val="24"/>
              </w:rPr>
            </w:pPr>
            <w:r>
              <w:rPr>
                <w:rFonts w:hint="eastAsia" w:ascii="Times New Roman" w:hAnsi="Times New Roman"/>
                <w:b/>
                <w:bCs/>
                <w:sz w:val="24"/>
              </w:rPr>
              <w:t>C (at%)</w:t>
            </w:r>
          </w:p>
        </w:tc>
        <w:tc>
          <w:tcPr>
            <w:tcW w:w="2131" w:type="dxa"/>
            <w:tcBorders>
              <w:top w:val="single" w:color="auto" w:sz="4" w:space="0"/>
              <w:bottom w:val="single" w:color="auto" w:sz="4" w:space="0"/>
            </w:tcBorders>
            <w:vAlign w:val="center"/>
          </w:tcPr>
          <w:p w14:paraId="797DDE91">
            <w:pPr>
              <w:widowControl/>
              <w:jc w:val="center"/>
              <w:rPr>
                <w:rFonts w:ascii="Times New Roman" w:hAnsi="Times New Roman"/>
                <w:b/>
                <w:bCs/>
                <w:sz w:val="24"/>
              </w:rPr>
            </w:pPr>
            <w:r>
              <w:rPr>
                <w:rFonts w:hint="eastAsia" w:ascii="Times New Roman" w:hAnsi="Times New Roman"/>
                <w:b/>
                <w:bCs/>
                <w:sz w:val="24"/>
              </w:rPr>
              <w:t>N (at%)</w:t>
            </w:r>
          </w:p>
        </w:tc>
        <w:tc>
          <w:tcPr>
            <w:tcW w:w="2131" w:type="dxa"/>
            <w:tcBorders>
              <w:top w:val="single" w:color="auto" w:sz="4" w:space="0"/>
              <w:bottom w:val="single" w:color="auto" w:sz="4" w:space="0"/>
            </w:tcBorders>
            <w:vAlign w:val="center"/>
          </w:tcPr>
          <w:p w14:paraId="6CD04B85">
            <w:pPr>
              <w:widowControl/>
              <w:jc w:val="center"/>
              <w:rPr>
                <w:rFonts w:ascii="Times New Roman" w:hAnsi="Times New Roman"/>
                <w:b/>
                <w:bCs/>
                <w:sz w:val="24"/>
              </w:rPr>
            </w:pPr>
            <w:r>
              <w:rPr>
                <w:rFonts w:hint="eastAsia" w:ascii="Times New Roman" w:hAnsi="Times New Roman"/>
                <w:b/>
                <w:bCs/>
                <w:sz w:val="24"/>
              </w:rPr>
              <w:t>Fe (at%)</w:t>
            </w:r>
          </w:p>
        </w:tc>
      </w:tr>
      <w:tr w14:paraId="4D1BBF6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2130" w:type="dxa"/>
            <w:tcBorders>
              <w:top w:val="single" w:color="auto" w:sz="4" w:space="0"/>
            </w:tcBorders>
            <w:vAlign w:val="center"/>
          </w:tcPr>
          <w:p w14:paraId="05779784">
            <w:pPr>
              <w:widowControl/>
              <w:jc w:val="center"/>
              <w:rPr>
                <w:rFonts w:ascii="Times New Roman" w:hAnsi="Times New Roman"/>
                <w:sz w:val="24"/>
              </w:rPr>
            </w:pPr>
            <w:r>
              <w:rPr>
                <w:rFonts w:hint="eastAsia" w:ascii="Times New Roman" w:hAnsi="Times New Roman"/>
                <w:sz w:val="24"/>
              </w:rPr>
              <w:t>Fe-SAzyme</w:t>
            </w:r>
          </w:p>
        </w:tc>
        <w:tc>
          <w:tcPr>
            <w:tcW w:w="2130" w:type="dxa"/>
            <w:tcBorders>
              <w:top w:val="single" w:color="auto" w:sz="4" w:space="0"/>
            </w:tcBorders>
            <w:vAlign w:val="center"/>
          </w:tcPr>
          <w:p w14:paraId="57FC51DB">
            <w:pPr>
              <w:widowControl/>
              <w:jc w:val="center"/>
              <w:rPr>
                <w:rFonts w:ascii="Times New Roman" w:hAnsi="Times New Roman"/>
                <w:sz w:val="24"/>
              </w:rPr>
            </w:pPr>
            <w:r>
              <w:rPr>
                <w:rFonts w:hint="eastAsia" w:ascii="Times New Roman" w:hAnsi="Times New Roman"/>
                <w:sz w:val="24"/>
              </w:rPr>
              <w:t>95.86</w:t>
            </w:r>
          </w:p>
        </w:tc>
        <w:tc>
          <w:tcPr>
            <w:tcW w:w="2131" w:type="dxa"/>
            <w:tcBorders>
              <w:top w:val="single" w:color="auto" w:sz="4" w:space="0"/>
            </w:tcBorders>
            <w:vAlign w:val="center"/>
          </w:tcPr>
          <w:p w14:paraId="05DD3387">
            <w:pPr>
              <w:widowControl/>
              <w:jc w:val="center"/>
              <w:rPr>
                <w:rFonts w:ascii="Times New Roman" w:hAnsi="Times New Roman"/>
                <w:sz w:val="24"/>
              </w:rPr>
            </w:pPr>
            <w:r>
              <w:rPr>
                <w:rFonts w:hint="eastAsia" w:ascii="Times New Roman" w:hAnsi="Times New Roman"/>
                <w:sz w:val="24"/>
              </w:rPr>
              <w:t>3.71</w:t>
            </w:r>
          </w:p>
        </w:tc>
        <w:tc>
          <w:tcPr>
            <w:tcW w:w="2131" w:type="dxa"/>
            <w:tcBorders>
              <w:top w:val="single" w:color="auto" w:sz="4" w:space="0"/>
            </w:tcBorders>
            <w:vAlign w:val="center"/>
          </w:tcPr>
          <w:p w14:paraId="120E63EA">
            <w:pPr>
              <w:widowControl/>
              <w:jc w:val="center"/>
              <w:rPr>
                <w:rFonts w:ascii="Times New Roman" w:hAnsi="Times New Roman"/>
                <w:sz w:val="24"/>
              </w:rPr>
            </w:pPr>
            <w:r>
              <w:rPr>
                <w:rFonts w:hint="eastAsia" w:ascii="Times New Roman" w:hAnsi="Times New Roman"/>
                <w:sz w:val="24"/>
              </w:rPr>
              <w:t>0.43</w:t>
            </w:r>
          </w:p>
        </w:tc>
      </w:tr>
    </w:tbl>
    <w:p w14:paraId="4DE5E801">
      <w:pPr>
        <w:widowControl/>
        <w:rPr>
          <w:rFonts w:ascii="Times New Roman" w:hAnsi="Times New Roman"/>
          <w:sz w:val="24"/>
        </w:rPr>
      </w:pPr>
    </w:p>
    <w:p w14:paraId="60E6CFCC">
      <w:pPr>
        <w:widowControl/>
        <w:rPr>
          <w:rFonts w:ascii="Times New Roman" w:hAnsi="Times New Roman"/>
          <w:sz w:val="24"/>
        </w:rPr>
      </w:pPr>
      <w:r>
        <w:rPr>
          <w:rFonts w:ascii="Times New Roman" w:hAnsi="Times New Roman"/>
          <w:b/>
          <w:bCs/>
          <w:sz w:val="24"/>
        </w:rPr>
        <w:t xml:space="preserve">Table S2. </w:t>
      </w:r>
      <w:r>
        <w:rPr>
          <w:rFonts w:ascii="Times New Roman" w:hAnsi="Times New Roman"/>
          <w:sz w:val="24"/>
        </w:rPr>
        <w:t>ICP-OES data for Fe-SAzyme.</w:t>
      </w:r>
    </w:p>
    <w:tbl>
      <w:tblPr>
        <w:tblStyle w:val="5"/>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40"/>
        <w:gridCol w:w="2841"/>
        <w:gridCol w:w="2841"/>
      </w:tblGrid>
      <w:tr w14:paraId="65638AD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40" w:type="dxa"/>
            <w:tcBorders>
              <w:top w:val="single" w:color="auto" w:sz="4" w:space="0"/>
              <w:bottom w:val="single" w:color="auto" w:sz="4" w:space="0"/>
            </w:tcBorders>
            <w:vAlign w:val="center"/>
          </w:tcPr>
          <w:p w14:paraId="4132DC4C">
            <w:pPr>
              <w:widowControl/>
              <w:spacing w:line="360" w:lineRule="auto"/>
              <w:jc w:val="center"/>
              <w:rPr>
                <w:rFonts w:ascii="Times New Roman" w:hAnsi="Times New Roman"/>
                <w:b/>
                <w:bCs/>
                <w:sz w:val="24"/>
              </w:rPr>
            </w:pPr>
            <w:r>
              <w:rPr>
                <w:rFonts w:hint="eastAsia" w:ascii="Times New Roman" w:hAnsi="Times New Roman"/>
                <w:b/>
                <w:bCs/>
                <w:sz w:val="24"/>
              </w:rPr>
              <w:t>Element</w:t>
            </w:r>
          </w:p>
        </w:tc>
        <w:tc>
          <w:tcPr>
            <w:tcW w:w="2841" w:type="dxa"/>
            <w:tcBorders>
              <w:top w:val="single" w:color="auto" w:sz="4" w:space="0"/>
              <w:bottom w:val="single" w:color="auto" w:sz="4" w:space="0"/>
            </w:tcBorders>
            <w:vAlign w:val="center"/>
          </w:tcPr>
          <w:p w14:paraId="573A1BF6">
            <w:pPr>
              <w:widowControl/>
              <w:spacing w:line="360" w:lineRule="auto"/>
              <w:jc w:val="center"/>
              <w:rPr>
                <w:rFonts w:ascii="Times New Roman" w:hAnsi="Times New Roman"/>
                <w:b/>
                <w:bCs/>
                <w:sz w:val="24"/>
              </w:rPr>
            </w:pPr>
            <w:r>
              <w:rPr>
                <w:rFonts w:ascii="Times New Roman" w:hAnsi="Times New Roman"/>
                <w:b/>
                <w:bCs/>
                <w:sz w:val="24"/>
              </w:rPr>
              <w:t>Element content in solution (μg/ml)</w:t>
            </w:r>
          </w:p>
        </w:tc>
        <w:tc>
          <w:tcPr>
            <w:tcW w:w="2841" w:type="dxa"/>
            <w:tcBorders>
              <w:top w:val="single" w:color="auto" w:sz="4" w:space="0"/>
              <w:bottom w:val="single" w:color="auto" w:sz="4" w:space="0"/>
            </w:tcBorders>
            <w:vAlign w:val="center"/>
          </w:tcPr>
          <w:p w14:paraId="6B4F89BA">
            <w:pPr>
              <w:widowControl/>
              <w:spacing w:line="360" w:lineRule="auto"/>
              <w:jc w:val="center"/>
              <w:rPr>
                <w:rFonts w:ascii="Times New Roman" w:hAnsi="Times New Roman"/>
                <w:b/>
                <w:bCs/>
                <w:sz w:val="24"/>
              </w:rPr>
            </w:pPr>
            <w:r>
              <w:rPr>
                <w:rFonts w:ascii="Times New Roman" w:hAnsi="Times New Roman"/>
                <w:b/>
                <w:bCs/>
                <w:sz w:val="24"/>
              </w:rPr>
              <w:t>Element content in the sample (wt%)</w:t>
            </w:r>
          </w:p>
        </w:tc>
      </w:tr>
      <w:tr w14:paraId="17A2B8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40" w:type="dxa"/>
            <w:tcBorders>
              <w:top w:val="single" w:color="auto" w:sz="4" w:space="0"/>
            </w:tcBorders>
            <w:vAlign w:val="center"/>
          </w:tcPr>
          <w:p w14:paraId="36D27E6D">
            <w:pPr>
              <w:widowControl/>
              <w:spacing w:line="360" w:lineRule="auto"/>
              <w:jc w:val="center"/>
              <w:rPr>
                <w:rFonts w:ascii="Times New Roman" w:hAnsi="Times New Roman"/>
                <w:sz w:val="24"/>
              </w:rPr>
            </w:pPr>
            <w:r>
              <w:rPr>
                <w:rFonts w:hint="eastAsia" w:ascii="Times New Roman" w:hAnsi="Times New Roman"/>
                <w:sz w:val="24"/>
              </w:rPr>
              <w:t>Fe</w:t>
            </w:r>
          </w:p>
        </w:tc>
        <w:tc>
          <w:tcPr>
            <w:tcW w:w="2841" w:type="dxa"/>
            <w:tcBorders>
              <w:top w:val="single" w:color="auto" w:sz="4" w:space="0"/>
            </w:tcBorders>
            <w:vAlign w:val="center"/>
          </w:tcPr>
          <w:p w14:paraId="4448DC09">
            <w:pPr>
              <w:widowControl/>
              <w:spacing w:line="360" w:lineRule="auto"/>
              <w:jc w:val="center"/>
              <w:rPr>
                <w:rFonts w:ascii="Times New Roman" w:hAnsi="Times New Roman"/>
                <w:sz w:val="24"/>
              </w:rPr>
            </w:pPr>
            <w:r>
              <w:rPr>
                <w:rFonts w:ascii="Times New Roman" w:hAnsi="Times New Roman"/>
                <w:sz w:val="24"/>
              </w:rPr>
              <w:t>0.0228±0.0013</w:t>
            </w:r>
          </w:p>
        </w:tc>
        <w:tc>
          <w:tcPr>
            <w:tcW w:w="2841" w:type="dxa"/>
            <w:tcBorders>
              <w:top w:val="single" w:color="auto" w:sz="4" w:space="0"/>
            </w:tcBorders>
            <w:vAlign w:val="center"/>
          </w:tcPr>
          <w:p w14:paraId="3A2E2734">
            <w:pPr>
              <w:widowControl/>
              <w:spacing w:line="360" w:lineRule="auto"/>
              <w:jc w:val="center"/>
              <w:rPr>
                <w:rFonts w:ascii="Times New Roman" w:hAnsi="Times New Roman"/>
                <w:sz w:val="24"/>
              </w:rPr>
            </w:pPr>
            <w:r>
              <w:rPr>
                <w:rFonts w:ascii="Times New Roman" w:hAnsi="Times New Roman"/>
                <w:sz w:val="24"/>
              </w:rPr>
              <w:t>0.51±0.03</w:t>
            </w:r>
          </w:p>
        </w:tc>
      </w:tr>
    </w:tbl>
    <w:p w14:paraId="11BEB8E0">
      <w:pPr>
        <w:widowControl/>
        <w:spacing w:line="360" w:lineRule="auto"/>
        <w:jc w:val="center"/>
        <w:rPr>
          <w:rFonts w:ascii="Times New Roman" w:hAnsi="Times New Roman"/>
          <w:sz w:val="24"/>
        </w:rPr>
      </w:pPr>
      <w:r>
        <w:rPr>
          <w:rFonts w:ascii="Times New Roman" w:hAnsi="Times New Roman"/>
          <w:sz w:val="24"/>
        </w:rPr>
        <w:t>Data represent mean ± SD of at least three independent experiments (n=3)</w:t>
      </w:r>
    </w:p>
    <w:p w14:paraId="30391A01">
      <w:pPr>
        <w:spacing w:line="300" w:lineRule="auto"/>
        <w:rPr>
          <w:rFonts w:ascii="Times New Roman" w:hAnsi="Times New Roman"/>
          <w:b/>
          <w:bCs/>
          <w:color w:val="FF0000"/>
          <w:sz w:val="24"/>
        </w:rPr>
      </w:pPr>
      <w:bookmarkStart w:id="8" w:name="_Hlk219389140"/>
    </w:p>
    <w:p w14:paraId="4BCA5832">
      <w:pPr>
        <w:rPr>
          <w:rFonts w:ascii="Times New Roman" w:hAnsi="Times New Roman"/>
          <w:sz w:val="24"/>
        </w:rPr>
      </w:pPr>
      <w:r>
        <w:rPr>
          <w:rFonts w:ascii="Times New Roman" w:hAnsi="Times New Roman"/>
          <w:b/>
          <w:bCs/>
          <w:sz w:val="24"/>
        </w:rPr>
        <w:t>Table S</w:t>
      </w:r>
      <w:r>
        <w:rPr>
          <w:rFonts w:hint="eastAsia" w:ascii="Times New Roman" w:hAnsi="Times New Roman"/>
          <w:b/>
          <w:bCs/>
          <w:sz w:val="24"/>
        </w:rPr>
        <w:t xml:space="preserve">3. </w:t>
      </w:r>
      <w:bookmarkStart w:id="9" w:name="_Hlk219367840"/>
      <w:r>
        <w:rPr>
          <w:rFonts w:ascii="Times New Roman" w:hAnsi="Times New Roman"/>
          <w:sz w:val="24"/>
        </w:rPr>
        <w:t xml:space="preserve">Comparison of </w:t>
      </w:r>
      <w:r>
        <w:rPr>
          <w:rFonts w:ascii="Times New Roman" w:hAnsi="Times New Roman"/>
          <w:i/>
          <w:iCs/>
          <w:sz w:val="24"/>
        </w:rPr>
        <w:t>K</w:t>
      </w:r>
      <w:r>
        <w:rPr>
          <w:rFonts w:ascii="Times New Roman" w:hAnsi="Times New Roman"/>
          <w:sz w:val="24"/>
          <w:vertAlign w:val="subscript"/>
        </w:rPr>
        <w:t>m</w:t>
      </w:r>
      <w:r>
        <w:rPr>
          <w:rFonts w:ascii="Times New Roman" w:hAnsi="Times New Roman"/>
          <w:sz w:val="24"/>
        </w:rPr>
        <w:t xml:space="preserve"> and </w:t>
      </w:r>
      <w:r>
        <w:rPr>
          <w:rFonts w:ascii="Times New Roman" w:hAnsi="Times New Roman"/>
          <w:i/>
          <w:iCs/>
          <w:sz w:val="24"/>
        </w:rPr>
        <w:t>V</w:t>
      </w:r>
      <w:r>
        <w:rPr>
          <w:rFonts w:ascii="Times New Roman" w:hAnsi="Times New Roman"/>
          <w:sz w:val="24"/>
          <w:vertAlign w:val="subscript"/>
        </w:rPr>
        <w:t>max</w:t>
      </w:r>
      <w:r>
        <w:rPr>
          <w:rFonts w:ascii="Times New Roman" w:hAnsi="Times New Roman"/>
          <w:sz w:val="24"/>
        </w:rPr>
        <w:t xml:space="preserve"> for </w:t>
      </w:r>
      <w:r>
        <w:rPr>
          <w:rFonts w:hint="eastAsia" w:ascii="Times New Roman" w:hAnsi="Times New Roman"/>
          <w:sz w:val="24"/>
        </w:rPr>
        <w:t>Fe-SAzyme and</w:t>
      </w:r>
      <w:r>
        <w:rPr>
          <w:rFonts w:ascii="Times New Roman" w:hAnsi="Times New Roman"/>
          <w:sz w:val="24"/>
        </w:rPr>
        <w:t xml:space="preserve"> </w:t>
      </w:r>
      <w:r>
        <w:rPr>
          <w:rFonts w:hint="eastAsia" w:ascii="Times New Roman" w:hAnsi="Times New Roman"/>
          <w:sz w:val="24"/>
        </w:rPr>
        <w:t xml:space="preserve">other SAzymes with </w:t>
      </w:r>
      <w:r>
        <w:rPr>
          <w:rFonts w:ascii="Times New Roman" w:hAnsi="Times New Roman"/>
          <w:sz w:val="24"/>
        </w:rPr>
        <w:t>POD-like activity</w:t>
      </w:r>
      <w:r>
        <w:rPr>
          <w:rFonts w:hint="eastAsia" w:ascii="Times New Roman" w:hAnsi="Times New Roman"/>
          <w:sz w:val="24"/>
        </w:rPr>
        <w:t>.</w:t>
      </w:r>
    </w:p>
    <w:bookmarkEnd w:id="9"/>
    <w:tbl>
      <w:tblPr>
        <w:tblStyle w:val="5"/>
        <w:tblW w:w="0" w:type="auto"/>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147"/>
        <w:gridCol w:w="2123"/>
        <w:gridCol w:w="2126"/>
        <w:gridCol w:w="2126"/>
      </w:tblGrid>
      <w:tr w14:paraId="4AE61F9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147" w:type="dxa"/>
            <w:vAlign w:val="center"/>
          </w:tcPr>
          <w:p w14:paraId="13CC9EB8">
            <w:pPr>
              <w:widowControl/>
              <w:spacing w:line="360" w:lineRule="auto"/>
              <w:jc w:val="center"/>
              <w:rPr>
                <w:rFonts w:ascii="Times New Roman" w:hAnsi="Times New Roman"/>
                <w:b/>
                <w:bCs/>
                <w:sz w:val="24"/>
              </w:rPr>
            </w:pPr>
            <w:r>
              <w:rPr>
                <w:rFonts w:hint="eastAsia" w:ascii="Times New Roman" w:hAnsi="Times New Roman"/>
                <w:b/>
                <w:bCs/>
                <w:sz w:val="24"/>
              </w:rPr>
              <w:t>SAzymes</w:t>
            </w:r>
          </w:p>
        </w:tc>
        <w:tc>
          <w:tcPr>
            <w:tcW w:w="2123" w:type="dxa"/>
            <w:vAlign w:val="center"/>
          </w:tcPr>
          <w:p w14:paraId="2BF1B490">
            <w:pPr>
              <w:widowControl/>
              <w:spacing w:line="360" w:lineRule="auto"/>
              <w:jc w:val="center"/>
              <w:rPr>
                <w:rFonts w:ascii="Times New Roman" w:hAnsi="Times New Roman"/>
                <w:b/>
                <w:bCs/>
                <w:sz w:val="24"/>
              </w:rPr>
            </w:pPr>
            <w:r>
              <w:rPr>
                <w:rFonts w:hint="eastAsia" w:ascii="Times New Roman" w:hAnsi="Times New Roman"/>
                <w:b/>
                <w:bCs/>
                <w:i/>
                <w:iCs/>
                <w:sz w:val="24"/>
              </w:rPr>
              <w:t>K</w:t>
            </w:r>
            <w:r>
              <w:rPr>
                <w:rFonts w:hint="eastAsia" w:ascii="Times New Roman" w:hAnsi="Times New Roman"/>
                <w:b/>
                <w:bCs/>
                <w:sz w:val="24"/>
                <w:vertAlign w:val="subscript"/>
              </w:rPr>
              <w:t>m</w:t>
            </w:r>
            <w:r>
              <w:rPr>
                <w:rFonts w:hint="eastAsia" w:ascii="Times New Roman" w:hAnsi="Times New Roman"/>
                <w:b/>
                <w:bCs/>
                <w:i/>
                <w:iCs/>
                <w:sz w:val="24"/>
              </w:rPr>
              <w:t xml:space="preserve"> </w:t>
            </w:r>
            <w:r>
              <w:rPr>
                <w:rFonts w:hint="eastAsia" w:ascii="Times New Roman" w:hAnsi="Times New Roman"/>
                <w:b/>
                <w:bCs/>
                <w:sz w:val="24"/>
              </w:rPr>
              <w:t>(mM)</w:t>
            </w:r>
          </w:p>
        </w:tc>
        <w:tc>
          <w:tcPr>
            <w:tcW w:w="2126" w:type="dxa"/>
            <w:vAlign w:val="center"/>
          </w:tcPr>
          <w:p w14:paraId="72A8C93B">
            <w:pPr>
              <w:widowControl/>
              <w:spacing w:line="360" w:lineRule="auto"/>
              <w:jc w:val="center"/>
              <w:rPr>
                <w:rFonts w:ascii="Times New Roman" w:hAnsi="Times New Roman"/>
                <w:b/>
                <w:bCs/>
                <w:i/>
                <w:iCs/>
                <w:sz w:val="24"/>
              </w:rPr>
            </w:pPr>
            <w:r>
              <w:rPr>
                <w:rFonts w:hint="eastAsia" w:ascii="Times New Roman" w:hAnsi="Times New Roman"/>
                <w:b/>
                <w:bCs/>
                <w:i/>
                <w:iCs/>
                <w:sz w:val="24"/>
              </w:rPr>
              <w:t>V</w:t>
            </w:r>
            <w:r>
              <w:rPr>
                <w:rFonts w:hint="eastAsia" w:ascii="Times New Roman" w:hAnsi="Times New Roman"/>
                <w:b/>
                <w:bCs/>
                <w:sz w:val="24"/>
                <w:vertAlign w:val="subscript"/>
              </w:rPr>
              <w:t>max</w:t>
            </w:r>
            <w:r>
              <w:rPr>
                <w:rFonts w:hint="eastAsia" w:ascii="Times New Roman" w:hAnsi="Times New Roman"/>
                <w:b/>
                <w:bCs/>
                <w:i/>
                <w:iCs/>
                <w:sz w:val="24"/>
              </w:rPr>
              <w:t xml:space="preserve"> </w:t>
            </w:r>
            <w:r>
              <w:rPr>
                <w:rFonts w:hint="eastAsia" w:ascii="Times New Roman" w:hAnsi="Times New Roman"/>
                <w:b/>
                <w:bCs/>
                <w:sz w:val="24"/>
              </w:rPr>
              <w:t>(×10</w:t>
            </w:r>
            <w:r>
              <w:rPr>
                <w:rFonts w:hint="eastAsia" w:ascii="Times New Roman" w:hAnsi="Times New Roman"/>
                <w:b/>
                <w:bCs/>
                <w:sz w:val="24"/>
                <w:vertAlign w:val="superscript"/>
              </w:rPr>
              <w:t>-7</w:t>
            </w:r>
            <w:r>
              <w:rPr>
                <w:rFonts w:hint="eastAsia" w:ascii="Times New Roman" w:hAnsi="Times New Roman"/>
                <w:b/>
                <w:bCs/>
                <w:sz w:val="24"/>
              </w:rPr>
              <w:t>Ms</w:t>
            </w:r>
            <w:r>
              <w:rPr>
                <w:rFonts w:hint="eastAsia" w:ascii="Times New Roman" w:hAnsi="Times New Roman"/>
                <w:b/>
                <w:bCs/>
                <w:sz w:val="24"/>
                <w:vertAlign w:val="superscript"/>
              </w:rPr>
              <w:t>-1</w:t>
            </w:r>
            <w:r>
              <w:rPr>
                <w:rFonts w:hint="eastAsia" w:ascii="Times New Roman" w:hAnsi="Times New Roman"/>
                <w:b/>
                <w:bCs/>
                <w:sz w:val="24"/>
              </w:rPr>
              <w:t>)</w:t>
            </w:r>
          </w:p>
        </w:tc>
        <w:tc>
          <w:tcPr>
            <w:tcW w:w="2126" w:type="dxa"/>
            <w:vAlign w:val="center"/>
          </w:tcPr>
          <w:p w14:paraId="503CE33B">
            <w:pPr>
              <w:widowControl/>
              <w:spacing w:line="360" w:lineRule="auto"/>
              <w:jc w:val="center"/>
              <w:rPr>
                <w:rFonts w:ascii="Times New Roman" w:hAnsi="Times New Roman"/>
                <w:b/>
                <w:bCs/>
                <w:sz w:val="24"/>
              </w:rPr>
            </w:pPr>
            <w:r>
              <w:rPr>
                <w:rFonts w:hint="eastAsia" w:ascii="Times New Roman" w:hAnsi="Times New Roman"/>
                <w:b/>
                <w:bCs/>
                <w:sz w:val="24"/>
              </w:rPr>
              <w:t>Reference</w:t>
            </w:r>
          </w:p>
        </w:tc>
      </w:tr>
      <w:tr w14:paraId="7F86D58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147" w:type="dxa"/>
            <w:tcBorders>
              <w:bottom w:val="nil"/>
            </w:tcBorders>
            <w:vAlign w:val="center"/>
          </w:tcPr>
          <w:p w14:paraId="7956661A">
            <w:pPr>
              <w:widowControl/>
              <w:spacing w:line="360" w:lineRule="auto"/>
              <w:jc w:val="center"/>
              <w:rPr>
                <w:rFonts w:ascii="Times New Roman" w:hAnsi="Times New Roman"/>
                <w:sz w:val="24"/>
              </w:rPr>
            </w:pPr>
            <w:r>
              <w:rPr>
                <w:rFonts w:hint="eastAsia" w:ascii="Times New Roman" w:hAnsi="Times New Roman"/>
                <w:sz w:val="24"/>
              </w:rPr>
              <w:t>Fe-SAzyme</w:t>
            </w:r>
          </w:p>
        </w:tc>
        <w:tc>
          <w:tcPr>
            <w:tcW w:w="2123" w:type="dxa"/>
            <w:tcBorders>
              <w:bottom w:val="nil"/>
            </w:tcBorders>
            <w:vAlign w:val="center"/>
          </w:tcPr>
          <w:p w14:paraId="0297DE86">
            <w:pPr>
              <w:widowControl/>
              <w:spacing w:line="360" w:lineRule="auto"/>
              <w:jc w:val="center"/>
              <w:rPr>
                <w:rFonts w:ascii="Times New Roman" w:hAnsi="Times New Roman"/>
                <w:sz w:val="24"/>
              </w:rPr>
            </w:pPr>
            <w:r>
              <w:rPr>
                <w:rFonts w:hint="eastAsia" w:ascii="Times New Roman" w:hAnsi="Times New Roman"/>
                <w:sz w:val="24"/>
              </w:rPr>
              <w:t>1.56</w:t>
            </w:r>
          </w:p>
        </w:tc>
        <w:tc>
          <w:tcPr>
            <w:tcW w:w="2126" w:type="dxa"/>
            <w:tcBorders>
              <w:bottom w:val="nil"/>
            </w:tcBorders>
            <w:vAlign w:val="center"/>
          </w:tcPr>
          <w:p w14:paraId="17405D86">
            <w:pPr>
              <w:widowControl/>
              <w:spacing w:line="360" w:lineRule="auto"/>
              <w:jc w:val="center"/>
              <w:rPr>
                <w:rFonts w:ascii="Times New Roman" w:hAnsi="Times New Roman"/>
                <w:sz w:val="24"/>
              </w:rPr>
            </w:pPr>
            <w:r>
              <w:rPr>
                <w:rFonts w:hint="eastAsia" w:ascii="Times New Roman" w:hAnsi="Times New Roman"/>
                <w:sz w:val="24"/>
              </w:rPr>
              <w:t>1.03</w:t>
            </w:r>
          </w:p>
        </w:tc>
        <w:tc>
          <w:tcPr>
            <w:tcW w:w="2126" w:type="dxa"/>
            <w:tcBorders>
              <w:bottom w:val="nil"/>
            </w:tcBorders>
            <w:vAlign w:val="center"/>
          </w:tcPr>
          <w:p w14:paraId="1B50A2EB">
            <w:pPr>
              <w:widowControl/>
              <w:spacing w:line="360" w:lineRule="auto"/>
              <w:jc w:val="center"/>
              <w:rPr>
                <w:rFonts w:ascii="Times New Roman" w:hAnsi="Times New Roman"/>
                <w:sz w:val="24"/>
              </w:rPr>
            </w:pPr>
            <w:r>
              <w:rPr>
                <w:rFonts w:ascii="Times New Roman" w:hAnsi="Times New Roman"/>
                <w:sz w:val="24"/>
              </w:rPr>
              <w:t>This method</w:t>
            </w:r>
          </w:p>
        </w:tc>
      </w:tr>
      <w:tr w14:paraId="142B3CB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147" w:type="dxa"/>
            <w:tcBorders>
              <w:top w:val="nil"/>
              <w:bottom w:val="nil"/>
            </w:tcBorders>
            <w:vAlign w:val="center"/>
          </w:tcPr>
          <w:p w14:paraId="4D7DF1ED">
            <w:pPr>
              <w:widowControl/>
              <w:spacing w:line="360" w:lineRule="auto"/>
              <w:jc w:val="center"/>
              <w:rPr>
                <w:rFonts w:ascii="Times New Roman" w:hAnsi="Times New Roman"/>
                <w:sz w:val="24"/>
              </w:rPr>
            </w:pPr>
            <w:r>
              <w:rPr>
                <w:rFonts w:ascii="Times New Roman" w:hAnsi="Times New Roman"/>
                <w:sz w:val="24"/>
              </w:rPr>
              <w:t>Fe-SAzyme+NIR-Ⅱ</w:t>
            </w:r>
          </w:p>
        </w:tc>
        <w:tc>
          <w:tcPr>
            <w:tcW w:w="2123" w:type="dxa"/>
            <w:tcBorders>
              <w:top w:val="nil"/>
              <w:bottom w:val="nil"/>
            </w:tcBorders>
            <w:vAlign w:val="center"/>
          </w:tcPr>
          <w:p w14:paraId="73B6F4C0">
            <w:pPr>
              <w:widowControl/>
              <w:spacing w:line="360" w:lineRule="auto"/>
              <w:jc w:val="center"/>
              <w:rPr>
                <w:rFonts w:ascii="Times New Roman" w:hAnsi="Times New Roman"/>
                <w:sz w:val="24"/>
              </w:rPr>
            </w:pPr>
            <w:r>
              <w:rPr>
                <w:rFonts w:hint="eastAsia" w:ascii="Times New Roman" w:hAnsi="Times New Roman"/>
                <w:sz w:val="24"/>
              </w:rPr>
              <w:t>1.25</w:t>
            </w:r>
          </w:p>
        </w:tc>
        <w:tc>
          <w:tcPr>
            <w:tcW w:w="2126" w:type="dxa"/>
            <w:tcBorders>
              <w:top w:val="nil"/>
              <w:bottom w:val="nil"/>
            </w:tcBorders>
            <w:vAlign w:val="center"/>
          </w:tcPr>
          <w:p w14:paraId="4CD859EB">
            <w:pPr>
              <w:widowControl/>
              <w:spacing w:line="360" w:lineRule="auto"/>
              <w:jc w:val="center"/>
              <w:rPr>
                <w:rFonts w:ascii="Times New Roman" w:hAnsi="Times New Roman"/>
                <w:sz w:val="24"/>
              </w:rPr>
            </w:pPr>
            <w:r>
              <w:rPr>
                <w:rFonts w:hint="eastAsia" w:ascii="Times New Roman" w:hAnsi="Times New Roman"/>
                <w:sz w:val="24"/>
              </w:rPr>
              <w:t>1.46</w:t>
            </w:r>
          </w:p>
        </w:tc>
        <w:tc>
          <w:tcPr>
            <w:tcW w:w="2126" w:type="dxa"/>
            <w:tcBorders>
              <w:top w:val="nil"/>
              <w:bottom w:val="nil"/>
            </w:tcBorders>
            <w:vAlign w:val="center"/>
          </w:tcPr>
          <w:p w14:paraId="22FE6311">
            <w:pPr>
              <w:widowControl/>
              <w:spacing w:line="360" w:lineRule="auto"/>
              <w:jc w:val="center"/>
              <w:rPr>
                <w:rFonts w:ascii="Times New Roman" w:hAnsi="Times New Roman"/>
                <w:sz w:val="24"/>
              </w:rPr>
            </w:pPr>
            <w:r>
              <w:rPr>
                <w:rFonts w:ascii="Times New Roman" w:hAnsi="Times New Roman"/>
                <w:sz w:val="24"/>
              </w:rPr>
              <w:t>This method</w:t>
            </w:r>
          </w:p>
        </w:tc>
      </w:tr>
      <w:tr w14:paraId="4CD4902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147" w:type="dxa"/>
            <w:tcBorders>
              <w:top w:val="nil"/>
              <w:bottom w:val="nil"/>
            </w:tcBorders>
            <w:vAlign w:val="center"/>
          </w:tcPr>
          <w:p w14:paraId="72BB8DA9">
            <w:pPr>
              <w:widowControl/>
              <w:spacing w:line="360" w:lineRule="auto"/>
              <w:jc w:val="center"/>
              <w:rPr>
                <w:rFonts w:ascii="Times New Roman" w:hAnsi="Times New Roman"/>
                <w:sz w:val="24"/>
              </w:rPr>
            </w:pPr>
            <w:r>
              <w:rPr>
                <w:rFonts w:hint="eastAsia" w:ascii="Times New Roman" w:hAnsi="Times New Roman"/>
                <w:sz w:val="24"/>
              </w:rPr>
              <w:t>FeN</w:t>
            </w:r>
            <w:r>
              <w:rPr>
                <w:rFonts w:hint="eastAsia" w:ascii="Times New Roman" w:hAnsi="Times New Roman"/>
                <w:sz w:val="24"/>
                <w:vertAlign w:val="subscript"/>
              </w:rPr>
              <w:t>5</w:t>
            </w:r>
          </w:p>
        </w:tc>
        <w:tc>
          <w:tcPr>
            <w:tcW w:w="2123" w:type="dxa"/>
            <w:tcBorders>
              <w:top w:val="nil"/>
              <w:bottom w:val="nil"/>
            </w:tcBorders>
            <w:vAlign w:val="center"/>
          </w:tcPr>
          <w:p w14:paraId="20368DF3">
            <w:pPr>
              <w:widowControl/>
              <w:spacing w:line="360" w:lineRule="auto"/>
              <w:jc w:val="center"/>
              <w:rPr>
                <w:rFonts w:ascii="Times New Roman" w:hAnsi="Times New Roman"/>
                <w:sz w:val="24"/>
              </w:rPr>
            </w:pPr>
            <w:r>
              <w:rPr>
                <w:rFonts w:hint="eastAsia" w:ascii="Times New Roman" w:hAnsi="Times New Roman"/>
                <w:sz w:val="24"/>
              </w:rPr>
              <w:t>11.2</w:t>
            </w:r>
          </w:p>
        </w:tc>
        <w:tc>
          <w:tcPr>
            <w:tcW w:w="2126" w:type="dxa"/>
            <w:tcBorders>
              <w:top w:val="nil"/>
              <w:bottom w:val="nil"/>
            </w:tcBorders>
            <w:vAlign w:val="center"/>
          </w:tcPr>
          <w:p w14:paraId="67F05900">
            <w:pPr>
              <w:widowControl/>
              <w:spacing w:line="360" w:lineRule="auto"/>
              <w:jc w:val="center"/>
              <w:rPr>
                <w:rFonts w:ascii="Times New Roman" w:hAnsi="Times New Roman"/>
                <w:sz w:val="24"/>
              </w:rPr>
            </w:pPr>
            <w:r>
              <w:rPr>
                <w:rFonts w:hint="eastAsia" w:ascii="Times New Roman" w:hAnsi="Times New Roman"/>
                <w:sz w:val="24"/>
              </w:rPr>
              <w:t>2.96</w:t>
            </w:r>
          </w:p>
        </w:tc>
        <w:tc>
          <w:tcPr>
            <w:tcW w:w="2126" w:type="dxa"/>
            <w:tcBorders>
              <w:top w:val="nil"/>
              <w:bottom w:val="nil"/>
            </w:tcBorders>
            <w:vAlign w:val="center"/>
          </w:tcPr>
          <w:p w14:paraId="0A9337E9">
            <w:pPr>
              <w:widowControl/>
              <w:spacing w:line="360" w:lineRule="auto"/>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ADDIN ZOTERO_ITEM CSL_CITATION {"citationID":"dxhUkxTD","properties":{"unsorted":false,"formattedCitation":"[1]","plainCitation":"[1]","noteIndex":0},"citationItems":[{"id":1474,"uris":["http://zotero.org/users/local/CJ0ha1Du/items/3F2H5GPX"],"itemData":</w:instrText>
            </w:r>
            <w:r>
              <w:rPr>
                <w:rFonts w:hint="eastAsia" w:ascii="Times New Roman" w:hAnsi="Times New Roman"/>
                <w:sz w:val="24"/>
              </w:rPr>
              <w:instrText xml:space="preserve">{"id":1474,"type":"article-journal","abstract":"Abstract\n            \n              Single‐atom nanozymes (SAzymes) represent a new research frontier in the biomedical fields. The rational design and controllable synthesis of SAzymes with well‐defined electronic and geometric structures are essential for maximizing their enzyme‐like catalytic activity and therapeutic efficacy but remain challenging. Here, a melamine‐mediated pyrolysis activation strategy is reported for the controllable fabrication of iron‐based SAzyme containing five‐coordinated structure (FeN\n              5\n              ), identified by transmission electron microscopy imaging and X‐ray absorption fine structure analyses. The FeN\n              5\n              SAzyme exhibits superior peroxidase‐like activity owing to the optimized coordination structure, and the corresponding catalytic efficiency of Fe‐species in the FeN\n              5\n              SAzyme is 7.64 and 3.45 × 10\n              5\n              times higher than those in traditional FeN\n              4\n              SAzyme and Fe\n              3\n              O\n              4\n              nanozyme, respectively, demonstrated by steady‐state kinetic assay. In addition, the catalytic mechanism is jointly disclosed by experimental results and density functional theory studies. The as‐synthesized FeN\n              5\n              SAzyme demonstrates significantly enhanced antitumor effect in vitro and in vivo due to the excellent peroxidase‐like activity under tumor microenvironment.","container-title":"Advanced Materials","DOI":"10.1002/adma.202107088","ISSN":"0935-9648, 1521-4095","issue":"15","journalAbbreviation":"Advanced Materials","language":"en","note":"titleTranslation: 一种用于肿瘤催化治疗的生物激发五配位单原子铁纳米酶\nTLDR: A melamine‐mediated pyrolysis activation strategy is reported for the controllable fabrication of iron‐based SAzyme containing five‐coordinated structure (FeN5), which demonstrates significantly enhanced antitumor effect in vitro and in vivo due to the excellent peroxidase‐like activity under tumor microenvironment.","page":"2107088","source":"DOI.org (Crossref)","title":"A bioinspired five‐coordinated single‐atom iron nanozyme for tumor catalytic therapy","volume":"34","author":[{"family":"Xu","gi</w:instrText>
            </w:r>
            <w:r>
              <w:rPr>
                <w:rFonts w:ascii="Times New Roman" w:hAnsi="Times New Roman"/>
                <w:sz w:val="24"/>
              </w:rPr>
              <w:instrText xml:space="preserve">ven":"Bolong"},{"family":"Li","given":"Shanshan"},{"family":"Zheng","given":"Lirong"},{"family":"Liu","given":"Yunhang"},{"family":"Han","given":"Along"},{"family":"Zhang","given":"Jin"},{"family":"Huang","given":"Zhijun"},{"family":"Xie","given":"Haijiao"},{"family":"Fan","given":"Kelong"},{"family":"Gao","given":"Lizeng"},{"family":"Liu","given":"Huiyu"}],"issued":{"date-parts":[["2022",4]]}}}],"schema":"https://github.com/citation-style-language/schema/raw/master/csl-citation.json"} </w:instrText>
            </w:r>
            <w:r>
              <w:rPr>
                <w:rFonts w:ascii="Times New Roman" w:hAnsi="Times New Roman"/>
                <w:sz w:val="24"/>
              </w:rPr>
              <w:fldChar w:fldCharType="separate"/>
            </w:r>
            <w:r>
              <w:rPr>
                <w:rFonts w:ascii="Times New Roman" w:hAnsi="Times New Roman"/>
                <w:sz w:val="24"/>
              </w:rPr>
              <w:t>[1]</w:t>
            </w:r>
            <w:r>
              <w:rPr>
                <w:rFonts w:ascii="Times New Roman" w:hAnsi="Times New Roman"/>
                <w:sz w:val="24"/>
              </w:rPr>
              <w:fldChar w:fldCharType="end"/>
            </w:r>
          </w:p>
        </w:tc>
      </w:tr>
      <w:tr w14:paraId="20C31DE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147" w:type="dxa"/>
            <w:tcBorders>
              <w:top w:val="nil"/>
              <w:bottom w:val="nil"/>
            </w:tcBorders>
            <w:vAlign w:val="center"/>
          </w:tcPr>
          <w:p w14:paraId="11AA1B75">
            <w:pPr>
              <w:widowControl/>
              <w:spacing w:line="360" w:lineRule="auto"/>
              <w:jc w:val="center"/>
              <w:rPr>
                <w:rFonts w:ascii="Times New Roman" w:hAnsi="Times New Roman"/>
                <w:sz w:val="24"/>
              </w:rPr>
            </w:pPr>
            <w:r>
              <w:rPr>
                <w:rFonts w:ascii="Times New Roman" w:hAnsi="Times New Roman"/>
                <w:sz w:val="24"/>
              </w:rPr>
              <w:t>Fe-N-C</w:t>
            </w:r>
          </w:p>
        </w:tc>
        <w:tc>
          <w:tcPr>
            <w:tcW w:w="2123" w:type="dxa"/>
            <w:tcBorders>
              <w:top w:val="nil"/>
              <w:bottom w:val="nil"/>
            </w:tcBorders>
            <w:vAlign w:val="center"/>
          </w:tcPr>
          <w:p w14:paraId="45EC0656">
            <w:pPr>
              <w:widowControl/>
              <w:spacing w:line="360" w:lineRule="auto"/>
              <w:jc w:val="center"/>
              <w:rPr>
                <w:rFonts w:ascii="Times New Roman" w:hAnsi="Times New Roman"/>
                <w:sz w:val="24"/>
              </w:rPr>
            </w:pPr>
            <w:r>
              <w:rPr>
                <w:rFonts w:hint="eastAsia" w:ascii="Times New Roman" w:hAnsi="Times New Roman"/>
                <w:sz w:val="24"/>
              </w:rPr>
              <w:t>4.84</w:t>
            </w:r>
          </w:p>
        </w:tc>
        <w:tc>
          <w:tcPr>
            <w:tcW w:w="2126" w:type="dxa"/>
            <w:tcBorders>
              <w:top w:val="nil"/>
              <w:bottom w:val="nil"/>
            </w:tcBorders>
            <w:vAlign w:val="center"/>
          </w:tcPr>
          <w:p w14:paraId="0ABBD8E1">
            <w:pPr>
              <w:widowControl/>
              <w:spacing w:line="360" w:lineRule="auto"/>
              <w:jc w:val="center"/>
              <w:rPr>
                <w:rFonts w:ascii="Times New Roman" w:hAnsi="Times New Roman"/>
                <w:sz w:val="24"/>
              </w:rPr>
            </w:pPr>
            <w:r>
              <w:rPr>
                <w:rFonts w:hint="eastAsia" w:ascii="Times New Roman" w:hAnsi="Times New Roman"/>
                <w:sz w:val="24"/>
              </w:rPr>
              <w:t>1.18</w:t>
            </w:r>
          </w:p>
        </w:tc>
        <w:tc>
          <w:tcPr>
            <w:tcW w:w="2126" w:type="dxa"/>
            <w:tcBorders>
              <w:top w:val="nil"/>
              <w:bottom w:val="nil"/>
            </w:tcBorders>
            <w:vAlign w:val="center"/>
          </w:tcPr>
          <w:p w14:paraId="637BD5BA">
            <w:pPr>
              <w:widowControl/>
              <w:spacing w:line="360" w:lineRule="auto"/>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ADDIN ZOTERO_ITEM CSL_CITATION {"citationID":"QyJw2FNu","properties":{"unsorted":false,"formattedCitation":"[2]","plainCitation":"[2]","noteIndex":0},"citationItems":[{"id":95,"uris":["http://zotero.org/users/local/CJ0ha1Du/items/GHYAW7PT"],"itemData":{"id":95,"type":"article-journal","abstract":"Nanozyme has been regarded as an efﬁcient antibiotic to kill bacteria using the reactive oxygen species (ROS) generated by Fenton-like reaction. However, its activity is still unsatisﬁed and requires large amount of hydrogen peroxide with side effects toward normal tissues. Herein, spherical mesoporous Fe-N-C single-atom nanozyme (SAzyme) is designed for antibacterial therapy via photothermal treatment enhanced Fenton-like catalysis process. Due to the large pore size (4.0 nm), high speciﬁc surface area (413.9 m2 gÀ1) and uniform diameter (100 nm), the catalytic performance of Fe-N-C SAzyme is greatly improved. The Michaelis-Menten constant (Km) is 4.84 mmol LÀ1, which is similar with that of horseradish peroxidase (3.7 mmol LÀ1). Moreover, mesoporous Fe-N-C SAzyme shows high photothermal conversion efﬁciency (23.3 %) owing to the carbon framework. The catalytic activity can be enhanced under light irradiation due to the elevated reaction temperature. The bacteria can also be killed via physical heat effect. Due to the synergistic effect of nanozyme catalysis and photothermal treatment, the antibacterial performance is much higher than that using single antibacterial method. This work provides an alternative for combined antibacterial treatment via photothermal treatment assisted catalytic process using spherical mesoporous single-atom nanozyme as an antibiotic.","call-number":"1","container-title":"Journal of Colloid and Interface Science","DOI":"10.1016/j.jcis</w:instrText>
            </w:r>
            <w:r>
              <w:rPr>
                <w:rFonts w:hint="eastAsia" w:ascii="Times New Roman" w:hAnsi="Times New Roman"/>
                <w:sz w:val="24"/>
              </w:rPr>
              <w:instrText xml:space="preserve">.2021.08.054","ISSN":"00219797","journalAbbreviation":"Journal of Colloid and Interface Science","language":"en","note":"titleTranslation: 球形介孔Fe - N - C单原子纳米酶用于光热和催化协同抗菌治疗\nTLDR: This work provides an alternative for combined antibacterial treatment via </w:instrText>
            </w:r>
            <w:r>
              <w:rPr>
                <w:rFonts w:ascii="Times New Roman" w:hAnsi="Times New Roman"/>
                <w:sz w:val="24"/>
              </w:rPr>
              <w:instrText xml:space="preserve">photothermal treatment assisted catalytic process using spherical mesoporous single-atom nanozyme as an antibiotic.","page":"826-836","source":"9.9","title":"Spherical mesoporous Fe-N-C single-atom nanozyme for photothermal and catalytic synergistic antibacterial therapy","volume":"606","author":[{"family":"Feng","given":"Youyou"},{"family":"Qin","given":"Jing"},{"family":"Zhou","given":"Yu"},{"family":"Yue","given":"Qin"},{"family":"Wei","given":"Jing"}],"issued":{"date-parts":[["2022",1]]}}}],"schema":"https://github.com/citation-style-language/schema/raw/master/csl-citation.json"} </w:instrText>
            </w:r>
            <w:r>
              <w:rPr>
                <w:rFonts w:ascii="Times New Roman" w:hAnsi="Times New Roman"/>
                <w:sz w:val="24"/>
              </w:rPr>
              <w:fldChar w:fldCharType="separate"/>
            </w:r>
            <w:r>
              <w:rPr>
                <w:rFonts w:ascii="Times New Roman" w:hAnsi="Times New Roman"/>
                <w:sz w:val="24"/>
              </w:rPr>
              <w:t>[2]</w:t>
            </w:r>
            <w:r>
              <w:rPr>
                <w:rFonts w:ascii="Times New Roman" w:hAnsi="Times New Roman"/>
                <w:sz w:val="24"/>
              </w:rPr>
              <w:fldChar w:fldCharType="end"/>
            </w:r>
          </w:p>
        </w:tc>
      </w:tr>
      <w:tr w14:paraId="63320B2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147" w:type="dxa"/>
            <w:tcBorders>
              <w:top w:val="nil"/>
              <w:bottom w:val="nil"/>
            </w:tcBorders>
            <w:vAlign w:val="center"/>
          </w:tcPr>
          <w:p w14:paraId="6F22DCA3">
            <w:pPr>
              <w:widowControl/>
              <w:spacing w:line="360" w:lineRule="auto"/>
              <w:jc w:val="center"/>
              <w:rPr>
                <w:rFonts w:ascii="Times New Roman" w:hAnsi="Times New Roman"/>
                <w:sz w:val="24"/>
              </w:rPr>
            </w:pPr>
            <w:r>
              <w:rPr>
                <w:rFonts w:hint="eastAsia" w:ascii="Times New Roman" w:hAnsi="Times New Roman"/>
                <w:sz w:val="24"/>
              </w:rPr>
              <w:t>f-MNC</w:t>
            </w:r>
          </w:p>
        </w:tc>
        <w:tc>
          <w:tcPr>
            <w:tcW w:w="2123" w:type="dxa"/>
            <w:tcBorders>
              <w:top w:val="nil"/>
              <w:bottom w:val="nil"/>
            </w:tcBorders>
            <w:vAlign w:val="center"/>
          </w:tcPr>
          <w:p w14:paraId="277752FA">
            <w:pPr>
              <w:widowControl/>
              <w:spacing w:line="360" w:lineRule="auto"/>
              <w:jc w:val="center"/>
              <w:rPr>
                <w:rFonts w:ascii="Times New Roman" w:hAnsi="Times New Roman"/>
                <w:sz w:val="24"/>
              </w:rPr>
            </w:pPr>
            <w:r>
              <w:rPr>
                <w:rFonts w:hint="eastAsia" w:ascii="Times New Roman" w:hAnsi="Times New Roman"/>
                <w:sz w:val="24"/>
              </w:rPr>
              <w:t>2.5</w:t>
            </w:r>
          </w:p>
        </w:tc>
        <w:tc>
          <w:tcPr>
            <w:tcW w:w="2126" w:type="dxa"/>
            <w:tcBorders>
              <w:top w:val="nil"/>
              <w:bottom w:val="nil"/>
            </w:tcBorders>
            <w:vAlign w:val="center"/>
          </w:tcPr>
          <w:p w14:paraId="27B6FABE">
            <w:pPr>
              <w:widowControl/>
              <w:spacing w:line="360" w:lineRule="auto"/>
              <w:jc w:val="center"/>
              <w:rPr>
                <w:rFonts w:ascii="Times New Roman" w:hAnsi="Times New Roman"/>
                <w:sz w:val="24"/>
              </w:rPr>
            </w:pPr>
            <w:r>
              <w:rPr>
                <w:rFonts w:hint="eastAsia" w:ascii="Times New Roman" w:hAnsi="Times New Roman"/>
                <w:sz w:val="24"/>
              </w:rPr>
              <w:t>0.495</w:t>
            </w:r>
          </w:p>
        </w:tc>
        <w:tc>
          <w:tcPr>
            <w:tcW w:w="2126" w:type="dxa"/>
            <w:tcBorders>
              <w:top w:val="nil"/>
              <w:bottom w:val="nil"/>
            </w:tcBorders>
            <w:vAlign w:val="center"/>
          </w:tcPr>
          <w:p w14:paraId="31BE0E29">
            <w:pPr>
              <w:widowControl/>
              <w:spacing w:line="360" w:lineRule="auto"/>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ADDIN ZOTERO_ITEM CSL_CITATION {"citationID":"WOZ0kKH1","properties":{"unsorted":false,"formattedCitation":"[3]","plainCitation":"[3]","noteIndex":0},"citationItems":[{"id":1989,"uris":["http://zotero.org/users/local/CJ0ha1Du/items/F3MNRAZP"],"itemData":{"id":1989,"type":"article-journal","abstract":"Distinguished by the coupled catalysis-facilitated high turnover and admirable speciﬁcity, enzyme cascades have sparked tremendous attention in bioanalysis. However, threeenzyme cascade-based versatile platforms have rarely been explored without resorting to tedious immobilization procedures. Herein, we have demonstrated that formamide-converted transition metal−nitrogen−carbon (f-MNC, M = Fe, Cu, Mn, Co, Zn) with a high loading of atomically dispersed active sites possesses intrinsic peroxidase-mimetic activity following the activity order of f-FeNC &gt; f-CuNC &gt; f-MnNC &gt; f-CoNC &gt; f-ZnNC. Ulteriorly, beneﬁtting from the greatest catalytic performance and explicit catalytic mechanism of f-FeNC, versatile enzyme cascade-based colorimetric bioassays for ultrasensitive detection of diabetesrelated glucose and α-glucosidase (α-Glu) have been unprecedentedly devised using f-FeNC-triggered chromogenic reaction of 3,3</w:instrText>
            </w:r>
            <w:r>
              <w:rPr>
                <w:rFonts w:hint="eastAsia" w:ascii="Times New Roman" w:hAnsi="Times New Roman"/>
                <w:sz w:val="24"/>
              </w:rPr>
              <w:instrText xml:space="preserve">′</w:instrText>
            </w:r>
            <w:r>
              <w:rPr>
                <w:rFonts w:ascii="Times New Roman" w:hAnsi="Times New Roman"/>
                <w:sz w:val="24"/>
              </w:rPr>
              <w:instrText xml:space="preserve">,5,5</w:instrText>
            </w:r>
            <w:r>
              <w:rPr>
                <w:rFonts w:hint="eastAsia" w:ascii="Times New Roman" w:hAnsi="Times New Roman"/>
                <w:sz w:val="24"/>
              </w:rPr>
              <w:instrText xml:space="preserve">′</w:instrText>
            </w:r>
            <w:r>
              <w:rPr>
                <w:rFonts w:ascii="Times New Roman" w:hAnsi="Times New Roman"/>
                <w:sz w:val="24"/>
              </w:rPr>
              <w:instrText xml:space="preserve">-tetramethylbenzidine as an ampliﬁer. Notably, several types of α-Glu substrates can be eﬀectively utilized in this threeenzyme cascade-based α-Glu assay, and it can be further employed for screening α-Glu inhibitors that are used as antidiabetic and antiviral drugs. These versatile assays can also be extended to detect other H2O2-generating or -consuming biomolecules and other bioenzymes that are capable of catalyzing glucose generation procedures. These nanozyme-involved multienzyme cascades without intricate enzyme-engineering techniques may provide a concept to facilitate the deployment of nanozymes in celestial versatile bioassay fabrication, disease diagnosis, and biomedicine.","container-title":"Analytical Chemistry","DOI":"10.1021/acs.analchem.1c04018","ISSN":"0003-2700, 1520-6882","issue":"</w:instrText>
            </w:r>
            <w:r>
              <w:rPr>
                <w:rFonts w:hint="eastAsia" w:ascii="Times New Roman" w:hAnsi="Times New Roman"/>
                <w:sz w:val="24"/>
              </w:rPr>
              <w:instrText xml:space="preserve">8","journalAbbreviation":"Anal. Chem.","language":"en","license":"https://doi.org/10.15223/policy-029","note":"titleTranslation: 基于高效金属-氮-碳纳米酶的多酶级联用于构建多功能生物测定","page":"3485-3493","source":"DOI.org (Crossref)","title":"Multienzyme cascades based on highly </w:instrText>
            </w:r>
            <w:r>
              <w:rPr>
                <w:rFonts w:ascii="Times New Roman" w:hAnsi="Times New Roman"/>
                <w:sz w:val="24"/>
              </w:rPr>
              <w:instrText xml:space="preserve">efficient metal–nitrogen–carbon nanozymes for construction of versatile bioassays","volume":"94","author":[{"family":"Zhang","given":"Chenghui"},{"family":"Chen","given":"Chuanxia"},{"family":"Zhao","given":"Dan"},{"family":"Kang","given":"Ge"},{"family":"Liu","given":"Fangning"},{"family":"Yang","given":"Fan"},{"family":"Lu","given":"Yizhong"},{"family":"Sun","given":"Jian"}],"issued":{"date-parts":[["2022",3,1]]}}}],"schema":"https://github.com/citation-style-language/schema/raw/master/csl-citation.json"} </w:instrText>
            </w:r>
            <w:r>
              <w:rPr>
                <w:rFonts w:ascii="Times New Roman" w:hAnsi="Times New Roman"/>
                <w:sz w:val="24"/>
              </w:rPr>
              <w:fldChar w:fldCharType="separate"/>
            </w:r>
            <w:r>
              <w:rPr>
                <w:rFonts w:ascii="Times New Roman" w:hAnsi="Times New Roman"/>
                <w:sz w:val="24"/>
              </w:rPr>
              <w:t>[3]</w:t>
            </w:r>
            <w:r>
              <w:rPr>
                <w:rFonts w:ascii="Times New Roman" w:hAnsi="Times New Roman"/>
                <w:sz w:val="24"/>
              </w:rPr>
              <w:fldChar w:fldCharType="end"/>
            </w:r>
          </w:p>
        </w:tc>
      </w:tr>
      <w:tr w14:paraId="74AD3C4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147" w:type="dxa"/>
            <w:tcBorders>
              <w:top w:val="nil"/>
              <w:bottom w:val="nil"/>
            </w:tcBorders>
            <w:vAlign w:val="center"/>
          </w:tcPr>
          <w:p w14:paraId="4BA75C2F">
            <w:pPr>
              <w:widowControl/>
              <w:spacing w:line="360" w:lineRule="auto"/>
              <w:jc w:val="center"/>
              <w:rPr>
                <w:rFonts w:ascii="Times New Roman" w:hAnsi="Times New Roman"/>
                <w:sz w:val="24"/>
              </w:rPr>
            </w:pPr>
            <w:r>
              <w:rPr>
                <w:rFonts w:hint="eastAsia" w:ascii="Times New Roman" w:hAnsi="Times New Roman"/>
                <w:sz w:val="24"/>
              </w:rPr>
              <w:t>Fe-N-C</w:t>
            </w:r>
          </w:p>
        </w:tc>
        <w:tc>
          <w:tcPr>
            <w:tcW w:w="2123" w:type="dxa"/>
            <w:tcBorders>
              <w:top w:val="nil"/>
              <w:bottom w:val="nil"/>
            </w:tcBorders>
            <w:vAlign w:val="center"/>
          </w:tcPr>
          <w:p w14:paraId="6E885B67">
            <w:pPr>
              <w:widowControl/>
              <w:spacing w:line="360" w:lineRule="auto"/>
              <w:jc w:val="center"/>
              <w:rPr>
                <w:rFonts w:ascii="Times New Roman" w:hAnsi="Times New Roman"/>
                <w:sz w:val="24"/>
              </w:rPr>
            </w:pPr>
            <w:r>
              <w:rPr>
                <w:rFonts w:hint="eastAsia" w:ascii="Times New Roman" w:hAnsi="Times New Roman"/>
                <w:sz w:val="24"/>
              </w:rPr>
              <w:t>12.2</w:t>
            </w:r>
          </w:p>
        </w:tc>
        <w:tc>
          <w:tcPr>
            <w:tcW w:w="2126" w:type="dxa"/>
            <w:tcBorders>
              <w:top w:val="nil"/>
              <w:bottom w:val="nil"/>
            </w:tcBorders>
            <w:vAlign w:val="center"/>
          </w:tcPr>
          <w:p w14:paraId="00276094">
            <w:pPr>
              <w:widowControl/>
              <w:spacing w:line="360" w:lineRule="auto"/>
              <w:jc w:val="center"/>
              <w:rPr>
                <w:rFonts w:ascii="Times New Roman" w:hAnsi="Times New Roman"/>
                <w:sz w:val="24"/>
              </w:rPr>
            </w:pPr>
            <w:r>
              <w:rPr>
                <w:rFonts w:hint="eastAsia" w:ascii="Times New Roman" w:hAnsi="Times New Roman"/>
                <w:sz w:val="24"/>
              </w:rPr>
              <w:t>3.56</w:t>
            </w:r>
          </w:p>
        </w:tc>
        <w:tc>
          <w:tcPr>
            <w:tcW w:w="2126" w:type="dxa"/>
            <w:tcBorders>
              <w:top w:val="nil"/>
              <w:bottom w:val="nil"/>
            </w:tcBorders>
            <w:vAlign w:val="center"/>
          </w:tcPr>
          <w:p w14:paraId="01B0BF72">
            <w:pPr>
              <w:widowControl/>
              <w:spacing w:line="360" w:lineRule="auto"/>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ADDIN ZOTERO_ITEM CSL_CITATION {"citationID":"VPZbHoVD","properties":{"unsorted":false,"formattedCitation":"[4]","plainCitation":"[4]","noteIndex":0},"citationItems":[{"id":1995,"uris":["http://zotero.org/users/local/CJ0ha1Du/items/F2822ADD"],"itemData":{"id":1995,"type":"article-journal","abstract":"Recently, in situ detection of hydrogen peroxide (H2O2) generated from live cells have caused tremendous attention, because it is of great signiﬁcance in the control of multiple biological processes. Herein, Fe−N−C single-atom nanozymes (Fe−N−C SAzymes) with intrinsic peroxidase-like activity were successfully prepared via high-temperature calcination using FeCl2, glucose, and dicyandiamide as precursors. The Fe−N−C SAzymes with FeNx as active sites were similar to natural metalloproteases, which can speciﬁcally enhance the peroxidase-like activity rather than oxidase-like activity. Accordingly, owing to the excellent catalytic eﬃciency of the Fe−N−C SAzymes, colorimetric biosensing of H2O2 in vitro was performed via a typical 3,3</w:instrText>
            </w:r>
            <w:r>
              <w:rPr>
                <w:rFonts w:hint="eastAsia" w:ascii="Times New Roman" w:hAnsi="Times New Roman"/>
                <w:sz w:val="24"/>
              </w:rPr>
              <w:instrText xml:space="preserve">′</w:instrText>
            </w:r>
            <w:r>
              <w:rPr>
                <w:rFonts w:ascii="Times New Roman" w:hAnsi="Times New Roman"/>
                <w:sz w:val="24"/>
              </w:rPr>
              <w:instrText xml:space="preserve">,5,5</w:instrText>
            </w:r>
            <w:r>
              <w:rPr>
                <w:rFonts w:hint="eastAsia" w:ascii="Times New Roman" w:hAnsi="Times New Roman"/>
                <w:sz w:val="24"/>
              </w:rPr>
              <w:instrText xml:space="preserve">′</w:instrText>
            </w:r>
            <w:r>
              <w:rPr>
                <w:rFonts w:ascii="Times New Roman" w:hAnsi="Times New Roman"/>
                <w:sz w:val="24"/>
              </w:rPr>
              <w:instrText xml:space="preserve">-tetramethylbenzidine induced an allochroic reaction, demonstrating the satisfactory speciﬁcity and sensitivity. With regard to the practical application, in situ detection of H2O2 generated from the Hela cells by the Fe−N−C SAzymes was also performed, which can expand the applications of the newborn SAzymes.","container-title":"Analytical Chemistry","DOI":"10.1021/acs.analchem.9b02901","ISSN":"0003-2700, 1520-6882","issue":"18","journalAbbreviation":"Anal. Chem.","language":"en","license":"https://doi.org/10.15223/policy-029","page":"11994-11999","source":"DOI.org (Crossref)","title":"Fe–N–C single-atom nanozymes for the intracellular hydrogen peroxide detection","volume":"91","author":[{"family":"Jiao","given":"Lei"},{"family":"Xu","given":"Weiqing"},{"family":"Yan","given":"Hongye"},{"family":"Wu","given":"Yu"},{"family":"Liu","given":"Chunrong"},{"family":"Du","given":"Dan"},{"family":"Lin","given":"Yuehe"},{"family":"Zhu","given":"Chengzhou"}],"issued":{"date-parts":[["2019",9,17]]}}}],"schema":"https://github.com/citation-style-language/schema/raw/master/csl-citation.json"} </w:instrText>
            </w:r>
            <w:r>
              <w:rPr>
                <w:rFonts w:ascii="Times New Roman" w:hAnsi="Times New Roman"/>
                <w:sz w:val="24"/>
              </w:rPr>
              <w:fldChar w:fldCharType="separate"/>
            </w:r>
            <w:r>
              <w:rPr>
                <w:rFonts w:ascii="Times New Roman" w:hAnsi="Times New Roman"/>
                <w:sz w:val="24"/>
              </w:rPr>
              <w:t>[4]</w:t>
            </w:r>
            <w:r>
              <w:rPr>
                <w:rFonts w:ascii="Times New Roman" w:hAnsi="Times New Roman"/>
                <w:sz w:val="24"/>
              </w:rPr>
              <w:fldChar w:fldCharType="end"/>
            </w:r>
          </w:p>
        </w:tc>
      </w:tr>
      <w:tr w14:paraId="56E8A31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147" w:type="dxa"/>
            <w:tcBorders>
              <w:top w:val="nil"/>
              <w:bottom w:val="nil"/>
            </w:tcBorders>
            <w:vAlign w:val="center"/>
          </w:tcPr>
          <w:p w14:paraId="02C650EF">
            <w:pPr>
              <w:widowControl/>
              <w:spacing w:line="360" w:lineRule="auto"/>
              <w:jc w:val="center"/>
              <w:rPr>
                <w:rFonts w:ascii="Times New Roman" w:hAnsi="Times New Roman"/>
                <w:sz w:val="24"/>
              </w:rPr>
            </w:pPr>
            <w:r>
              <w:rPr>
                <w:rFonts w:hint="eastAsia" w:ascii="Times New Roman" w:hAnsi="Times New Roman"/>
                <w:sz w:val="24"/>
              </w:rPr>
              <w:t>FeSA</w:t>
            </w:r>
          </w:p>
        </w:tc>
        <w:tc>
          <w:tcPr>
            <w:tcW w:w="2123" w:type="dxa"/>
            <w:tcBorders>
              <w:top w:val="nil"/>
              <w:bottom w:val="nil"/>
            </w:tcBorders>
            <w:vAlign w:val="center"/>
          </w:tcPr>
          <w:p w14:paraId="0D1B9367">
            <w:pPr>
              <w:widowControl/>
              <w:spacing w:line="360" w:lineRule="auto"/>
              <w:jc w:val="center"/>
              <w:rPr>
                <w:rFonts w:ascii="Times New Roman" w:hAnsi="Times New Roman"/>
                <w:sz w:val="24"/>
              </w:rPr>
            </w:pPr>
            <w:r>
              <w:rPr>
                <w:rFonts w:hint="eastAsia" w:ascii="Times New Roman" w:hAnsi="Times New Roman"/>
                <w:sz w:val="24"/>
              </w:rPr>
              <w:t>13.2</w:t>
            </w:r>
          </w:p>
        </w:tc>
        <w:tc>
          <w:tcPr>
            <w:tcW w:w="2126" w:type="dxa"/>
            <w:tcBorders>
              <w:top w:val="nil"/>
              <w:bottom w:val="nil"/>
            </w:tcBorders>
            <w:vAlign w:val="center"/>
          </w:tcPr>
          <w:p w14:paraId="75F2A132">
            <w:pPr>
              <w:widowControl/>
              <w:spacing w:line="360" w:lineRule="auto"/>
              <w:jc w:val="center"/>
              <w:rPr>
                <w:rFonts w:ascii="Times New Roman" w:hAnsi="Times New Roman"/>
                <w:sz w:val="24"/>
              </w:rPr>
            </w:pPr>
            <w:r>
              <w:rPr>
                <w:rFonts w:hint="eastAsia" w:ascii="Times New Roman" w:hAnsi="Times New Roman"/>
                <w:sz w:val="24"/>
              </w:rPr>
              <w:t>6.5</w:t>
            </w:r>
          </w:p>
        </w:tc>
        <w:tc>
          <w:tcPr>
            <w:tcW w:w="2126" w:type="dxa"/>
            <w:tcBorders>
              <w:top w:val="nil"/>
              <w:bottom w:val="nil"/>
            </w:tcBorders>
            <w:vAlign w:val="center"/>
          </w:tcPr>
          <w:p w14:paraId="781EF6A2">
            <w:pPr>
              <w:widowControl/>
              <w:spacing w:line="360" w:lineRule="auto"/>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ADDIN ZOTERO_ITEM CSL_CITATION {"citationID":"648MeMNa","properties":{"unsorted":false,"formattedCitation":"[5]","plainCitation":"[5]","noteIndex":0},"citationItems":[{"id":1996,"uris":["http://zotero.org/users/local/CJ0ha1Du/items/8EGHNB3J"],"itemData":{"id":1996,"type":"article-journal","container-title":"Analytical Chemistry","DOI":"10.1021/acs.analchem.1c02115","ISSN":"0003-2700, 1520-6882","issue":"36","journalAbbreviation":"Anal. Chem.","language":"en","license":"https://doi.org/10.15223/policy-029","page":"12353-12359","source":"DOI.org (Crossref)","title":"Fe–N–C single-atom catalyst coupling with pt clusters boosts peroxidase-like activity for cascade-amplified colorimetric immunoassay","volume":"93","author":[{"family":"Chen","given":"Yifeng"},{"family":"Jiao","given":"Lei"},{"family":"Yan","given":"Hongye"},{"family":"Xu","given":"Weiqing"},{"family":"Wu","given":"Yu"},{"family":"Zheng","given":"Lirong"},{"family":"Gu","given":"Wenling"},{"family":"Zhu","given":"Chengzhou"}],"issued":{"date-parts":[["2021",9,14]]}}}],"schema":"https://github.com/citation-style-language/schema/raw/master/csl-citation.json"} </w:instrText>
            </w:r>
            <w:r>
              <w:rPr>
                <w:rFonts w:ascii="Times New Roman" w:hAnsi="Times New Roman"/>
                <w:sz w:val="24"/>
              </w:rPr>
              <w:fldChar w:fldCharType="separate"/>
            </w:r>
            <w:r>
              <w:rPr>
                <w:rFonts w:ascii="Times New Roman" w:hAnsi="Times New Roman"/>
                <w:sz w:val="24"/>
              </w:rPr>
              <w:t>[5]</w:t>
            </w:r>
            <w:r>
              <w:rPr>
                <w:rFonts w:ascii="Times New Roman" w:hAnsi="Times New Roman"/>
                <w:sz w:val="24"/>
              </w:rPr>
              <w:fldChar w:fldCharType="end"/>
            </w:r>
          </w:p>
        </w:tc>
      </w:tr>
      <w:tr w14:paraId="2CFAA79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147" w:type="dxa"/>
            <w:tcBorders>
              <w:top w:val="nil"/>
              <w:bottom w:val="nil"/>
            </w:tcBorders>
            <w:vAlign w:val="center"/>
          </w:tcPr>
          <w:p w14:paraId="7130CB3B">
            <w:pPr>
              <w:widowControl/>
              <w:spacing w:line="360" w:lineRule="auto"/>
              <w:jc w:val="center"/>
              <w:rPr>
                <w:rFonts w:ascii="Times New Roman" w:hAnsi="Times New Roman"/>
                <w:sz w:val="24"/>
              </w:rPr>
            </w:pPr>
            <w:r>
              <w:rPr>
                <w:rFonts w:hint="eastAsia" w:ascii="Times New Roman" w:hAnsi="Times New Roman"/>
                <w:sz w:val="24"/>
              </w:rPr>
              <w:t>CS@Fe/CDs</w:t>
            </w:r>
          </w:p>
        </w:tc>
        <w:tc>
          <w:tcPr>
            <w:tcW w:w="2123" w:type="dxa"/>
            <w:tcBorders>
              <w:top w:val="nil"/>
              <w:bottom w:val="nil"/>
            </w:tcBorders>
            <w:vAlign w:val="center"/>
          </w:tcPr>
          <w:p w14:paraId="77F1883F">
            <w:pPr>
              <w:widowControl/>
              <w:spacing w:line="360" w:lineRule="auto"/>
              <w:jc w:val="center"/>
              <w:rPr>
                <w:rFonts w:ascii="Times New Roman" w:hAnsi="Times New Roman"/>
                <w:sz w:val="24"/>
              </w:rPr>
            </w:pPr>
            <w:r>
              <w:rPr>
                <w:rFonts w:hint="eastAsia" w:ascii="Times New Roman" w:hAnsi="Times New Roman"/>
                <w:sz w:val="24"/>
              </w:rPr>
              <w:t>0.156</w:t>
            </w:r>
          </w:p>
        </w:tc>
        <w:tc>
          <w:tcPr>
            <w:tcW w:w="2126" w:type="dxa"/>
            <w:tcBorders>
              <w:top w:val="nil"/>
              <w:bottom w:val="nil"/>
            </w:tcBorders>
            <w:vAlign w:val="center"/>
          </w:tcPr>
          <w:p w14:paraId="0804D5CC">
            <w:pPr>
              <w:widowControl/>
              <w:spacing w:line="360" w:lineRule="auto"/>
              <w:jc w:val="center"/>
              <w:rPr>
                <w:rFonts w:ascii="Times New Roman" w:hAnsi="Times New Roman"/>
                <w:sz w:val="24"/>
              </w:rPr>
            </w:pPr>
            <w:r>
              <w:rPr>
                <w:rFonts w:hint="eastAsia" w:ascii="Times New Roman" w:hAnsi="Times New Roman"/>
                <w:sz w:val="24"/>
              </w:rPr>
              <w:t>1.0758</w:t>
            </w:r>
          </w:p>
        </w:tc>
        <w:tc>
          <w:tcPr>
            <w:tcW w:w="2126" w:type="dxa"/>
            <w:tcBorders>
              <w:top w:val="nil"/>
              <w:bottom w:val="nil"/>
            </w:tcBorders>
            <w:vAlign w:val="center"/>
          </w:tcPr>
          <w:p w14:paraId="3C8A9ECB">
            <w:pPr>
              <w:widowControl/>
              <w:spacing w:line="360" w:lineRule="auto"/>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ADDIN ZOTERO_ITEM CSL_CITATION {"citationID":"8zSdEg9i","properties":{"unsorted":false,"formattedCitation":"[6]","plainCitation":"[6]","noteIndex":0},"citationItems":[{"id":1998,"uris":["http://zotero.org/users/local/CJ0ha1Du/items/MVXWP5FG"],"itemData":{"id":1998,"type":"article-journal","abstract":"Bacterial biofilms have evoked worldwide attention owing to their serious threats to public health, but how to effectively eliminate bacterial biofilms still remains great challenges. Here, we rationally designed a novel and vigorous chitosan grafted Fe-doped-carbon dots (CS@Fe/CDs) as an efficient artificial nanozyme to combat rigid bacterial biofilms through the selective activation of Fenton-like reaction-triggered peroxidase-like catalytic activity and the synergistic antibacterial activity of CS. On the one hand, the peroxidase-like catalytic activity made CS@Fe/CDs catalyze H2O2 for producing hydroxyl radicals (•OH), resulting in efficient cleavage of extracellular DNA (eDNA). On the other hand, CS was capable of binding with the negatively charged cell membrane through electrostatic interaction, changing the cell membrane permeability and causing cell death within bacterial biofilms. Based on their synergistic effects, the fragments of bacterial biofilm and exposed bacteria were persistently eradicated. Remarkably, CS@Fe/CDs-based nanozyme not only enabled the effective destroying of gram-positive Staphylococcus aureus (S. aureus) biofilms, but also completely eliminated gramnegative Pseudomonas aeruginosa (P. aeruginosa) biofilms, showing great potential as a promising anti-biofilm agent against bacteria biofilms. This proposed synergistic strategy for bacterial biofilm eradication might offer a powerful modality to manage of bacterial biofilm fouling in food safety and environmental protection.","container-title":"Journal of Hazardous Materials","DOI":"10.1016/j.jhazmat.2022.128996","ISSN":"03043894","journalAbbreviation":"Journal of Hazardous Materials","language":"en","page":"128996","source":"DOI.org (Crossref)","title":"Engineering efficient artificial nanozyme based on chitosan grafted fe-doped-carbon dots for bacteria biofilm eradication","volume":"435","author":[{"family":"Pan","given":"Ting"},{"family":"Chen","given":"Huanhuan"},{"family":"Gao","given":"Xiang"},{"family":"Wu","given":"Zeyu"},{"family":"Ye","given":"Yingwang"},{"family":"Shen","given":"Yizhong"}],"issued":{"date-parts":[["2022",8]]}}}],"schema":"https://github.com/citation-style-language/schema/raw/master/csl-citation.json"} </w:instrText>
            </w:r>
            <w:r>
              <w:rPr>
                <w:rFonts w:ascii="Times New Roman" w:hAnsi="Times New Roman"/>
                <w:sz w:val="24"/>
              </w:rPr>
              <w:fldChar w:fldCharType="separate"/>
            </w:r>
            <w:r>
              <w:rPr>
                <w:rFonts w:ascii="Times New Roman" w:hAnsi="Times New Roman"/>
                <w:sz w:val="24"/>
              </w:rPr>
              <w:t>[6]</w:t>
            </w:r>
            <w:r>
              <w:rPr>
                <w:rFonts w:ascii="Times New Roman" w:hAnsi="Times New Roman"/>
                <w:sz w:val="24"/>
              </w:rPr>
              <w:fldChar w:fldCharType="end"/>
            </w:r>
          </w:p>
        </w:tc>
      </w:tr>
      <w:tr w14:paraId="7520F9B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147" w:type="dxa"/>
            <w:tcBorders>
              <w:top w:val="nil"/>
              <w:bottom w:val="nil"/>
            </w:tcBorders>
            <w:vAlign w:val="center"/>
          </w:tcPr>
          <w:p w14:paraId="61B233D5">
            <w:pPr>
              <w:widowControl/>
              <w:spacing w:line="360" w:lineRule="auto"/>
              <w:jc w:val="center"/>
              <w:rPr>
                <w:rFonts w:ascii="Times New Roman" w:hAnsi="Times New Roman"/>
                <w:sz w:val="24"/>
              </w:rPr>
            </w:pPr>
            <w:r>
              <w:rPr>
                <w:rFonts w:ascii="Times New Roman" w:hAnsi="Times New Roman"/>
                <w:sz w:val="24"/>
              </w:rPr>
              <w:t>Cu-NBC</w:t>
            </w:r>
          </w:p>
        </w:tc>
        <w:tc>
          <w:tcPr>
            <w:tcW w:w="2123" w:type="dxa"/>
            <w:tcBorders>
              <w:top w:val="nil"/>
              <w:bottom w:val="nil"/>
            </w:tcBorders>
            <w:vAlign w:val="center"/>
          </w:tcPr>
          <w:p w14:paraId="0C7B5E47">
            <w:pPr>
              <w:widowControl/>
              <w:spacing w:line="360" w:lineRule="auto"/>
              <w:jc w:val="center"/>
              <w:rPr>
                <w:rFonts w:ascii="Times New Roman" w:hAnsi="Times New Roman"/>
                <w:sz w:val="24"/>
              </w:rPr>
            </w:pPr>
            <w:r>
              <w:rPr>
                <w:rFonts w:hint="eastAsia" w:ascii="Times New Roman" w:hAnsi="Times New Roman"/>
                <w:sz w:val="24"/>
              </w:rPr>
              <w:t>8.37</w:t>
            </w:r>
          </w:p>
        </w:tc>
        <w:tc>
          <w:tcPr>
            <w:tcW w:w="2126" w:type="dxa"/>
            <w:tcBorders>
              <w:top w:val="nil"/>
              <w:bottom w:val="nil"/>
            </w:tcBorders>
            <w:vAlign w:val="center"/>
          </w:tcPr>
          <w:p w14:paraId="73DC92D8">
            <w:pPr>
              <w:widowControl/>
              <w:spacing w:line="360" w:lineRule="auto"/>
              <w:jc w:val="center"/>
              <w:rPr>
                <w:rFonts w:ascii="Times New Roman" w:hAnsi="Times New Roman"/>
                <w:sz w:val="24"/>
              </w:rPr>
            </w:pPr>
            <w:r>
              <w:rPr>
                <w:rFonts w:hint="eastAsia" w:ascii="Times New Roman" w:hAnsi="Times New Roman"/>
                <w:sz w:val="24"/>
              </w:rPr>
              <w:t>0.685</w:t>
            </w:r>
          </w:p>
        </w:tc>
        <w:tc>
          <w:tcPr>
            <w:tcW w:w="2126" w:type="dxa"/>
            <w:tcBorders>
              <w:top w:val="nil"/>
              <w:bottom w:val="nil"/>
            </w:tcBorders>
            <w:vAlign w:val="center"/>
          </w:tcPr>
          <w:p w14:paraId="6FFA6C7D">
            <w:pPr>
              <w:widowControl/>
              <w:spacing w:line="360" w:lineRule="auto"/>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ADDIN ZOTERO_ITEM CSL_CITATION {"citationID":"KKFDes3K","properties":{"unsorted":false,"formattedCitation":"[7]","plainCitation":"[7]","noteIndex":0},"citationItems":[{"id":1532,"uris":["http://zotero.org/users/local/CJ0ha1Du/items/V3YMIQ92"],"itemData":</w:instrText>
            </w:r>
            <w:r>
              <w:rPr>
                <w:rFonts w:hint="eastAsia" w:ascii="Times New Roman" w:hAnsi="Times New Roman"/>
                <w:sz w:val="24"/>
              </w:rPr>
              <w:instrText xml:space="preserve">{"id":1532,"type":"article-journal","abstract":"Abstract\n            \n              Due to the low stability and high cost of some natural enzymes, nanozymes have been developed as enzyme‐imitating nanomaterials. Single‐atom nanozymes are a class of nanozymes with metal centers that mimic the structure of metal‐based natural enzymes. Herein, Cu‐N‐C single‐atom nanozyme (SAN) is synthesized with excellent peroxidase‐ and enhanced oxidase‐like activities to mimic the action of natural galactose oxidase. Cu‐SAN demonstrates stereospecific activity akin to that of natural galactose oxidase by oxidizing D‐galactose and primary alcohol but not L‐Galactose or other carbohydrates. The SAN can catalyze the oxidation of galactose in the presence of oxygen, producing hydrogen peroxide as a sub‐product. The produced hydrogen peroxide then oxidizes 3,3′,5,5′‐tetramethylbenzidine catalyzed by the SAN, yielding the typical blue product. The relationship between absorbance and galactose concentration is linear in the 1–</w:instrText>
            </w:r>
            <w:r>
              <w:rPr>
                <w:rFonts w:ascii="Times New Roman" w:hAnsi="Times New Roman"/>
                <w:sz w:val="24"/>
              </w:rPr>
              <w:instrText xml:space="preserve">60 µ\n              m\n              range with a detection limit as low as 0.23 µ\n              m\n              . This strategy can be utilized in the diagnosis of galactosemia disorder and detection of galactose in some dairy and other commercial pro</w:instrText>
            </w:r>
            <w:r>
              <w:rPr>
                <w:rFonts w:hint="eastAsia" w:ascii="Times New Roman" w:hAnsi="Times New Roman"/>
                <w:sz w:val="24"/>
              </w:rPr>
              <w:instrText xml:space="preserve">ducts. DFT calculations clarify the high activity of the Cu sites in the POD‐like reaction and explain the selectivity of the Cu‐SAN oxidase‐like reaction toward D‐galactose","container-title":"Small","DOI":"10.1002/smll.202405986","ISSN":"1613-6810, 1613-6829","issue":"49","journalAbbreviation":"Small","language":"en","note":"titleTranslation: 具有优异催化活性和选择性的模拟半乳糖氧化酶的铜单原子纳米酶","page":"2405986","source":"DOI.org (Crossref)","title":"Copper single‐atom nanozyme mimicking galactose oxidase with superior cataly</w:instrText>
            </w:r>
            <w:r>
              <w:rPr>
                <w:rFonts w:ascii="Times New Roman" w:hAnsi="Times New Roman"/>
                <w:sz w:val="24"/>
              </w:rPr>
              <w:instrText xml:space="preserve">tic activity and selectivity","volume":"20","author":[{"family":"Hamed","given":"Eslam M."},{"family":"He","given":"Limo"},{"family":"Rai","given":"Varun"},{"family":"Hu","given":"Song"},{"family":"Li","given":"Sam F. Y."}],"issued":{"date-parts":[["2024",12]]}}}],"schema":"https://github.com/citation-style-language/schema/raw/master/csl-citation.json"} </w:instrText>
            </w:r>
            <w:r>
              <w:rPr>
                <w:rFonts w:ascii="Times New Roman" w:hAnsi="Times New Roman"/>
                <w:sz w:val="24"/>
              </w:rPr>
              <w:fldChar w:fldCharType="separate"/>
            </w:r>
            <w:r>
              <w:rPr>
                <w:rFonts w:ascii="Times New Roman" w:hAnsi="Times New Roman"/>
                <w:sz w:val="24"/>
              </w:rPr>
              <w:t>[7]</w:t>
            </w:r>
            <w:r>
              <w:rPr>
                <w:rFonts w:ascii="Times New Roman" w:hAnsi="Times New Roman"/>
                <w:sz w:val="24"/>
              </w:rPr>
              <w:fldChar w:fldCharType="end"/>
            </w:r>
          </w:p>
        </w:tc>
      </w:tr>
      <w:tr w14:paraId="277432C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147" w:type="dxa"/>
            <w:tcBorders>
              <w:top w:val="nil"/>
              <w:bottom w:val="nil"/>
            </w:tcBorders>
            <w:vAlign w:val="center"/>
          </w:tcPr>
          <w:p w14:paraId="748C48C1">
            <w:pPr>
              <w:widowControl/>
              <w:spacing w:line="360" w:lineRule="auto"/>
              <w:jc w:val="center"/>
              <w:rPr>
                <w:rFonts w:ascii="Times New Roman" w:hAnsi="Times New Roman"/>
                <w:sz w:val="24"/>
              </w:rPr>
            </w:pPr>
            <w:r>
              <w:rPr>
                <w:rFonts w:ascii="Times New Roman" w:hAnsi="Times New Roman"/>
                <w:sz w:val="24"/>
              </w:rPr>
              <w:t>PtsaN-C</w:t>
            </w:r>
          </w:p>
        </w:tc>
        <w:tc>
          <w:tcPr>
            <w:tcW w:w="2123" w:type="dxa"/>
            <w:tcBorders>
              <w:top w:val="nil"/>
              <w:bottom w:val="nil"/>
            </w:tcBorders>
            <w:vAlign w:val="center"/>
          </w:tcPr>
          <w:p w14:paraId="44D00854">
            <w:pPr>
              <w:widowControl/>
              <w:spacing w:line="360" w:lineRule="auto"/>
              <w:jc w:val="center"/>
              <w:rPr>
                <w:rFonts w:ascii="Times New Roman" w:hAnsi="Times New Roman"/>
                <w:sz w:val="24"/>
              </w:rPr>
            </w:pPr>
            <w:r>
              <w:rPr>
                <w:rFonts w:hint="eastAsia" w:ascii="Times New Roman" w:hAnsi="Times New Roman"/>
                <w:sz w:val="24"/>
              </w:rPr>
              <w:t>2.943</w:t>
            </w:r>
          </w:p>
        </w:tc>
        <w:tc>
          <w:tcPr>
            <w:tcW w:w="2126" w:type="dxa"/>
            <w:tcBorders>
              <w:top w:val="nil"/>
              <w:bottom w:val="nil"/>
            </w:tcBorders>
            <w:vAlign w:val="center"/>
          </w:tcPr>
          <w:p w14:paraId="7BDC4DDD">
            <w:pPr>
              <w:widowControl/>
              <w:spacing w:line="360" w:lineRule="auto"/>
              <w:jc w:val="center"/>
              <w:rPr>
                <w:rFonts w:ascii="Times New Roman" w:hAnsi="Times New Roman"/>
                <w:sz w:val="24"/>
              </w:rPr>
            </w:pPr>
            <w:r>
              <w:rPr>
                <w:rFonts w:hint="eastAsia" w:ascii="Times New Roman" w:hAnsi="Times New Roman"/>
                <w:sz w:val="24"/>
              </w:rPr>
              <w:t>1.231×10</w:t>
            </w:r>
            <w:r>
              <w:rPr>
                <w:rFonts w:hint="eastAsia" w:ascii="Times New Roman" w:hAnsi="Times New Roman"/>
                <w:sz w:val="24"/>
                <w:vertAlign w:val="superscript"/>
              </w:rPr>
              <w:t>4</w:t>
            </w:r>
          </w:p>
        </w:tc>
        <w:tc>
          <w:tcPr>
            <w:tcW w:w="2126" w:type="dxa"/>
            <w:tcBorders>
              <w:top w:val="nil"/>
              <w:bottom w:val="nil"/>
            </w:tcBorders>
            <w:vAlign w:val="center"/>
          </w:tcPr>
          <w:p w14:paraId="4DA3FED6">
            <w:pPr>
              <w:widowControl/>
              <w:spacing w:line="360" w:lineRule="auto"/>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ADDIN ZOTERO_ITEM CSL_CITATION {"citationID":"LIX5izeA","properties":{"unsorted":false,"formattedCitation":"[8]","plainCitation":"[8]","noteIndex":0},"citationItems":[{"id":1987,"uris":["http://zotero.org/users/local/CJ0ha1Du/items/PWJXBLL7"],"itemData":{"id":1987,"type":"article-journal","abstract":"Abstract\n            Effective therapeutic strategies for myocardial ischemia/reperfusion (I/R) injury remain elusive. Targeting reactive oxygen species (ROS) provides a practical approach to mitigate myocardial damage following reperfusion. In this study, we synthesize an antioxidant nanozyme, equipped with a single-Platinum (Pt)-atom (PtsaN-C), for protecting against I/R injury. PtsaN-C exhibits multiple enzyme-mimicking activities for ROS scavenging with high efficiency and stability. Mechanistic studies demonstrate that the excellent ROS-elimination performance of the single Pt atom center precedes that of the Pt cluster center, owing to its better synergistic effect and metallic electronic property. Systematic in vitro and in vivo studies confirm that PtsaN-C efficiently counteracts ROS, restores cellular homeostasis and prevents apoptotic progression after I/R injury. PtsaN-C also demonstrates good biocompatibility, making it a promising candidate for clinical applications. Our study expands the scope of single-atom nanozyme in combating ROS-induced damage and offers a promising therapeutic avenue for the treatment of I/R injury.","container-title":"Nature Communications","DOI":"10.1038/s41467-024-459</w:instrText>
            </w:r>
            <w:r>
              <w:rPr>
                <w:rFonts w:hint="eastAsia" w:ascii="Times New Roman" w:hAnsi="Times New Roman"/>
                <w:sz w:val="24"/>
              </w:rPr>
              <w:instrText xml:space="preserve">27-3","ISSN":"2041-1723","issue":"1","journalAbbreviation":"Nat Commun","language":"en","note":"titleTranslation: pt-N-C单原子纳米酶对心肌缺血再灌注损伤的保护作用","page":"1682","source":"DOI.org (Crossref)","title":"Protective effects of pt-N-C single-atom nanozymes against </w:instrText>
            </w:r>
            <w:r>
              <w:rPr>
                <w:rFonts w:ascii="Times New Roman" w:hAnsi="Times New Roman"/>
                <w:sz w:val="24"/>
              </w:rPr>
              <w:instrText xml:space="preserve">myocardial ischemia-reperfusion injury","volume":"15","author":[{"family":"Ye","given":"Tianbao"},{"family":"Chen","given":"Cheng"},{"family":"Wang","given":"Di"},{"family":"Huang","given":"Chengjie"},{"family":"Yan","given":"Zhiwen"},{"family":"Chen","given":"Yu"},{"family":"Jin","given":"Xian"},{"family":"Wang","given":"Xiuyuan"},{"family":"Ding","given":"Xianting"},{"family":"Shen","given":"Chengxing"}],"issued":{"date-parts":[["2024",2,23]]}}}],"schema":"https://github.com/citation-style-language/schema/raw/master/csl-citation.json"} </w:instrText>
            </w:r>
            <w:r>
              <w:rPr>
                <w:rFonts w:ascii="Times New Roman" w:hAnsi="Times New Roman"/>
                <w:sz w:val="24"/>
              </w:rPr>
              <w:fldChar w:fldCharType="separate"/>
            </w:r>
            <w:r>
              <w:rPr>
                <w:rFonts w:ascii="Times New Roman" w:hAnsi="Times New Roman"/>
                <w:sz w:val="24"/>
              </w:rPr>
              <w:t>[8]</w:t>
            </w:r>
            <w:r>
              <w:rPr>
                <w:rFonts w:ascii="Times New Roman" w:hAnsi="Times New Roman"/>
                <w:sz w:val="24"/>
              </w:rPr>
              <w:fldChar w:fldCharType="end"/>
            </w:r>
          </w:p>
        </w:tc>
      </w:tr>
      <w:tr w14:paraId="7AC12A0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147" w:type="dxa"/>
            <w:tcBorders>
              <w:top w:val="nil"/>
            </w:tcBorders>
            <w:vAlign w:val="center"/>
          </w:tcPr>
          <w:p w14:paraId="42AC7645">
            <w:pPr>
              <w:widowControl/>
              <w:spacing w:line="360" w:lineRule="auto"/>
              <w:jc w:val="center"/>
              <w:rPr>
                <w:rFonts w:ascii="Times New Roman" w:hAnsi="Times New Roman"/>
                <w:sz w:val="24"/>
              </w:rPr>
            </w:pPr>
            <w:r>
              <w:rPr>
                <w:rFonts w:ascii="Times New Roman" w:hAnsi="Times New Roman"/>
                <w:sz w:val="24"/>
              </w:rPr>
              <w:t>Mn/PSAE</w:t>
            </w:r>
          </w:p>
        </w:tc>
        <w:tc>
          <w:tcPr>
            <w:tcW w:w="2123" w:type="dxa"/>
            <w:tcBorders>
              <w:top w:val="nil"/>
            </w:tcBorders>
            <w:vAlign w:val="center"/>
          </w:tcPr>
          <w:p w14:paraId="6D420A7B">
            <w:pPr>
              <w:widowControl/>
              <w:spacing w:line="360" w:lineRule="auto"/>
              <w:jc w:val="center"/>
              <w:rPr>
                <w:rFonts w:ascii="Times New Roman" w:hAnsi="Times New Roman"/>
                <w:sz w:val="24"/>
              </w:rPr>
            </w:pPr>
            <w:r>
              <w:rPr>
                <w:rFonts w:hint="eastAsia" w:ascii="Times New Roman" w:hAnsi="Times New Roman"/>
                <w:sz w:val="24"/>
              </w:rPr>
              <w:t>0.09</w:t>
            </w:r>
          </w:p>
        </w:tc>
        <w:tc>
          <w:tcPr>
            <w:tcW w:w="2126" w:type="dxa"/>
            <w:tcBorders>
              <w:top w:val="nil"/>
            </w:tcBorders>
            <w:vAlign w:val="center"/>
          </w:tcPr>
          <w:p w14:paraId="19991396">
            <w:pPr>
              <w:widowControl/>
              <w:spacing w:line="360" w:lineRule="auto"/>
              <w:jc w:val="center"/>
              <w:rPr>
                <w:rFonts w:ascii="Times New Roman" w:hAnsi="Times New Roman"/>
                <w:sz w:val="24"/>
              </w:rPr>
            </w:pPr>
            <w:r>
              <w:rPr>
                <w:rFonts w:hint="eastAsia" w:ascii="Times New Roman" w:hAnsi="Times New Roman"/>
                <w:sz w:val="24"/>
              </w:rPr>
              <w:t>1.6</w:t>
            </w:r>
          </w:p>
        </w:tc>
        <w:tc>
          <w:tcPr>
            <w:tcW w:w="2126" w:type="dxa"/>
            <w:tcBorders>
              <w:top w:val="nil"/>
            </w:tcBorders>
            <w:vAlign w:val="center"/>
          </w:tcPr>
          <w:p w14:paraId="2091218F">
            <w:pPr>
              <w:widowControl/>
              <w:spacing w:line="360" w:lineRule="auto"/>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ADDIN ZOTERO_ITEM CSL_CITATION {"citationID":"p26XcTVD","properties":{"unsorted":false,"formattedCitation":"[9]","plainCitation":"[9]","noteIndex":0},"citationItems":[{"id":617,"uris":["http://zotero.org/users/local/CJ0ha1Du/items/2C8SG9LU"],"itemData":{"id":617,"type":"article-journal","abstract":"The single-atom enzyme (SAE) is a novel type of nanozyme that exhibits extraordinary catalytic activity. Here, we constructed a PEGylated manganese-based SAE (Mn/ PSAE) by coordination of single-atom manganese to nitrogen atoms in hollow zeolitic imidazolate frameworks. Mn/PSAE catalyzes the conversion of cellular H2O2 to COH through a Fenton-like reaction; it also promotes the decomposition of H2O2 to O2 and continuously catalyzes the conversion of O2 to cytotoxic CO2@ via oxidase-like activity. The catalytic activity of Mn/PSAE is more pronounced in the weak acidic tumor environment; therefore, these cascade reactions enable the sufficient generation of reactive oxygen species (ROS) and effectively kill tumor cells. The prominent photothermal conversion property of the amorphous carbon can be utilized for photothermal therapy. Hence, Mn/PSAE exhibits significant therapeutic efficacy through tumor microenvironment stimulated generation of multiple ROS and pho</w:instrText>
            </w:r>
            <w:r>
              <w:rPr>
                <w:rFonts w:hint="eastAsia" w:ascii="Times New Roman" w:hAnsi="Times New Roman"/>
                <w:sz w:val="24"/>
              </w:rPr>
              <w:instrText xml:space="preserve">tothermal activity.","container-title":"Angewandte Chemie","DOI":"10.1002/ange.202017152","ISSN":"0044-8249, 1521-3757","issue":"17","journalAbbreviation":"Angewandte Chemie","language":"en","note":"titleTranslation: 刺激响应型锰单原子纳米酶通过集成级联反应用于肿瘤治疗","page":"9566-9574","source":"DOI.org (Crossref)","title":"Stimuli‐Responsive Manganese Single‐Atom Nanozyme for Tumor Therapy via Integrated Cascade Reactions","volume":"133","author":[{"family":"Zhu","given":"Yang"},{"family":"Wang","given":"Wenyu"},{"family":"Che</w:instrText>
            </w:r>
            <w:r>
              <w:rPr>
                <w:rFonts w:ascii="Times New Roman" w:hAnsi="Times New Roman"/>
                <w:sz w:val="24"/>
              </w:rPr>
              <w:instrText xml:space="preserve">ng","given":"Junjie"},{"family":"Qu","given":"Yunteng"},{"family":"Dai","given":"Yi"},{"family":"Liu","given":"Manman"},{"family":"Yu","given":"Jianing"},{"family":"Wang","given":"Chengming"},{"family":"Wang","given":"Huijuan"},{"family":"Wang","given":"Sicong"},{"family":"Zhao","given":"Chao"},{"family":"Wu","given":"Yuen"},{"family":"Liu","given":"Yangzhong"}],"issued":{"date-parts":[["2021",4,19]]}}}],"schema":"https://github.com/citation-style-language/schema/raw/master/csl-citation.json"} </w:instrText>
            </w:r>
            <w:r>
              <w:rPr>
                <w:rFonts w:ascii="Times New Roman" w:hAnsi="Times New Roman"/>
                <w:sz w:val="24"/>
              </w:rPr>
              <w:fldChar w:fldCharType="separate"/>
            </w:r>
            <w:r>
              <w:rPr>
                <w:rFonts w:ascii="Times New Roman" w:hAnsi="Times New Roman"/>
                <w:sz w:val="24"/>
              </w:rPr>
              <w:t>[9]</w:t>
            </w:r>
            <w:r>
              <w:rPr>
                <w:rFonts w:ascii="Times New Roman" w:hAnsi="Times New Roman"/>
                <w:sz w:val="24"/>
              </w:rPr>
              <w:fldChar w:fldCharType="end"/>
            </w:r>
          </w:p>
        </w:tc>
      </w:tr>
      <w:bookmarkEnd w:id="8"/>
    </w:tbl>
    <w:p w14:paraId="7D26671D">
      <w:pPr>
        <w:widowControl/>
        <w:spacing w:line="360" w:lineRule="auto"/>
        <w:rPr>
          <w:rFonts w:hint="eastAsia" w:ascii="Times New Roman" w:hAnsi="Times New Roman"/>
          <w:b/>
          <w:bCs/>
          <w:sz w:val="24"/>
        </w:rPr>
      </w:pPr>
    </w:p>
    <w:p w14:paraId="7DB9EB1B">
      <w:pPr>
        <w:widowControl/>
        <w:rPr>
          <w:rFonts w:ascii="Times New Roman" w:hAnsi="Times New Roman"/>
          <w:b/>
          <w:bCs/>
          <w:sz w:val="24"/>
        </w:rPr>
      </w:pPr>
      <w:bookmarkStart w:id="10" w:name="_Hlk219389205"/>
      <w:r>
        <w:rPr>
          <w:rFonts w:ascii="Times New Roman" w:hAnsi="Times New Roman"/>
          <w:b/>
          <w:bCs/>
          <w:sz w:val="24"/>
        </w:rPr>
        <w:t>Table S</w:t>
      </w:r>
      <w:r>
        <w:rPr>
          <w:rFonts w:hint="eastAsia" w:ascii="Times New Roman" w:hAnsi="Times New Roman"/>
          <w:b/>
          <w:bCs/>
          <w:sz w:val="24"/>
        </w:rPr>
        <w:t xml:space="preserve">4. </w:t>
      </w:r>
      <w:r>
        <w:rPr>
          <w:rFonts w:ascii="Times New Roman" w:hAnsi="Times New Roman"/>
          <w:sz w:val="24"/>
        </w:rPr>
        <w:t>Comparison of</w:t>
      </w:r>
      <w:r>
        <w:rPr>
          <w:rFonts w:hint="eastAsia" w:ascii="Times New Roman" w:hAnsi="Times New Roman"/>
          <w:sz w:val="24"/>
        </w:rPr>
        <w:t xml:space="preserve"> </w:t>
      </w:r>
      <w:r>
        <w:rPr>
          <w:rFonts w:ascii="Times New Roman" w:hAnsi="Times New Roman"/>
          <w:i/>
          <w:iCs/>
          <w:sz w:val="24"/>
        </w:rPr>
        <w:t>K</w:t>
      </w:r>
      <w:r>
        <w:rPr>
          <w:rFonts w:ascii="Times New Roman" w:hAnsi="Times New Roman"/>
          <w:sz w:val="24"/>
          <w:vertAlign w:val="subscript"/>
        </w:rPr>
        <w:t>m</w:t>
      </w:r>
      <w:r>
        <w:rPr>
          <w:rFonts w:ascii="Times New Roman" w:hAnsi="Times New Roman"/>
          <w:sz w:val="24"/>
        </w:rPr>
        <w:t xml:space="preserve"> </w:t>
      </w:r>
      <w:r>
        <w:rPr>
          <w:rFonts w:hint="eastAsia" w:ascii="Times New Roman" w:hAnsi="Times New Roman"/>
          <w:sz w:val="24"/>
        </w:rPr>
        <w:t xml:space="preserve">and </w:t>
      </w:r>
      <w:r>
        <w:rPr>
          <w:rFonts w:ascii="Times New Roman" w:hAnsi="Times New Roman"/>
          <w:i/>
          <w:iCs/>
          <w:sz w:val="24"/>
        </w:rPr>
        <w:t>V</w:t>
      </w:r>
      <w:r>
        <w:rPr>
          <w:rFonts w:ascii="Times New Roman" w:hAnsi="Times New Roman"/>
          <w:sz w:val="24"/>
          <w:vertAlign w:val="subscript"/>
        </w:rPr>
        <w:t>max</w:t>
      </w:r>
      <w:r>
        <w:rPr>
          <w:rFonts w:ascii="Times New Roman" w:hAnsi="Times New Roman"/>
          <w:sz w:val="24"/>
        </w:rPr>
        <w:t xml:space="preserve"> for Fe-SAzyme and other </w:t>
      </w:r>
      <w:r>
        <w:rPr>
          <w:rFonts w:hint="eastAsia" w:ascii="Times New Roman" w:hAnsi="Times New Roman"/>
          <w:sz w:val="24"/>
        </w:rPr>
        <w:t>nanozymes</w:t>
      </w:r>
      <w:r>
        <w:rPr>
          <w:rFonts w:ascii="Times New Roman" w:hAnsi="Times New Roman"/>
          <w:sz w:val="24"/>
        </w:rPr>
        <w:t xml:space="preserve"> </w:t>
      </w:r>
      <w:r>
        <w:rPr>
          <w:rFonts w:hint="eastAsia" w:ascii="Times New Roman" w:hAnsi="Times New Roman"/>
          <w:sz w:val="24"/>
        </w:rPr>
        <w:t>exhibiting</w:t>
      </w:r>
      <w:r>
        <w:rPr>
          <w:rFonts w:ascii="Times New Roman" w:hAnsi="Times New Roman"/>
          <w:sz w:val="24"/>
        </w:rPr>
        <w:t xml:space="preserve"> </w:t>
      </w:r>
      <w:r>
        <w:rPr>
          <w:rFonts w:hint="eastAsia" w:ascii="Times New Roman" w:hAnsi="Times New Roman"/>
          <w:sz w:val="24"/>
        </w:rPr>
        <w:t>CAT</w:t>
      </w:r>
      <w:r>
        <w:rPr>
          <w:rFonts w:ascii="Times New Roman" w:hAnsi="Times New Roman"/>
          <w:sz w:val="24"/>
        </w:rPr>
        <w:t>-like activity</w:t>
      </w:r>
      <w:r>
        <w:rPr>
          <w:rFonts w:hint="eastAsia" w:ascii="Times New Roman" w:hAnsi="Times New Roman"/>
          <w:sz w:val="24"/>
        </w:rPr>
        <w:t>.</w:t>
      </w:r>
    </w:p>
    <w:tbl>
      <w:tblPr>
        <w:tblStyle w:val="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30"/>
        <w:gridCol w:w="17"/>
        <w:gridCol w:w="2111"/>
        <w:gridCol w:w="10"/>
        <w:gridCol w:w="2125"/>
        <w:gridCol w:w="2129"/>
      </w:tblGrid>
      <w:tr w14:paraId="3064679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0" w:type="dxa"/>
            <w:tcBorders>
              <w:top w:val="single" w:color="auto" w:sz="4" w:space="0"/>
              <w:bottom w:val="single" w:color="auto" w:sz="4" w:space="0"/>
            </w:tcBorders>
          </w:tcPr>
          <w:p w14:paraId="77B3FA21">
            <w:pPr>
              <w:widowControl/>
              <w:spacing w:line="360" w:lineRule="auto"/>
              <w:jc w:val="center"/>
              <w:rPr>
                <w:rFonts w:ascii="Times New Roman" w:hAnsi="Times New Roman"/>
                <w:b/>
                <w:bCs/>
                <w:sz w:val="24"/>
              </w:rPr>
            </w:pPr>
            <w:r>
              <w:rPr>
                <w:rFonts w:hint="eastAsia" w:ascii="Times New Roman" w:hAnsi="Times New Roman"/>
                <w:b/>
                <w:bCs/>
                <w:sz w:val="24"/>
              </w:rPr>
              <w:t>Nanozymes</w:t>
            </w:r>
          </w:p>
        </w:tc>
        <w:tc>
          <w:tcPr>
            <w:tcW w:w="2128" w:type="dxa"/>
            <w:gridSpan w:val="2"/>
            <w:tcBorders>
              <w:top w:val="single" w:color="auto" w:sz="4" w:space="0"/>
              <w:bottom w:val="single" w:color="auto" w:sz="4" w:space="0"/>
            </w:tcBorders>
          </w:tcPr>
          <w:p w14:paraId="4E8FB0A2">
            <w:pPr>
              <w:widowControl/>
              <w:spacing w:line="360" w:lineRule="auto"/>
              <w:jc w:val="center"/>
              <w:rPr>
                <w:rFonts w:ascii="Times New Roman" w:hAnsi="Times New Roman"/>
                <w:b/>
                <w:bCs/>
                <w:sz w:val="24"/>
              </w:rPr>
            </w:pPr>
            <w:r>
              <w:rPr>
                <w:rFonts w:hint="eastAsia" w:ascii="Times New Roman" w:hAnsi="Times New Roman"/>
                <w:b/>
                <w:bCs/>
                <w:i/>
                <w:iCs/>
                <w:sz w:val="24"/>
              </w:rPr>
              <w:t>K</w:t>
            </w:r>
            <w:r>
              <w:rPr>
                <w:rFonts w:hint="eastAsia" w:ascii="Times New Roman" w:hAnsi="Times New Roman"/>
                <w:b/>
                <w:bCs/>
                <w:sz w:val="24"/>
                <w:vertAlign w:val="subscript"/>
              </w:rPr>
              <w:t>m</w:t>
            </w:r>
            <w:r>
              <w:rPr>
                <w:rFonts w:hint="eastAsia" w:ascii="Times New Roman" w:hAnsi="Times New Roman"/>
                <w:b/>
                <w:bCs/>
                <w:i/>
                <w:iCs/>
                <w:sz w:val="24"/>
              </w:rPr>
              <w:t xml:space="preserve"> </w:t>
            </w:r>
            <w:r>
              <w:rPr>
                <w:rFonts w:hint="eastAsia" w:ascii="Times New Roman" w:hAnsi="Times New Roman"/>
                <w:b/>
                <w:bCs/>
                <w:sz w:val="24"/>
              </w:rPr>
              <w:t>(mM)</w:t>
            </w:r>
          </w:p>
        </w:tc>
        <w:tc>
          <w:tcPr>
            <w:tcW w:w="2135" w:type="dxa"/>
            <w:gridSpan w:val="2"/>
            <w:tcBorders>
              <w:top w:val="single" w:color="auto" w:sz="4" w:space="0"/>
              <w:bottom w:val="single" w:color="auto" w:sz="4" w:space="0"/>
            </w:tcBorders>
          </w:tcPr>
          <w:p w14:paraId="79781F60">
            <w:pPr>
              <w:widowControl/>
              <w:spacing w:line="360" w:lineRule="auto"/>
              <w:jc w:val="center"/>
              <w:rPr>
                <w:rFonts w:ascii="Times New Roman" w:hAnsi="Times New Roman"/>
                <w:b/>
                <w:bCs/>
                <w:sz w:val="24"/>
                <w:vertAlign w:val="subscript"/>
              </w:rPr>
            </w:pPr>
            <w:r>
              <w:rPr>
                <w:rFonts w:hint="eastAsia" w:ascii="Times New Roman" w:hAnsi="Times New Roman"/>
                <w:b/>
                <w:bCs/>
                <w:i/>
                <w:iCs/>
                <w:sz w:val="24"/>
              </w:rPr>
              <w:t>V</w:t>
            </w:r>
            <w:r>
              <w:rPr>
                <w:rFonts w:hint="eastAsia" w:ascii="Times New Roman" w:hAnsi="Times New Roman"/>
                <w:b/>
                <w:bCs/>
                <w:sz w:val="24"/>
                <w:vertAlign w:val="subscript"/>
              </w:rPr>
              <w:t>max</w:t>
            </w:r>
            <w:r>
              <w:rPr>
                <w:rFonts w:hint="eastAsia" w:ascii="Times New Roman" w:hAnsi="Times New Roman"/>
                <w:b/>
                <w:bCs/>
                <w:sz w:val="24"/>
              </w:rPr>
              <w:t xml:space="preserve"> (mgL</w:t>
            </w:r>
            <w:r>
              <w:rPr>
                <w:rFonts w:hint="eastAsia" w:ascii="Times New Roman" w:hAnsi="Times New Roman"/>
                <w:b/>
                <w:bCs/>
                <w:sz w:val="24"/>
                <w:vertAlign w:val="superscript"/>
              </w:rPr>
              <w:t>-1</w:t>
            </w:r>
            <w:r>
              <w:rPr>
                <w:rFonts w:hint="eastAsia" w:ascii="Times New Roman" w:hAnsi="Times New Roman"/>
                <w:b/>
                <w:bCs/>
                <w:sz w:val="24"/>
              </w:rPr>
              <w:t>min</w:t>
            </w:r>
            <w:r>
              <w:rPr>
                <w:rFonts w:hint="eastAsia" w:ascii="Times New Roman" w:hAnsi="Times New Roman"/>
                <w:b/>
                <w:bCs/>
                <w:sz w:val="24"/>
                <w:vertAlign w:val="superscript"/>
              </w:rPr>
              <w:t>-1</w:t>
            </w:r>
            <w:r>
              <w:rPr>
                <w:rFonts w:hint="eastAsia" w:ascii="Times New Roman" w:hAnsi="Times New Roman"/>
                <w:b/>
                <w:bCs/>
                <w:sz w:val="24"/>
              </w:rPr>
              <w:t>)</w:t>
            </w:r>
          </w:p>
        </w:tc>
        <w:tc>
          <w:tcPr>
            <w:tcW w:w="2129" w:type="dxa"/>
            <w:tcBorders>
              <w:top w:val="single" w:color="auto" w:sz="4" w:space="0"/>
              <w:bottom w:val="single" w:color="auto" w:sz="4" w:space="0"/>
            </w:tcBorders>
          </w:tcPr>
          <w:p w14:paraId="10588EA1">
            <w:pPr>
              <w:widowControl/>
              <w:spacing w:line="360" w:lineRule="auto"/>
              <w:jc w:val="center"/>
              <w:rPr>
                <w:rFonts w:ascii="Times New Roman" w:hAnsi="Times New Roman"/>
                <w:b/>
                <w:bCs/>
                <w:sz w:val="24"/>
              </w:rPr>
            </w:pPr>
            <w:r>
              <w:rPr>
                <w:rFonts w:hint="eastAsia" w:ascii="Times New Roman" w:hAnsi="Times New Roman"/>
                <w:b/>
                <w:bCs/>
                <w:sz w:val="24"/>
              </w:rPr>
              <w:t>Reference</w:t>
            </w:r>
          </w:p>
        </w:tc>
      </w:tr>
      <w:tr w14:paraId="4694E43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7" w:type="dxa"/>
            <w:gridSpan w:val="2"/>
            <w:tcBorders>
              <w:top w:val="single" w:color="auto" w:sz="4" w:space="0"/>
            </w:tcBorders>
          </w:tcPr>
          <w:p w14:paraId="68390B2A">
            <w:pPr>
              <w:widowControl/>
              <w:spacing w:line="360" w:lineRule="auto"/>
              <w:jc w:val="center"/>
              <w:rPr>
                <w:rFonts w:ascii="Times New Roman" w:hAnsi="Times New Roman"/>
                <w:sz w:val="24"/>
              </w:rPr>
            </w:pPr>
            <w:r>
              <w:rPr>
                <w:rFonts w:hint="eastAsia" w:ascii="Times New Roman" w:hAnsi="Times New Roman"/>
                <w:sz w:val="24"/>
              </w:rPr>
              <w:t>Fe-SAzyme</w:t>
            </w:r>
          </w:p>
        </w:tc>
        <w:tc>
          <w:tcPr>
            <w:tcW w:w="2121" w:type="dxa"/>
            <w:gridSpan w:val="2"/>
            <w:tcBorders>
              <w:top w:val="single" w:color="auto" w:sz="4" w:space="0"/>
            </w:tcBorders>
          </w:tcPr>
          <w:p w14:paraId="6F6E2E82">
            <w:pPr>
              <w:widowControl/>
              <w:spacing w:line="360" w:lineRule="auto"/>
              <w:jc w:val="center"/>
              <w:rPr>
                <w:rFonts w:ascii="Times New Roman" w:hAnsi="Times New Roman"/>
                <w:sz w:val="24"/>
              </w:rPr>
            </w:pPr>
            <w:r>
              <w:rPr>
                <w:rFonts w:hint="eastAsia" w:ascii="Times New Roman" w:hAnsi="Times New Roman"/>
                <w:sz w:val="24"/>
              </w:rPr>
              <w:t>21.93</w:t>
            </w:r>
          </w:p>
        </w:tc>
        <w:tc>
          <w:tcPr>
            <w:tcW w:w="2125" w:type="dxa"/>
            <w:tcBorders>
              <w:top w:val="single" w:color="auto" w:sz="4" w:space="0"/>
            </w:tcBorders>
          </w:tcPr>
          <w:p w14:paraId="70FB32C6">
            <w:pPr>
              <w:widowControl/>
              <w:spacing w:line="360" w:lineRule="auto"/>
              <w:jc w:val="center"/>
              <w:rPr>
                <w:rFonts w:ascii="Times New Roman" w:hAnsi="Times New Roman"/>
                <w:sz w:val="24"/>
              </w:rPr>
            </w:pPr>
            <w:r>
              <w:rPr>
                <w:rFonts w:hint="eastAsia" w:ascii="Times New Roman" w:hAnsi="Times New Roman"/>
                <w:sz w:val="24"/>
              </w:rPr>
              <w:t>5.13</w:t>
            </w:r>
          </w:p>
        </w:tc>
        <w:tc>
          <w:tcPr>
            <w:tcW w:w="2129" w:type="dxa"/>
            <w:tcBorders>
              <w:top w:val="single" w:color="auto" w:sz="4" w:space="0"/>
            </w:tcBorders>
          </w:tcPr>
          <w:p w14:paraId="6FD7D861">
            <w:pPr>
              <w:widowControl/>
              <w:spacing w:line="360" w:lineRule="auto"/>
              <w:jc w:val="center"/>
              <w:rPr>
                <w:rFonts w:ascii="Times New Roman" w:hAnsi="Times New Roman"/>
                <w:sz w:val="24"/>
              </w:rPr>
            </w:pPr>
            <w:r>
              <w:rPr>
                <w:rFonts w:ascii="Times New Roman" w:hAnsi="Times New Roman"/>
                <w:sz w:val="24"/>
              </w:rPr>
              <w:t>This method</w:t>
            </w:r>
          </w:p>
        </w:tc>
      </w:tr>
      <w:tr w14:paraId="44340D9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7" w:type="dxa"/>
            <w:gridSpan w:val="2"/>
          </w:tcPr>
          <w:p w14:paraId="00FA5BEB">
            <w:pPr>
              <w:widowControl/>
              <w:spacing w:line="360" w:lineRule="auto"/>
              <w:jc w:val="center"/>
              <w:rPr>
                <w:rFonts w:ascii="Times New Roman" w:hAnsi="Times New Roman"/>
                <w:sz w:val="24"/>
              </w:rPr>
            </w:pPr>
            <w:r>
              <w:rPr>
                <w:rFonts w:ascii="Times New Roman" w:hAnsi="Times New Roman"/>
                <w:sz w:val="24"/>
              </w:rPr>
              <w:t>Fe-SAzyme+NIR-Ⅱ</w:t>
            </w:r>
          </w:p>
        </w:tc>
        <w:tc>
          <w:tcPr>
            <w:tcW w:w="2121" w:type="dxa"/>
            <w:gridSpan w:val="2"/>
          </w:tcPr>
          <w:p w14:paraId="1FA5046A">
            <w:pPr>
              <w:widowControl/>
              <w:spacing w:line="360" w:lineRule="auto"/>
              <w:jc w:val="center"/>
              <w:rPr>
                <w:rFonts w:ascii="Times New Roman" w:hAnsi="Times New Roman"/>
                <w:sz w:val="24"/>
              </w:rPr>
            </w:pPr>
            <w:r>
              <w:rPr>
                <w:rFonts w:hint="eastAsia" w:ascii="Times New Roman" w:hAnsi="Times New Roman"/>
                <w:sz w:val="24"/>
              </w:rPr>
              <w:t>13.49</w:t>
            </w:r>
          </w:p>
        </w:tc>
        <w:tc>
          <w:tcPr>
            <w:tcW w:w="2125" w:type="dxa"/>
          </w:tcPr>
          <w:p w14:paraId="18A71946">
            <w:pPr>
              <w:widowControl/>
              <w:spacing w:line="360" w:lineRule="auto"/>
              <w:jc w:val="center"/>
              <w:rPr>
                <w:rFonts w:ascii="Times New Roman" w:hAnsi="Times New Roman"/>
                <w:sz w:val="24"/>
              </w:rPr>
            </w:pPr>
            <w:r>
              <w:rPr>
                <w:rFonts w:hint="eastAsia" w:ascii="Times New Roman" w:hAnsi="Times New Roman"/>
                <w:sz w:val="24"/>
              </w:rPr>
              <w:t>6.23</w:t>
            </w:r>
          </w:p>
        </w:tc>
        <w:tc>
          <w:tcPr>
            <w:tcW w:w="2129" w:type="dxa"/>
          </w:tcPr>
          <w:p w14:paraId="5D814B56">
            <w:pPr>
              <w:widowControl/>
              <w:spacing w:line="360" w:lineRule="auto"/>
              <w:jc w:val="center"/>
              <w:rPr>
                <w:rFonts w:ascii="Times New Roman" w:hAnsi="Times New Roman"/>
                <w:sz w:val="24"/>
              </w:rPr>
            </w:pPr>
            <w:r>
              <w:rPr>
                <w:rFonts w:ascii="Times New Roman" w:hAnsi="Times New Roman"/>
                <w:sz w:val="24"/>
              </w:rPr>
              <w:t>This method</w:t>
            </w:r>
          </w:p>
        </w:tc>
      </w:tr>
      <w:tr w14:paraId="7AFD95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7" w:type="dxa"/>
            <w:gridSpan w:val="2"/>
          </w:tcPr>
          <w:p w14:paraId="5523696B">
            <w:pPr>
              <w:widowControl/>
              <w:spacing w:line="360" w:lineRule="auto"/>
              <w:jc w:val="center"/>
              <w:rPr>
                <w:rFonts w:ascii="Times New Roman" w:hAnsi="Times New Roman"/>
                <w:sz w:val="24"/>
              </w:rPr>
            </w:pPr>
            <w:r>
              <w:rPr>
                <w:rFonts w:hint="eastAsia" w:ascii="Times New Roman" w:hAnsi="Times New Roman"/>
                <w:sz w:val="24"/>
              </w:rPr>
              <w:t>Catalase</w:t>
            </w:r>
          </w:p>
        </w:tc>
        <w:tc>
          <w:tcPr>
            <w:tcW w:w="2121" w:type="dxa"/>
            <w:gridSpan w:val="2"/>
          </w:tcPr>
          <w:p w14:paraId="4A902096">
            <w:pPr>
              <w:widowControl/>
              <w:spacing w:line="360" w:lineRule="auto"/>
              <w:jc w:val="center"/>
              <w:rPr>
                <w:rFonts w:ascii="Times New Roman" w:hAnsi="Times New Roman"/>
                <w:sz w:val="24"/>
              </w:rPr>
            </w:pPr>
            <w:r>
              <w:rPr>
                <w:rFonts w:hint="eastAsia" w:ascii="Times New Roman" w:hAnsi="Times New Roman"/>
                <w:sz w:val="24"/>
              </w:rPr>
              <w:t>54.3</w:t>
            </w:r>
          </w:p>
        </w:tc>
        <w:tc>
          <w:tcPr>
            <w:tcW w:w="2125" w:type="dxa"/>
          </w:tcPr>
          <w:p w14:paraId="163EF7DB">
            <w:pPr>
              <w:widowControl/>
              <w:spacing w:line="360" w:lineRule="auto"/>
              <w:jc w:val="center"/>
              <w:rPr>
                <w:rFonts w:ascii="Times New Roman" w:hAnsi="Times New Roman"/>
                <w:sz w:val="24"/>
              </w:rPr>
            </w:pPr>
            <w:r>
              <w:rPr>
                <w:rFonts w:hint="eastAsia" w:ascii="Times New Roman" w:hAnsi="Times New Roman"/>
                <w:sz w:val="24"/>
              </w:rPr>
              <w:t>31.104</w:t>
            </w:r>
          </w:p>
        </w:tc>
        <w:tc>
          <w:tcPr>
            <w:tcW w:w="2129" w:type="dxa"/>
          </w:tcPr>
          <w:p w14:paraId="08B74C7A">
            <w:pPr>
              <w:widowControl/>
              <w:spacing w:line="360" w:lineRule="auto"/>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ADDIN ZOTERO_ITEM CSL_CITATION {"citationID":"9imnwdze","properties":{"unsorted":false,"formattedCitation":"[10]","plainCitation":"[10]","noteIndex":0},"citationItems":[{"id":2023,"uris":["http://zotero.org/users/local/CJ0ha1Du/items/RXQ5RZFY"],"itemData":{"id":2023,"type":"article-journal","container-title":"Journal of Molecular Catalysis A: Chemical","DOI":"10.1016/j.molcata.2013.05.016","ISSN":"13811169","journalAbbreviation":"Journal of Molecular Catalysis A: Chemical","language":"en","license":"https://www.elsevier.com/tdm/userlicense/1.0/","page":"30-37","source":"DOI.org (Crossref)","title":"Co3O4 nanoparticles as an efficient catalase mimic: Properties, mechanism and its electrocatalytic sensing application for hydrogen peroxide","title-short":"Co3O4 nanoparticles as an efficient catalase mimic","volume":"378","author":[{"family":"Mu","given":"Jianshuai"},{"family":"Zhang","given":"Li"},{"family":"Zhao","given":"Min"},{"family":"Wang","given":"Yan"}],"issued":{"date-parts":[["2013",11]]}}}],"schema":"https://github.com/citation-style-language/schema/raw/master/csl-citation.json"} </w:instrText>
            </w:r>
            <w:r>
              <w:rPr>
                <w:rFonts w:ascii="Times New Roman" w:hAnsi="Times New Roman"/>
                <w:sz w:val="24"/>
              </w:rPr>
              <w:fldChar w:fldCharType="separate"/>
            </w:r>
            <w:r>
              <w:rPr>
                <w:rFonts w:ascii="Times New Roman" w:hAnsi="Times New Roman"/>
                <w:sz w:val="24"/>
              </w:rPr>
              <w:t>[10]</w:t>
            </w:r>
            <w:r>
              <w:rPr>
                <w:rFonts w:ascii="Times New Roman" w:hAnsi="Times New Roman"/>
                <w:sz w:val="24"/>
              </w:rPr>
              <w:fldChar w:fldCharType="end"/>
            </w:r>
          </w:p>
        </w:tc>
      </w:tr>
      <w:tr w14:paraId="183D15A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0" w:type="dxa"/>
          </w:tcPr>
          <w:p w14:paraId="16E5FE8B">
            <w:pPr>
              <w:widowControl/>
              <w:spacing w:line="360" w:lineRule="auto"/>
              <w:jc w:val="center"/>
              <w:rPr>
                <w:rFonts w:ascii="Times New Roman" w:hAnsi="Times New Roman"/>
                <w:sz w:val="24"/>
              </w:rPr>
            </w:pPr>
            <w:r>
              <w:rPr>
                <w:rFonts w:ascii="Times New Roman" w:hAnsi="Times New Roman"/>
                <w:sz w:val="24"/>
              </w:rPr>
              <w:t>PtsaN-C</w:t>
            </w:r>
          </w:p>
        </w:tc>
        <w:tc>
          <w:tcPr>
            <w:tcW w:w="2128" w:type="dxa"/>
            <w:gridSpan w:val="2"/>
          </w:tcPr>
          <w:p w14:paraId="1062DE4F">
            <w:pPr>
              <w:widowControl/>
              <w:spacing w:line="360" w:lineRule="auto"/>
              <w:jc w:val="center"/>
              <w:rPr>
                <w:rFonts w:ascii="Times New Roman" w:hAnsi="Times New Roman"/>
                <w:sz w:val="24"/>
              </w:rPr>
            </w:pPr>
            <w:r>
              <w:rPr>
                <w:rFonts w:hint="eastAsia" w:ascii="Times New Roman" w:hAnsi="Times New Roman"/>
                <w:sz w:val="24"/>
              </w:rPr>
              <w:t>19.33</w:t>
            </w:r>
          </w:p>
        </w:tc>
        <w:tc>
          <w:tcPr>
            <w:tcW w:w="2135" w:type="dxa"/>
            <w:gridSpan w:val="2"/>
          </w:tcPr>
          <w:p w14:paraId="3BF73EF0">
            <w:pPr>
              <w:widowControl/>
              <w:spacing w:line="360" w:lineRule="auto"/>
              <w:jc w:val="center"/>
              <w:rPr>
                <w:rFonts w:ascii="Times New Roman" w:hAnsi="Times New Roman"/>
                <w:sz w:val="24"/>
              </w:rPr>
            </w:pPr>
            <w:r>
              <w:rPr>
                <w:rFonts w:hint="eastAsia" w:ascii="Times New Roman" w:hAnsi="Times New Roman"/>
                <w:sz w:val="24"/>
              </w:rPr>
              <w:t>5.343</w:t>
            </w:r>
          </w:p>
        </w:tc>
        <w:tc>
          <w:tcPr>
            <w:tcW w:w="2129" w:type="dxa"/>
          </w:tcPr>
          <w:p w14:paraId="1736468C">
            <w:pPr>
              <w:widowControl/>
              <w:spacing w:line="360" w:lineRule="auto"/>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ADDIN ZOTERO_ITEM CSL_CITATION {"citationID":"X3SeflaU","properties":{"unsorted":false,"formattedCitation":"[8]","plainCitation":"[8]","noteIndex":0},"citationItems":[{"id":1987,"uris":["http://zotero.org/users/local/CJ0ha1Du/items/PWJXBLL7"],"itemData":{"id":1987,"type":"article-journal","abstract":"Abstract\n            Effective therapeutic strategies for myocardial ischemia/reperfusion (I/R) injury remain elusive. Targeting reactive oxygen species (ROS) provides a practical approach to mitigate myocardial damage following reperfusion. In this study, we synthesize an antioxidant nanozyme, equipped with a single-Platinum (Pt)-atom (PtsaN-C), for protecting against I/R injury. PtsaN-C exhibits multiple enzyme-mimicking activities for ROS scavenging with high efficiency and stability. Mechanistic studies demonstrate that the excellent ROS-elimination performance of the single Pt atom center precedes that of the Pt cluster center, owing to its better synergistic effect and metallic electronic property. Systematic in vitro and in vivo studies confirm that PtsaN-C efficiently counteracts ROS, restores cellular homeostasis and prevents apoptotic progression after I/R injury. PtsaN-C also demonstrates good biocompatibility, making it a promising candidate for clinical applications. Our study expands the scope of single-atom nanozyme in combating ROS-induced damage and offers a promising therapeutic avenue for the treatment of I/R injury.","container-title":"Nature Communications","DOI":"10.1038/s41467-024-459</w:instrText>
            </w:r>
            <w:r>
              <w:rPr>
                <w:rFonts w:hint="eastAsia" w:ascii="Times New Roman" w:hAnsi="Times New Roman"/>
                <w:sz w:val="24"/>
              </w:rPr>
              <w:instrText xml:space="preserve">27-3","ISSN":"2041-1723","issue":"1","journalAbbreviation":"Nat Commun","language":"en","note":"titleTranslation: pt-N-C单原子纳米酶对心肌缺血再灌注损伤的保护作用","page":"1682","source":"DOI.org (Crossref)","title":"Protective effects of pt-N-C single-atom nanozymes against </w:instrText>
            </w:r>
            <w:r>
              <w:rPr>
                <w:rFonts w:ascii="Times New Roman" w:hAnsi="Times New Roman"/>
                <w:sz w:val="24"/>
              </w:rPr>
              <w:instrText xml:space="preserve">myocardial ischemia-reperfusion injury","volume":"15","author":[{"family":"Ye","given":"Tianbao"},{"family":"Chen","given":"Cheng"},{"family":"Wang","given":"Di"},{"family":"Huang","given":"Chengjie"},{"family":"Yan","given":"Zhiwen"},{"family":"Chen","given":"Yu"},{"family":"Jin","given":"Xian"},{"family":"Wang","given":"Xiuyuan"},{"family":"Ding","given":"Xianting"},{"family":"Shen","given":"Chengxing"}],"issued":{"date-parts":[["2024",2,23]]}}}],"schema":"https://github.com/citation-style-language/schema/raw/master/csl-citation.json"} </w:instrText>
            </w:r>
            <w:r>
              <w:rPr>
                <w:rFonts w:ascii="Times New Roman" w:hAnsi="Times New Roman"/>
                <w:sz w:val="24"/>
              </w:rPr>
              <w:fldChar w:fldCharType="separate"/>
            </w:r>
            <w:r>
              <w:rPr>
                <w:rFonts w:ascii="Times New Roman" w:hAnsi="Times New Roman"/>
                <w:sz w:val="24"/>
              </w:rPr>
              <w:t>[8]</w:t>
            </w:r>
            <w:r>
              <w:rPr>
                <w:rFonts w:ascii="Times New Roman" w:hAnsi="Times New Roman"/>
                <w:sz w:val="24"/>
              </w:rPr>
              <w:fldChar w:fldCharType="end"/>
            </w:r>
          </w:p>
        </w:tc>
      </w:tr>
      <w:tr w14:paraId="1BA7F5D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0" w:type="dxa"/>
          </w:tcPr>
          <w:p w14:paraId="7A750C6C">
            <w:pPr>
              <w:widowControl/>
              <w:spacing w:line="360" w:lineRule="auto"/>
              <w:jc w:val="center"/>
              <w:rPr>
                <w:rFonts w:ascii="Times New Roman" w:hAnsi="Times New Roman"/>
                <w:sz w:val="24"/>
              </w:rPr>
            </w:pPr>
            <w:r>
              <w:rPr>
                <w:rFonts w:ascii="Times New Roman" w:hAnsi="Times New Roman"/>
                <w:sz w:val="24"/>
              </w:rPr>
              <w:t>Fe-SAs/NC</w:t>
            </w:r>
          </w:p>
        </w:tc>
        <w:tc>
          <w:tcPr>
            <w:tcW w:w="2128" w:type="dxa"/>
            <w:gridSpan w:val="2"/>
          </w:tcPr>
          <w:p w14:paraId="776A7A20">
            <w:pPr>
              <w:widowControl/>
              <w:spacing w:line="360" w:lineRule="auto"/>
              <w:jc w:val="center"/>
              <w:rPr>
                <w:rFonts w:ascii="Times New Roman" w:hAnsi="Times New Roman"/>
                <w:sz w:val="24"/>
              </w:rPr>
            </w:pPr>
            <w:r>
              <w:rPr>
                <w:rFonts w:hint="eastAsia" w:ascii="Times New Roman" w:hAnsi="Times New Roman"/>
                <w:sz w:val="24"/>
              </w:rPr>
              <w:t>9.65</w:t>
            </w:r>
          </w:p>
        </w:tc>
        <w:tc>
          <w:tcPr>
            <w:tcW w:w="2135" w:type="dxa"/>
            <w:gridSpan w:val="2"/>
          </w:tcPr>
          <w:p w14:paraId="4ADC173C">
            <w:pPr>
              <w:widowControl/>
              <w:spacing w:line="360" w:lineRule="auto"/>
              <w:jc w:val="center"/>
              <w:rPr>
                <w:rFonts w:ascii="Times New Roman" w:hAnsi="Times New Roman"/>
                <w:sz w:val="24"/>
              </w:rPr>
            </w:pPr>
            <w:r>
              <w:rPr>
                <w:rFonts w:hint="eastAsia" w:ascii="Times New Roman" w:hAnsi="Times New Roman"/>
                <w:sz w:val="24"/>
              </w:rPr>
              <w:t>12.96</w:t>
            </w:r>
          </w:p>
        </w:tc>
        <w:tc>
          <w:tcPr>
            <w:tcW w:w="2129" w:type="dxa"/>
          </w:tcPr>
          <w:p w14:paraId="78742B24">
            <w:pPr>
              <w:widowControl/>
              <w:spacing w:line="360" w:lineRule="auto"/>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ADDIN ZOTERO_ITEM CSL_CITATION {"citationID":"GkQmut4W","properties":{"unsorted":false,"formattedCitation":"[11]","plainCitation":"[11]","noteIndex":0},"citationItems":[{"id":2008,"uris":["http://zotero.org/users/local/CJ0ha1Du/items/RY9SMWRX"],"itemData":{"id":2008,"type":"article-journal","abstract":"Single-atom catalysts can serve as single-atom-based enzymes (SAzymes) with multi-antioxidative activities for reactive oxygen species scavenging.\n          , \n            \n              Atomically dispersed Fe–N\n              4\n              sites anchored on N-doped porous carbon materials (Fe-SAs/NC) can mimic two antioxidative enzymes of catalase (CAT) and superoxide dismutase (SOD), and therefore serves as a bifunctional single-atom-based enzyme (SAzyme) for scavenging reactive oxygen species (ROS) to remove excess ROS generated during oxidative stress in cells.","container-title":"Chemical Communications","DOI":"10.1039/C8CC08116F","ISSN":"1359-7345, 1364-548X","issue":"2","journalAbbreviation":"Chem. Commun.","language":"en","page":"159-162","source":"DOI.org (Crossref)","title":"A single-atom fe–N&lt;sub&gt;4&lt;/sub&gt; catalytic site mimicking bifunctional antioxidative enzymes for oxidative stress cytoprotection","volume":"55","author":[{"family":"Ma","given":"Wenjie"},{"family":"Mao","given":"Junjie"},{"family":"Yang","given":"Xiaoti"},{"family":"Pan","given":"Cong"},{"family":"Chen","given":"Wenxing"},{"family":"Wang","given":"Ming"},{"family":"Yu","given":"Ping"},{"family":"Mao","given":"Lanqun"},{"family":"Li","given":"Yadong"}],"issued":{"date-parts":[["2019"]]}}}],"schema":"https://github.com/citation-style-language/schema/raw/master/csl-citation.json"} </w:instrText>
            </w:r>
            <w:r>
              <w:rPr>
                <w:rFonts w:ascii="Times New Roman" w:hAnsi="Times New Roman"/>
                <w:sz w:val="24"/>
              </w:rPr>
              <w:fldChar w:fldCharType="separate"/>
            </w:r>
            <w:r>
              <w:rPr>
                <w:rFonts w:ascii="Times New Roman" w:hAnsi="Times New Roman"/>
                <w:sz w:val="24"/>
              </w:rPr>
              <w:t>[11]</w:t>
            </w:r>
            <w:r>
              <w:rPr>
                <w:rFonts w:ascii="Times New Roman" w:hAnsi="Times New Roman"/>
                <w:sz w:val="24"/>
              </w:rPr>
              <w:fldChar w:fldCharType="end"/>
            </w:r>
          </w:p>
        </w:tc>
      </w:tr>
      <w:tr w14:paraId="6D5EE3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0" w:type="dxa"/>
          </w:tcPr>
          <w:p w14:paraId="42459B48">
            <w:pPr>
              <w:widowControl/>
              <w:spacing w:line="360" w:lineRule="auto"/>
              <w:jc w:val="center"/>
              <w:rPr>
                <w:rFonts w:ascii="Times New Roman" w:hAnsi="Times New Roman"/>
                <w:sz w:val="24"/>
              </w:rPr>
            </w:pPr>
            <w:r>
              <w:rPr>
                <w:rFonts w:ascii="Times New Roman" w:hAnsi="Times New Roman"/>
                <w:sz w:val="24"/>
              </w:rPr>
              <w:t>Fe</w:t>
            </w:r>
            <w:r>
              <w:rPr>
                <w:rFonts w:ascii="Times New Roman" w:hAnsi="Times New Roman"/>
                <w:sz w:val="24"/>
                <w:vertAlign w:val="superscript"/>
              </w:rPr>
              <w:t>3+</w:t>
            </w:r>
            <w:r>
              <w:rPr>
                <w:rFonts w:ascii="Times New Roman" w:hAnsi="Times New Roman"/>
                <w:sz w:val="24"/>
              </w:rPr>
              <w:t xml:space="preserve">/AMP CPsd </w:t>
            </w:r>
          </w:p>
        </w:tc>
        <w:tc>
          <w:tcPr>
            <w:tcW w:w="2128" w:type="dxa"/>
            <w:gridSpan w:val="2"/>
          </w:tcPr>
          <w:p w14:paraId="0362E177">
            <w:pPr>
              <w:widowControl/>
              <w:spacing w:line="360" w:lineRule="auto"/>
              <w:jc w:val="center"/>
              <w:rPr>
                <w:rFonts w:ascii="Times New Roman" w:hAnsi="Times New Roman"/>
                <w:sz w:val="24"/>
              </w:rPr>
            </w:pPr>
            <w:r>
              <w:rPr>
                <w:rFonts w:hint="eastAsia" w:ascii="Times New Roman" w:hAnsi="Times New Roman"/>
                <w:sz w:val="24"/>
              </w:rPr>
              <w:t>122.2</w:t>
            </w:r>
          </w:p>
        </w:tc>
        <w:tc>
          <w:tcPr>
            <w:tcW w:w="2135" w:type="dxa"/>
            <w:gridSpan w:val="2"/>
          </w:tcPr>
          <w:p w14:paraId="03705093">
            <w:pPr>
              <w:widowControl/>
              <w:spacing w:line="360" w:lineRule="auto"/>
              <w:jc w:val="center"/>
              <w:rPr>
                <w:rFonts w:ascii="Times New Roman" w:hAnsi="Times New Roman"/>
                <w:sz w:val="24"/>
              </w:rPr>
            </w:pPr>
            <w:r>
              <w:rPr>
                <w:rFonts w:hint="eastAsia" w:ascii="Times New Roman" w:hAnsi="Times New Roman"/>
                <w:sz w:val="24"/>
              </w:rPr>
              <w:t>4.61</w:t>
            </w:r>
          </w:p>
        </w:tc>
        <w:tc>
          <w:tcPr>
            <w:tcW w:w="2129" w:type="dxa"/>
          </w:tcPr>
          <w:p w14:paraId="06CFCFAD">
            <w:pPr>
              <w:widowControl/>
              <w:spacing w:line="360" w:lineRule="auto"/>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ADDIN ZOTERO_ITEM CSL_CITATION {"citationID":"Yijgoa1Z","properties":{"unsorted":false,"formattedCitation":"[12]","plainCitation":"[12]","noteIndex":0},"citationItems":[{"id":2016,"uris":["http://zotero.org/users/local/CJ0ha1Du/items/UAIUEAEB"],"itemData":{"id":2016,"type":"article-journal","abstract":"Self-inactivation of oxidases due to by-product hydrogen peroxide (H2O2) is a main obstacle to applying these enzymes in chemical production. Herein, we report an eﬃcient cascade strategy of co-immobilizing a natural oxidase and catalase-mimicking coordination nanoparticles. Fe3+ and adenosine monophosphate (AMP) formed coordination nanoparticles with comparable performance as natural catalase at ambient conditions for degrading H2O2, but the former still maintained about 90% or 75% catalytic activity after pH 2.0 or 90 °C treatment, respectively. Upon polymerization with a few acrylic monomers, glycolic acid oxidase (GyAO) was co-immobilized with Fe3+/AMP within a nanogel. Beneﬁting from the conﬁnement and protection eﬀect of the nanogel, the catalytic activity increased by 5-fold at pH 4, and 10-fold at 80 °C, and the catalytic activity of the nanogel still retained more than 65% after recycling 20 times. More importantly, the tolerance of the nanogel to glycolic acid enhanced 100 times compared with the free GyAO enzyme. This study has expanded the application of nanozymes to industrial catalysis, where harsh conditions are expected.","container-title":"Chemical Engineering Journal","DOI":"10.1016/j.cej.2020.124249","ISSN":"13858947","journalAbbreviation":"Chemical Engineering Journal","language":"en","page":"124249","source":"DOI.org (Crossref)","title":"Solving the H2O2 by-product problem using a catalase-mimicking nanozyme cascade to enhance glycolic acid oxidase","volume":"388","author":[{"family":"Jiao","given":"Mengzhao"},{"family":"Li","given":"Zhengjun"},{"family":"Li","given":"Xianglai"},{"family":"Zhang","given":"Zijie"},{"family":"Yuan","given":"Qipeng"},{"family":"Vriesekoop","given":"Frank"},{"family":"Liang","given":"Hao"},{"family":"Liu","given":"Juewen"}],"issued":{"date-parts":[["2020",5]]}}}],"schema":"https://github.com/citation-style-language/schema/raw/master/csl-citation.json"} </w:instrText>
            </w:r>
            <w:r>
              <w:rPr>
                <w:rFonts w:ascii="Times New Roman" w:hAnsi="Times New Roman"/>
                <w:sz w:val="24"/>
              </w:rPr>
              <w:fldChar w:fldCharType="separate"/>
            </w:r>
            <w:r>
              <w:rPr>
                <w:rFonts w:ascii="Times New Roman" w:hAnsi="Times New Roman"/>
                <w:sz w:val="24"/>
              </w:rPr>
              <w:t>[12]</w:t>
            </w:r>
            <w:r>
              <w:rPr>
                <w:rFonts w:ascii="Times New Roman" w:hAnsi="Times New Roman"/>
                <w:sz w:val="24"/>
              </w:rPr>
              <w:fldChar w:fldCharType="end"/>
            </w:r>
          </w:p>
        </w:tc>
      </w:tr>
      <w:tr w14:paraId="3C26AFE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0" w:type="dxa"/>
          </w:tcPr>
          <w:p w14:paraId="4FEFA383">
            <w:pPr>
              <w:widowControl/>
              <w:spacing w:line="360" w:lineRule="auto"/>
              <w:jc w:val="center"/>
              <w:rPr>
                <w:rFonts w:ascii="Times New Roman" w:hAnsi="Times New Roman"/>
                <w:sz w:val="24"/>
              </w:rPr>
            </w:pPr>
            <w:r>
              <w:rPr>
                <w:rFonts w:hint="eastAsia" w:ascii="Times New Roman" w:hAnsi="Times New Roman"/>
                <w:sz w:val="24"/>
              </w:rPr>
              <w:t>Fe-SANzyme</w:t>
            </w:r>
          </w:p>
        </w:tc>
        <w:tc>
          <w:tcPr>
            <w:tcW w:w="2128" w:type="dxa"/>
            <w:gridSpan w:val="2"/>
          </w:tcPr>
          <w:p w14:paraId="3760C144">
            <w:pPr>
              <w:widowControl/>
              <w:spacing w:line="360" w:lineRule="auto"/>
              <w:jc w:val="center"/>
              <w:rPr>
                <w:rFonts w:ascii="Times New Roman" w:hAnsi="Times New Roman"/>
                <w:sz w:val="24"/>
              </w:rPr>
            </w:pPr>
            <w:r>
              <w:rPr>
                <w:rFonts w:hint="eastAsia" w:ascii="Times New Roman" w:hAnsi="Times New Roman"/>
                <w:sz w:val="24"/>
              </w:rPr>
              <w:t>18.8</w:t>
            </w:r>
          </w:p>
        </w:tc>
        <w:tc>
          <w:tcPr>
            <w:tcW w:w="2135" w:type="dxa"/>
            <w:gridSpan w:val="2"/>
          </w:tcPr>
          <w:p w14:paraId="15E31E07">
            <w:pPr>
              <w:widowControl/>
              <w:spacing w:line="360" w:lineRule="auto"/>
              <w:jc w:val="center"/>
              <w:rPr>
                <w:rFonts w:ascii="Times New Roman" w:hAnsi="Times New Roman"/>
                <w:sz w:val="24"/>
              </w:rPr>
            </w:pPr>
            <w:r>
              <w:rPr>
                <w:rFonts w:hint="eastAsia" w:ascii="Times New Roman" w:hAnsi="Times New Roman"/>
                <w:sz w:val="24"/>
              </w:rPr>
              <w:t>17.9</w:t>
            </w:r>
          </w:p>
        </w:tc>
        <w:tc>
          <w:tcPr>
            <w:tcW w:w="2129" w:type="dxa"/>
          </w:tcPr>
          <w:p w14:paraId="4503C198">
            <w:pPr>
              <w:widowControl/>
              <w:spacing w:line="360" w:lineRule="auto"/>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ADDIN ZOTERO_ITEM CSL_CITATION {"citationID":"wUYCpbgG","properties":{"unsorted":false,"formattedCitation":"[13]","plainCitation":"[13]","noteIndex":0},"citationItems":[{"id":2027,"uris":["http://zotero.org/users/local/CJ0ha1Du/items/FRXM43KC"],"itemData</w:instrText>
            </w:r>
            <w:r>
              <w:rPr>
                <w:rFonts w:hint="eastAsia" w:ascii="Times New Roman" w:hAnsi="Times New Roman"/>
                <w:sz w:val="24"/>
              </w:rPr>
              <w:instrText xml:space="preserve">":{"id":2027,"type":"article-journal","abstract":"Abstract\n            \n              Extensive efforts are devoted to refining metal sites for optimizing the catalytic performance of single‐atom nanozymes (SANzymes), while the contribution of the defect environment of neighboring metal sites lacks attention. Herein, an iron‐based SANzyme (Fe‐SANzyme) is rationally designed by edge‐site engineering, which intensively exposes edge‐hosted defective Fe–N\n              4\n              atomic sites anchored in hierarchical mesoporous structures. The Fe‐SANzyme exhibits excellent catalase‐like activity capable of efficiently catalyzing the decomposition of H\n              2\n              O\n              2\n              into O\n              2\n         </w:instrText>
            </w:r>
            <w:r>
              <w:rPr>
                <w:rFonts w:ascii="Times New Roman" w:hAnsi="Times New Roman"/>
                <w:sz w:val="24"/>
              </w:rPr>
              <w:instrText xml:space="preserve">     and H\n              2\n              O, with a catalytic kinetic\n              K\n              M\n              value superior to that of natural catalase and reported nanozymes. The mechanistic studies depict that the defects introduce notable charge transfer from the Fe atom to the carbon matrix, making the central Fe more activated to strengthen the interaction with H\n              2\n              O\n              2\n              and weaken the OO bond. By performing catalase</w:instrText>
            </w:r>
            <w:r>
              <w:rPr>
                <w:rFonts w:hint="eastAsia" w:ascii="Times New Roman" w:hAnsi="Times New Roman"/>
                <w:sz w:val="24"/>
              </w:rPr>
              <w:instrText xml:space="preserve">‐</w:instrText>
            </w:r>
            <w:r>
              <w:rPr>
                <w:rFonts w:ascii="Times New Roman" w:hAnsi="Times New Roman"/>
                <w:sz w:val="24"/>
              </w:rPr>
              <w:instrText xml:space="preserve">like catalysis</w:instrText>
            </w:r>
            <w:r>
              <w:rPr>
                <w:rFonts w:hint="eastAsia" w:ascii="Times New Roman" w:hAnsi="Times New Roman"/>
                <w:sz w:val="24"/>
              </w:rPr>
              <w:instrText xml:space="preserve">, the Fe‐SANzyme significantly scavenges reactive oxygen species (ROS) and alleviates oxidative stress, thus eliminating the pathological angiogenesis in animal models of retinal vasculopathies without affecting the repair of normal vessels. This work pro</w:instrText>
            </w:r>
            <w:r>
              <w:rPr>
                <w:rFonts w:ascii="Times New Roman" w:hAnsi="Times New Roman"/>
                <w:sz w:val="24"/>
              </w:rPr>
              <w:instrText xml:space="preserve">vides a new way to refine SANzymes by engineering the defect environment and geometric structure around metal sites, and demonstrates the potential therapeutic effects of the nanozyme on retinal vasculopathies.","container-title":"Advanced Materials","DOI</w:instrText>
            </w:r>
            <w:r>
              <w:rPr>
                <w:rFonts w:hint="eastAsia" w:ascii="Times New Roman" w:hAnsi="Times New Roman"/>
                <w:sz w:val="24"/>
              </w:rPr>
              <w:instrText xml:space="preserve">":"10.1002/adma.202205324","ISSN":"0935-9648, 1521-4095","issue":"39","journalAbbreviation":"Advanced Materials","language":"en","page":"2205324","source":"DOI.org (Crossref)","title":"Edge‐site engineering of defective fe–N&lt;sub&gt;4&lt;/sub&gt; nanozymes with boosted catalase‐like performance for retinal vasculopathies","volume":"34","author":[{"family":"Zhang","given":"Ruofei"},{"family":"Xue","given":"Bai"},{"family":"Tao","given":"Yanhong"},{"family":"Zhao","given":"Hanqing"},{"family":"Zhang","given":"Zixia"}</w:instrText>
            </w:r>
            <w:r>
              <w:rPr>
                <w:rFonts w:ascii="Times New Roman" w:hAnsi="Times New Roman"/>
                <w:sz w:val="24"/>
              </w:rPr>
              <w:instrText xml:space="preserve">,{"family":"Wang","given":"Xiaonan"},{"family":"Zhou","given":"Xinyao"},{"family":"Jiang","given":"Bing"},{"family":"Yang","given":"Zhenglin"},{"family":"Yan","given":"Xiyun"},{"family":"Fan","given":"Kelong"}],"issued":{"date-parts":[["2022",9]]}}}],"schema":"https://github.com/citation-style-language/schema/raw/master/csl-citation.json"} </w:instrText>
            </w:r>
            <w:r>
              <w:rPr>
                <w:rFonts w:ascii="Times New Roman" w:hAnsi="Times New Roman"/>
                <w:sz w:val="24"/>
              </w:rPr>
              <w:fldChar w:fldCharType="separate"/>
            </w:r>
            <w:r>
              <w:rPr>
                <w:rFonts w:ascii="Times New Roman" w:hAnsi="Times New Roman"/>
                <w:sz w:val="24"/>
              </w:rPr>
              <w:t>[13]</w:t>
            </w:r>
            <w:r>
              <w:rPr>
                <w:rFonts w:ascii="Times New Roman" w:hAnsi="Times New Roman"/>
                <w:sz w:val="24"/>
              </w:rPr>
              <w:fldChar w:fldCharType="end"/>
            </w:r>
          </w:p>
        </w:tc>
      </w:tr>
      <w:tr w14:paraId="0A7F879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0" w:type="dxa"/>
          </w:tcPr>
          <w:p w14:paraId="3336CF91">
            <w:pPr>
              <w:widowControl/>
              <w:spacing w:line="360" w:lineRule="auto"/>
              <w:jc w:val="center"/>
              <w:rPr>
                <w:rFonts w:ascii="Times New Roman" w:hAnsi="Times New Roman"/>
                <w:sz w:val="24"/>
              </w:rPr>
            </w:pPr>
            <w:r>
              <w:rPr>
                <w:rFonts w:hint="eastAsia" w:ascii="Times New Roman" w:hAnsi="Times New Roman"/>
                <w:sz w:val="24"/>
              </w:rPr>
              <w:t>FeN</w:t>
            </w:r>
            <w:r>
              <w:rPr>
                <w:rFonts w:hint="eastAsia" w:ascii="Times New Roman" w:hAnsi="Times New Roman"/>
                <w:sz w:val="24"/>
                <w:vertAlign w:val="subscript"/>
              </w:rPr>
              <w:t>4</w:t>
            </w:r>
            <w:r>
              <w:rPr>
                <w:rFonts w:hint="eastAsia" w:ascii="Times New Roman" w:hAnsi="Times New Roman"/>
                <w:sz w:val="24"/>
              </w:rPr>
              <w:t>C</w:t>
            </w:r>
          </w:p>
        </w:tc>
        <w:tc>
          <w:tcPr>
            <w:tcW w:w="2128" w:type="dxa"/>
            <w:gridSpan w:val="2"/>
          </w:tcPr>
          <w:p w14:paraId="58C5AC51">
            <w:pPr>
              <w:widowControl/>
              <w:spacing w:line="360" w:lineRule="auto"/>
              <w:jc w:val="center"/>
              <w:rPr>
                <w:rFonts w:ascii="Times New Roman" w:hAnsi="Times New Roman"/>
                <w:sz w:val="24"/>
              </w:rPr>
            </w:pPr>
            <w:r>
              <w:rPr>
                <w:rFonts w:hint="eastAsia" w:ascii="Times New Roman" w:hAnsi="Times New Roman"/>
                <w:sz w:val="24"/>
              </w:rPr>
              <w:t>55.57</w:t>
            </w:r>
          </w:p>
        </w:tc>
        <w:tc>
          <w:tcPr>
            <w:tcW w:w="2135" w:type="dxa"/>
            <w:gridSpan w:val="2"/>
          </w:tcPr>
          <w:p w14:paraId="32707392">
            <w:pPr>
              <w:widowControl/>
              <w:spacing w:line="360" w:lineRule="auto"/>
              <w:jc w:val="center"/>
              <w:rPr>
                <w:rFonts w:ascii="Times New Roman" w:hAnsi="Times New Roman"/>
                <w:sz w:val="24"/>
              </w:rPr>
            </w:pPr>
            <w:r>
              <w:rPr>
                <w:rFonts w:hint="eastAsia" w:ascii="Times New Roman" w:hAnsi="Times New Roman"/>
                <w:sz w:val="24"/>
              </w:rPr>
              <w:t>1.915</w:t>
            </w:r>
          </w:p>
        </w:tc>
        <w:tc>
          <w:tcPr>
            <w:tcW w:w="2129" w:type="dxa"/>
          </w:tcPr>
          <w:p w14:paraId="1F0E8135">
            <w:pPr>
              <w:widowControl/>
              <w:spacing w:line="360" w:lineRule="auto"/>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ADDIN ZOTERO_ITEM CSL_CITATION {"citationID":"IMtcSObD","properties":{"unsorted":false,"formattedCitation":"[13]","plainCitation":"[13]","noteIndex":0},"citationItems":[{"id":2027,"uris":["http://zotero.org/users/local/CJ0ha1Du/items/FRXM43KC"],"itemData</w:instrText>
            </w:r>
            <w:r>
              <w:rPr>
                <w:rFonts w:hint="eastAsia" w:ascii="Times New Roman" w:hAnsi="Times New Roman"/>
                <w:sz w:val="24"/>
              </w:rPr>
              <w:instrText xml:space="preserve">":{"id":2027,"type":"article-journal","abstract":"Abstract\n            \n              Extensive efforts are devoted to refining metal sites for optimizing the catalytic performance of single‐atom nanozymes (SANzymes), while the contribution of the defect environment of neighboring metal sites lacks attention. Herein, an iron‐based SANzyme (Fe‐SANzyme) is rationally designed by edge‐site engineering, which intensively exposes edge‐hosted defective Fe–N\n              4\n              atomic sites anchored in hierarchical mesoporous structures. The Fe‐SANzyme exhibits excellent catalase‐like activity capable of efficiently catalyzing the decomposition of H\n              2\n              O\n              2\n              into O\n              2\n         </w:instrText>
            </w:r>
            <w:r>
              <w:rPr>
                <w:rFonts w:ascii="Times New Roman" w:hAnsi="Times New Roman"/>
                <w:sz w:val="24"/>
              </w:rPr>
              <w:instrText xml:space="preserve">     and H\n              2\n              O, with a catalytic kinetic\n              K\n              M\n              value superior to that of natural catalase and reported nanozymes. The mechanistic studies depict that the defects introduce notable charge transfer from the Fe atom to the carbon matrix, making the central Fe more activated to strengthen the interaction with H\n              2\n              O\n              2\n              and weaken the OO bond. By performing catalase</w:instrText>
            </w:r>
            <w:r>
              <w:rPr>
                <w:rFonts w:hint="eastAsia" w:ascii="Times New Roman" w:hAnsi="Times New Roman"/>
                <w:sz w:val="24"/>
              </w:rPr>
              <w:instrText xml:space="preserve">‐</w:instrText>
            </w:r>
            <w:r>
              <w:rPr>
                <w:rFonts w:ascii="Times New Roman" w:hAnsi="Times New Roman"/>
                <w:sz w:val="24"/>
              </w:rPr>
              <w:instrText xml:space="preserve">like catalysis</w:instrText>
            </w:r>
            <w:r>
              <w:rPr>
                <w:rFonts w:hint="eastAsia" w:ascii="Times New Roman" w:hAnsi="Times New Roman"/>
                <w:sz w:val="24"/>
              </w:rPr>
              <w:instrText xml:space="preserve">, the Fe‐SANzyme significantly scavenges reactive oxygen species (ROS) and alleviates oxidative stress, thus eliminating the pathological angiogenesis in animal models of retinal vasculopathies without affecting the repair of normal vessels. This work pro</w:instrText>
            </w:r>
            <w:r>
              <w:rPr>
                <w:rFonts w:ascii="Times New Roman" w:hAnsi="Times New Roman"/>
                <w:sz w:val="24"/>
              </w:rPr>
              <w:instrText xml:space="preserve">vides a new way to refine SANzymes by engineering the defect environment and geometric structure around metal sites, and demonstrates the potential therapeutic effects of the nanozyme on retinal vasculopathies.","container-title":"Advanced Materials","DOI</w:instrText>
            </w:r>
            <w:r>
              <w:rPr>
                <w:rFonts w:hint="eastAsia" w:ascii="Times New Roman" w:hAnsi="Times New Roman"/>
                <w:sz w:val="24"/>
              </w:rPr>
              <w:instrText xml:space="preserve">":"10.1002/adma.202205324","ISSN":"0935-9648, 1521-4095","issue":"39","journalAbbreviation":"Advanced Materials","language":"en","page":"2205324","source":"DOI.org (Crossref)","title":"Edge‐site engineering of defective fe–N&lt;sub&gt;4&lt;/sub&gt; nanozymes with boosted catalase‐like performance for retinal vasculopathies","volume":"34","author":[{"family":"Zhang","given":"Ruofei"},{"family":"Xue","given":"Bai"},{"family":"Tao","given":"Yanhong"},{"family":"Zhao","given":"Hanqing"},{"family":"Zhang","given":"Zixia"}</w:instrText>
            </w:r>
            <w:r>
              <w:rPr>
                <w:rFonts w:ascii="Times New Roman" w:hAnsi="Times New Roman"/>
                <w:sz w:val="24"/>
              </w:rPr>
              <w:instrText xml:space="preserve">,{"family":"Wang","given":"Xiaonan"},{"family":"Zhou","given":"Xinyao"},{"family":"Jiang","given":"Bing"},{"family":"Yang","given":"Zhenglin"},{"family":"Yan","given":"Xiyun"},{"family":"Fan","given":"Kelong"}],"issued":{"date-parts":[["2022",9]]}}}],"schema":"https://github.com/citation-style-language/schema/raw/master/csl-citation.json"} </w:instrText>
            </w:r>
            <w:r>
              <w:rPr>
                <w:rFonts w:ascii="Times New Roman" w:hAnsi="Times New Roman"/>
                <w:sz w:val="24"/>
              </w:rPr>
              <w:fldChar w:fldCharType="separate"/>
            </w:r>
            <w:r>
              <w:rPr>
                <w:rFonts w:ascii="Times New Roman" w:hAnsi="Times New Roman"/>
                <w:sz w:val="24"/>
              </w:rPr>
              <w:t>[13]</w:t>
            </w:r>
            <w:r>
              <w:rPr>
                <w:rFonts w:ascii="Times New Roman" w:hAnsi="Times New Roman"/>
                <w:sz w:val="24"/>
              </w:rPr>
              <w:fldChar w:fldCharType="end"/>
            </w:r>
          </w:p>
        </w:tc>
      </w:tr>
      <w:tr w14:paraId="6FEEC5D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0" w:type="dxa"/>
          </w:tcPr>
          <w:p w14:paraId="5980EA84">
            <w:pPr>
              <w:widowControl/>
              <w:spacing w:line="360" w:lineRule="auto"/>
              <w:jc w:val="center"/>
              <w:rPr>
                <w:rFonts w:ascii="Times New Roman" w:hAnsi="Times New Roman"/>
                <w:sz w:val="24"/>
              </w:rPr>
            </w:pPr>
            <w:r>
              <w:rPr>
                <w:rFonts w:hint="eastAsia" w:ascii="Times New Roman" w:hAnsi="Times New Roman"/>
                <w:sz w:val="24"/>
              </w:rPr>
              <w:t>Co</w:t>
            </w:r>
            <w:r>
              <w:rPr>
                <w:rFonts w:hint="eastAsia" w:ascii="Times New Roman" w:hAnsi="Times New Roman"/>
                <w:sz w:val="24"/>
                <w:vertAlign w:val="subscript"/>
              </w:rPr>
              <w:t>3</w:t>
            </w:r>
            <w:r>
              <w:rPr>
                <w:rFonts w:hint="eastAsia" w:ascii="Times New Roman" w:hAnsi="Times New Roman"/>
                <w:sz w:val="24"/>
              </w:rPr>
              <w:t>O</w:t>
            </w:r>
            <w:r>
              <w:rPr>
                <w:rFonts w:hint="eastAsia" w:ascii="Times New Roman" w:hAnsi="Times New Roman"/>
                <w:sz w:val="24"/>
                <w:vertAlign w:val="subscript"/>
              </w:rPr>
              <w:t>4</w:t>
            </w:r>
            <w:r>
              <w:rPr>
                <w:rFonts w:hint="eastAsia" w:ascii="Times New Roman" w:hAnsi="Times New Roman"/>
                <w:sz w:val="24"/>
              </w:rPr>
              <w:t xml:space="preserve"> NPs</w:t>
            </w:r>
          </w:p>
        </w:tc>
        <w:tc>
          <w:tcPr>
            <w:tcW w:w="2128" w:type="dxa"/>
            <w:gridSpan w:val="2"/>
          </w:tcPr>
          <w:p w14:paraId="41B1BB2C">
            <w:pPr>
              <w:widowControl/>
              <w:spacing w:line="360" w:lineRule="auto"/>
              <w:jc w:val="center"/>
              <w:rPr>
                <w:rFonts w:ascii="Times New Roman" w:hAnsi="Times New Roman"/>
                <w:sz w:val="24"/>
              </w:rPr>
            </w:pPr>
            <w:r>
              <w:rPr>
                <w:rFonts w:hint="eastAsia" w:ascii="Times New Roman" w:hAnsi="Times New Roman"/>
                <w:sz w:val="24"/>
              </w:rPr>
              <w:t>34.3</w:t>
            </w:r>
          </w:p>
        </w:tc>
        <w:tc>
          <w:tcPr>
            <w:tcW w:w="2135" w:type="dxa"/>
            <w:gridSpan w:val="2"/>
          </w:tcPr>
          <w:p w14:paraId="5A664C11">
            <w:pPr>
              <w:widowControl/>
              <w:spacing w:line="360" w:lineRule="auto"/>
              <w:jc w:val="center"/>
              <w:rPr>
                <w:rFonts w:ascii="Times New Roman" w:hAnsi="Times New Roman"/>
                <w:sz w:val="24"/>
              </w:rPr>
            </w:pPr>
            <w:r>
              <w:rPr>
                <w:rFonts w:hint="eastAsia" w:ascii="Times New Roman" w:hAnsi="Times New Roman"/>
                <w:sz w:val="24"/>
              </w:rPr>
              <w:t>21.5</w:t>
            </w:r>
          </w:p>
        </w:tc>
        <w:tc>
          <w:tcPr>
            <w:tcW w:w="2129" w:type="dxa"/>
          </w:tcPr>
          <w:p w14:paraId="21811426">
            <w:pPr>
              <w:widowControl/>
              <w:spacing w:line="360" w:lineRule="auto"/>
              <w:jc w:val="center"/>
              <w:rPr>
                <w:rFonts w:ascii="Times New Roman" w:hAnsi="Times New Roman"/>
                <w:b/>
                <w:bCs/>
                <w:sz w:val="24"/>
              </w:rPr>
            </w:pPr>
            <w:r>
              <w:rPr>
                <w:rFonts w:ascii="Times New Roman" w:hAnsi="Times New Roman"/>
                <w:b/>
                <w:bCs/>
                <w:sz w:val="24"/>
              </w:rPr>
              <w:fldChar w:fldCharType="begin"/>
            </w:r>
            <w:r>
              <w:rPr>
                <w:rFonts w:ascii="Times New Roman" w:hAnsi="Times New Roman"/>
                <w:b/>
                <w:bCs/>
                <w:sz w:val="24"/>
              </w:rPr>
              <w:instrText xml:space="preserve"> ADDIN ZOTERO_ITEM CSL_CITATION {"citationID":"cNXtKMXl","properties":{"unsorted":false,"formattedCitation":"[10]","plainCitation":"[10]","noteIndex":0},"citationItems":[{"id":2023,"uris":["http://zotero.org/users/local/CJ0ha1Du/items/RXQ5RZFY"],"itemData":{"id":2023,"type":"article-journal","container-title":"Journal of Molecular Catalysis A: Chemical","DOI":"10.1016/j.molcata.2013.05.016","ISSN":"13811169","journalAbbreviation":"Journal of Molecular Catalysis A: Chemical","language":"en","license":"https://www.elsevier.com/tdm/userlicense/1.0/","page":"30-37","source":"DOI.org (Crossref)","title":"Co3O4 nanoparticles as an efficient catalase mimic: Properties, mechanism and its electrocatalytic sensing application for hydrogen peroxide","title-short":"Co3O4 nanoparticles as an efficient catalase mimic","volume":"378","author":[{"family":"Mu","given":"Jianshuai"},{"family":"Zhang","given":"Li"},{"family":"Zhao","given":"Min"},{"family":"Wang","given":"Yan"}],"issued":{"date-parts":[["2013",11]]}}}],"schema":"https://github.com/citation-style-language/schema/raw/master/csl-citation.json"} </w:instrText>
            </w:r>
            <w:r>
              <w:rPr>
                <w:rFonts w:ascii="Times New Roman" w:hAnsi="Times New Roman"/>
                <w:b/>
                <w:bCs/>
                <w:sz w:val="24"/>
              </w:rPr>
              <w:fldChar w:fldCharType="separate"/>
            </w:r>
            <w:r>
              <w:rPr>
                <w:rFonts w:ascii="Times New Roman" w:hAnsi="Times New Roman"/>
                <w:sz w:val="24"/>
              </w:rPr>
              <w:t>[10]</w:t>
            </w:r>
            <w:r>
              <w:rPr>
                <w:rFonts w:ascii="Times New Roman" w:hAnsi="Times New Roman"/>
                <w:b/>
                <w:bCs/>
                <w:sz w:val="24"/>
              </w:rPr>
              <w:fldChar w:fldCharType="end"/>
            </w:r>
          </w:p>
        </w:tc>
      </w:tr>
      <w:tr w14:paraId="3116AE2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0" w:type="dxa"/>
          </w:tcPr>
          <w:p w14:paraId="4F0996D8">
            <w:pPr>
              <w:widowControl/>
              <w:spacing w:line="360" w:lineRule="auto"/>
              <w:jc w:val="center"/>
              <w:rPr>
                <w:rFonts w:ascii="Times New Roman" w:hAnsi="Times New Roman"/>
                <w:sz w:val="24"/>
              </w:rPr>
            </w:pPr>
            <w:r>
              <w:rPr>
                <w:rFonts w:ascii="Times New Roman" w:hAnsi="Times New Roman"/>
                <w:sz w:val="24"/>
              </w:rPr>
              <w:t xml:space="preserve">Co-SAs@NC </w:t>
            </w:r>
          </w:p>
        </w:tc>
        <w:tc>
          <w:tcPr>
            <w:tcW w:w="2128" w:type="dxa"/>
            <w:gridSpan w:val="2"/>
          </w:tcPr>
          <w:p w14:paraId="3DECCC1D">
            <w:pPr>
              <w:widowControl/>
              <w:spacing w:line="360" w:lineRule="auto"/>
              <w:jc w:val="center"/>
              <w:rPr>
                <w:rFonts w:ascii="Times New Roman" w:hAnsi="Times New Roman"/>
                <w:sz w:val="24"/>
              </w:rPr>
            </w:pPr>
            <w:r>
              <w:rPr>
                <w:rFonts w:hint="eastAsia" w:ascii="Times New Roman" w:hAnsi="Times New Roman"/>
                <w:sz w:val="24"/>
              </w:rPr>
              <w:t>40.5</w:t>
            </w:r>
          </w:p>
        </w:tc>
        <w:tc>
          <w:tcPr>
            <w:tcW w:w="2135" w:type="dxa"/>
            <w:gridSpan w:val="2"/>
          </w:tcPr>
          <w:p w14:paraId="405F40BD">
            <w:pPr>
              <w:widowControl/>
              <w:spacing w:line="360" w:lineRule="auto"/>
              <w:jc w:val="center"/>
              <w:rPr>
                <w:rFonts w:ascii="Times New Roman" w:hAnsi="Times New Roman"/>
                <w:sz w:val="24"/>
              </w:rPr>
            </w:pPr>
            <w:r>
              <w:rPr>
                <w:rFonts w:ascii="Times New Roman" w:hAnsi="Times New Roman"/>
                <w:sz w:val="24"/>
              </w:rPr>
              <w:t>156.7</w:t>
            </w:r>
          </w:p>
        </w:tc>
        <w:tc>
          <w:tcPr>
            <w:tcW w:w="2129" w:type="dxa"/>
          </w:tcPr>
          <w:p w14:paraId="21436216">
            <w:pPr>
              <w:widowControl/>
              <w:spacing w:line="360" w:lineRule="auto"/>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ADDIN ZOTERO_ITEM CSL_CITATION {"citationID":"wjtwoaKc","properties":{"unsorted":false,"formattedCitation":"[14]","plainCitation":"[14]","noteIndex":0},"citationItems":[{"id":33,"uris":["http://zotero.org/users/local/CJ0ha1Du/items/RAIZSNF5"],"itemData":{"id":33,"type":"article-journal","abstract":"Nanocatalytic therapy, involving the nanozyme-triggered production of reactive oxygen species (ROS) in the tumor microenvironment (TME), has demonstrated potential in tumor therapy, but nanozymes still face challenges of activity and specificity that compromise the therapeutic efficacy. Herein, we report a strategy based on a single-atom nanozyme to initiate cascade enzymatic reactions in the TME for tumorspecific treatment. The cobalt-single-atom nanozyme, with CoÀ N coordination on N-doped porous carbon (Co-SAs@NC), displays catalase-like activity that decomposes cellular endogenous H2O2 to produce O2, and subsequent oxidase-like activity that converts O2 into cytotoxic superoxide radicals to efficiently kill tumor cells. By incorporation with doxorubicin, the therapy achieves a significantly enhanced antitumor effect in vivo. Our findings show that cascade TME-specific catalytic therapy combined with chemotherapy is a promising strategy for efficient tumor </w:instrText>
            </w:r>
            <w:r>
              <w:rPr>
                <w:rFonts w:hint="eastAsia" w:ascii="Times New Roman" w:hAnsi="Times New Roman"/>
                <w:sz w:val="24"/>
              </w:rPr>
              <w:instrText xml:space="preserve">therapy.","container-title":"Angewandte Chemie International Edition","DOI":"10.1002/anie.202204502","ISSN":"1433-7851, 1521-3773","issue":"48","journalAbbreviation":"Angew Chem Int Ed","language":"en","note":"titleTranslation: 钴单原子纳米酶的肿瘤微环境响应级联反应用于协同纳米催化化疗\nTLDR: An innovative strategy using a single-atom nanozyme to initiate cascade enzymatic reactions in TME for tumor-specific treatment and achieves a significantly enhanced antitumor effect in vivo is developed.","page":"e202204502","source":"DOI.org (Crossref)","title":"Tumor‐Microenvironment‐Responsive Cascade Reactions by a Cobalt‐Single‐Atom Nanozyme for Synergistic Nanocatalytic Chemotherapy","volume":"61","author":[{"family":"Cai","given":"Shuangfei"},{"family":"Liu","given":"Jiaming"},{"family":</w:instrText>
            </w:r>
            <w:r>
              <w:rPr>
                <w:rFonts w:ascii="Times New Roman" w:hAnsi="Times New Roman"/>
                <w:sz w:val="24"/>
              </w:rPr>
              <w:instrText xml:space="preserve">"Ding","given":"Jianwei"},{"family":"Fu","given":"Zhao"},{"family":"Li","given":"Haolin"},{"family":"Xiong","given":"Youlin"},{"family":"Lian","given":"Zheng"},{"family":"Yang","given":"Rong"},{"family":"Chen","given":"Chunying"}],"issued":{"date-parts":[["2022",11,25]]}}}],"schema":"https://github.com/citation-style-language/schema/raw/master/csl-citation.json"} </w:instrText>
            </w:r>
            <w:r>
              <w:rPr>
                <w:rFonts w:ascii="Times New Roman" w:hAnsi="Times New Roman"/>
                <w:sz w:val="24"/>
              </w:rPr>
              <w:fldChar w:fldCharType="separate"/>
            </w:r>
            <w:r>
              <w:rPr>
                <w:rFonts w:ascii="Times New Roman" w:hAnsi="Times New Roman"/>
                <w:sz w:val="24"/>
              </w:rPr>
              <w:t>[14]</w:t>
            </w:r>
            <w:r>
              <w:rPr>
                <w:rFonts w:ascii="Times New Roman" w:hAnsi="Times New Roman"/>
                <w:sz w:val="24"/>
              </w:rPr>
              <w:fldChar w:fldCharType="end"/>
            </w:r>
          </w:p>
        </w:tc>
      </w:tr>
      <w:tr w14:paraId="5C0D70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0" w:type="dxa"/>
          </w:tcPr>
          <w:p w14:paraId="36282F8E">
            <w:pPr>
              <w:widowControl/>
              <w:spacing w:line="360" w:lineRule="auto"/>
              <w:jc w:val="center"/>
              <w:rPr>
                <w:rFonts w:ascii="Times New Roman" w:hAnsi="Times New Roman"/>
                <w:sz w:val="24"/>
              </w:rPr>
            </w:pPr>
            <w:r>
              <w:rPr>
                <w:rFonts w:hint="eastAsia" w:ascii="Times New Roman" w:hAnsi="Times New Roman"/>
                <w:sz w:val="24"/>
              </w:rPr>
              <w:t>CM@Mn</w:t>
            </w:r>
          </w:p>
        </w:tc>
        <w:tc>
          <w:tcPr>
            <w:tcW w:w="2128" w:type="dxa"/>
            <w:gridSpan w:val="2"/>
          </w:tcPr>
          <w:p w14:paraId="3EB536D3">
            <w:pPr>
              <w:widowControl/>
              <w:spacing w:line="360" w:lineRule="auto"/>
              <w:jc w:val="center"/>
              <w:rPr>
                <w:rFonts w:ascii="Times New Roman" w:hAnsi="Times New Roman"/>
                <w:sz w:val="24"/>
              </w:rPr>
            </w:pPr>
            <w:r>
              <w:rPr>
                <w:rFonts w:hint="eastAsia" w:ascii="Times New Roman" w:hAnsi="Times New Roman"/>
                <w:sz w:val="24"/>
              </w:rPr>
              <w:t>21.44</w:t>
            </w:r>
          </w:p>
        </w:tc>
        <w:tc>
          <w:tcPr>
            <w:tcW w:w="2135" w:type="dxa"/>
            <w:gridSpan w:val="2"/>
          </w:tcPr>
          <w:p w14:paraId="49050721">
            <w:pPr>
              <w:widowControl/>
              <w:spacing w:line="360" w:lineRule="auto"/>
              <w:jc w:val="center"/>
              <w:rPr>
                <w:rFonts w:ascii="Times New Roman" w:hAnsi="Times New Roman"/>
                <w:sz w:val="24"/>
              </w:rPr>
            </w:pPr>
            <w:r>
              <w:rPr>
                <w:rFonts w:hint="eastAsia" w:ascii="Times New Roman" w:hAnsi="Times New Roman"/>
                <w:sz w:val="24"/>
              </w:rPr>
              <w:t>2.41</w:t>
            </w:r>
          </w:p>
        </w:tc>
        <w:tc>
          <w:tcPr>
            <w:tcW w:w="2129" w:type="dxa"/>
          </w:tcPr>
          <w:p w14:paraId="60EF6BF5">
            <w:pPr>
              <w:widowControl/>
              <w:spacing w:line="360" w:lineRule="auto"/>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ADDIN ZOTERO_ITEM CSL_CITATION {"citationID":"vrWK331E","properties":{"unsorted":false,"formattedCitation":"[15]","plainCitation":"[15]","noteIndex":0},"citationItems":[{"id":573,"uris":["http://zotero.org/users/local/CJ0ha1Du/items/PR84VTFY"],"itemData":{"id":573,"type":"article-journal","call-number":"1","container-title":"ACS Nano","DOI":"10.1021/acsnano.2c06646","ISSN":"1936-0851, 1936-086X","issue":"12","journalAbbreviation":"ACS Nano","language":"en","license":"https://doi.org/10.15223/policy-029",</w:instrText>
            </w:r>
            <w:r>
              <w:rPr>
                <w:rFonts w:hint="eastAsia" w:ascii="Times New Roman" w:hAnsi="Times New Roman"/>
                <w:sz w:val="24"/>
              </w:rPr>
              <w:instrText xml:space="preserve">"note":"titleTranslation: 肿瘤微环境激活锰增强催化免疫治疗联合Pd - 1检查点阻断\nTLDR: A TME-activable manganese-boosted catalytic immunotherapy is designed for synergism with ICB therapy to kill tumors efficiently and may serve as a promising candidate for tumor-integrated trea</w:instrText>
            </w:r>
            <w:r>
              <w:rPr>
                <w:rFonts w:ascii="Times New Roman" w:hAnsi="Times New Roman"/>
                <w:sz w:val="24"/>
              </w:rPr>
              <w:instrText xml:space="preserve">tment.","page":"20400-20418","source":"17.1","title":"Tumor Microenvironment-Activable Manganese-Boosted Catalytic Immunotherapy Combined with PD-1 Checkpoint Blockade","volume":"16","author":[{"family":"Zhao","given":"Zhiyu"},{"family":"Dong","given":"Shuming"},{"family":"Liu","given":"Yue"},{"family":"Wang","given":"Jianxin"},{"family":"Ba","given":"Li"},{"family":"Zhang","given":"Cong"},{"family":"Cao","given":"Xinyu"},{"family":"Wu","given":"Changjun"},{"family":"Yang","given":"Piaoping"}],"issued":{"date-parts":[["2022",12,27]]}}}],"schema":"https://github.com/citation-style-language/schema/raw/master/csl-citation.json"} </w:instrText>
            </w:r>
            <w:r>
              <w:rPr>
                <w:rFonts w:ascii="Times New Roman" w:hAnsi="Times New Roman"/>
                <w:sz w:val="24"/>
              </w:rPr>
              <w:fldChar w:fldCharType="separate"/>
            </w:r>
            <w:r>
              <w:rPr>
                <w:rFonts w:ascii="Times New Roman" w:hAnsi="Times New Roman"/>
                <w:sz w:val="24"/>
              </w:rPr>
              <w:t>[15]</w:t>
            </w:r>
            <w:r>
              <w:rPr>
                <w:rFonts w:ascii="Times New Roman" w:hAnsi="Times New Roman"/>
                <w:sz w:val="24"/>
              </w:rPr>
              <w:fldChar w:fldCharType="end"/>
            </w:r>
          </w:p>
        </w:tc>
      </w:tr>
    </w:tbl>
    <w:p w14:paraId="3444E96E">
      <w:pPr>
        <w:widowControl/>
        <w:spacing w:line="360" w:lineRule="auto"/>
        <w:rPr>
          <w:rFonts w:hint="eastAsia" w:ascii="Times New Roman" w:hAnsi="Times New Roman"/>
          <w:sz w:val="24"/>
        </w:rPr>
      </w:pPr>
    </w:p>
    <w:bookmarkEnd w:id="10"/>
    <w:p w14:paraId="362CCAFF">
      <w:pPr>
        <w:widowControl/>
        <w:rPr>
          <w:rFonts w:ascii="Times New Roman" w:hAnsi="Times New Roman"/>
          <w:sz w:val="24"/>
        </w:rPr>
      </w:pPr>
      <w:r>
        <w:rPr>
          <w:rFonts w:ascii="Times New Roman" w:hAnsi="Times New Roman"/>
          <w:b/>
          <w:bCs/>
          <w:sz w:val="24"/>
        </w:rPr>
        <w:t>Table S</w:t>
      </w:r>
      <w:r>
        <w:rPr>
          <w:rFonts w:hint="eastAsia" w:ascii="Times New Roman" w:hAnsi="Times New Roman"/>
          <w:b/>
          <w:bCs/>
          <w:sz w:val="24"/>
        </w:rPr>
        <w:t>5</w:t>
      </w:r>
      <w:r>
        <w:rPr>
          <w:rFonts w:ascii="Times New Roman" w:hAnsi="Times New Roman"/>
          <w:b/>
          <w:bCs/>
          <w:sz w:val="24"/>
        </w:rPr>
        <w:t xml:space="preserve">. </w:t>
      </w:r>
      <w:r>
        <w:rPr>
          <w:rFonts w:ascii="Times New Roman" w:hAnsi="Times New Roman"/>
          <w:sz w:val="24"/>
        </w:rPr>
        <w:t>The O–O bond length in H</w:t>
      </w:r>
      <w:r>
        <w:rPr>
          <w:rFonts w:hint="eastAsia" w:ascii="Times New Roman" w:hAnsi="Times New Roman"/>
          <w:sz w:val="24"/>
          <w:vertAlign w:val="subscript"/>
        </w:rPr>
        <w:t>2</w:t>
      </w:r>
      <w:r>
        <w:rPr>
          <w:rFonts w:ascii="Times New Roman" w:hAnsi="Times New Roman"/>
          <w:sz w:val="24"/>
        </w:rPr>
        <w:t>O</w:t>
      </w:r>
      <w:r>
        <w:rPr>
          <w:rFonts w:hint="eastAsia" w:ascii="Times New Roman" w:hAnsi="Times New Roman"/>
          <w:sz w:val="24"/>
          <w:vertAlign w:val="subscript"/>
        </w:rPr>
        <w:t>2</w:t>
      </w:r>
      <w:r>
        <w:rPr>
          <w:rFonts w:ascii="Times New Roman" w:hAnsi="Times New Roman"/>
          <w:sz w:val="24"/>
        </w:rPr>
        <w:t xml:space="preserve"> before and after adsorption onto Fe-SAzyme.</w:t>
      </w:r>
    </w:p>
    <w:tbl>
      <w:tblPr>
        <w:tblStyle w:val="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30"/>
        <w:gridCol w:w="2130"/>
        <w:gridCol w:w="2131"/>
        <w:gridCol w:w="2131"/>
      </w:tblGrid>
      <w:tr w14:paraId="1F97F33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0" w:type="dxa"/>
            <w:tcBorders>
              <w:bottom w:val="single" w:color="auto" w:sz="4" w:space="0"/>
            </w:tcBorders>
            <w:vAlign w:val="center"/>
          </w:tcPr>
          <w:p w14:paraId="0D0D5168">
            <w:pPr>
              <w:widowControl/>
              <w:spacing w:line="360" w:lineRule="auto"/>
              <w:jc w:val="center"/>
              <w:rPr>
                <w:rFonts w:ascii="Times New Roman" w:hAnsi="Times New Roman"/>
                <w:b/>
                <w:bCs/>
                <w:sz w:val="24"/>
              </w:rPr>
            </w:pPr>
          </w:p>
        </w:tc>
        <w:tc>
          <w:tcPr>
            <w:tcW w:w="2130" w:type="dxa"/>
            <w:tcBorders>
              <w:bottom w:val="single" w:color="auto" w:sz="4" w:space="0"/>
            </w:tcBorders>
            <w:vAlign w:val="center"/>
          </w:tcPr>
          <w:p w14:paraId="52F8BF3F">
            <w:pPr>
              <w:widowControl/>
              <w:spacing w:line="360" w:lineRule="auto"/>
              <w:jc w:val="center"/>
              <w:rPr>
                <w:rFonts w:hint="eastAsia" w:ascii="Times New Roman" w:hAnsi="Times New Roman"/>
                <w:b/>
                <w:bCs/>
                <w:sz w:val="24"/>
              </w:rPr>
            </w:pPr>
            <w:r>
              <w:rPr>
                <w:rFonts w:hint="eastAsia" w:ascii="Times New Roman" w:hAnsi="Times New Roman"/>
                <w:b/>
                <w:bCs/>
                <w:sz w:val="24"/>
              </w:rPr>
              <w:t>Before adsorption (dO-O)</w:t>
            </w:r>
          </w:p>
        </w:tc>
        <w:tc>
          <w:tcPr>
            <w:tcW w:w="2131" w:type="dxa"/>
            <w:tcBorders>
              <w:bottom w:val="single" w:color="auto" w:sz="4" w:space="0"/>
            </w:tcBorders>
            <w:vAlign w:val="center"/>
          </w:tcPr>
          <w:p w14:paraId="2BCDC421">
            <w:pPr>
              <w:widowControl/>
              <w:spacing w:line="360" w:lineRule="auto"/>
              <w:jc w:val="center"/>
              <w:rPr>
                <w:rFonts w:ascii="Times New Roman" w:hAnsi="Times New Roman"/>
                <w:b/>
                <w:bCs/>
                <w:sz w:val="24"/>
              </w:rPr>
            </w:pPr>
            <w:r>
              <w:rPr>
                <w:rFonts w:hint="eastAsia" w:ascii="Times New Roman" w:hAnsi="Times New Roman"/>
                <w:b/>
                <w:bCs/>
                <w:sz w:val="24"/>
              </w:rPr>
              <w:t>After adsorption (dO-O)</w:t>
            </w:r>
          </w:p>
        </w:tc>
        <w:tc>
          <w:tcPr>
            <w:tcW w:w="2131" w:type="dxa"/>
            <w:tcBorders>
              <w:bottom w:val="single" w:color="auto" w:sz="4" w:space="0"/>
            </w:tcBorders>
            <w:vAlign w:val="center"/>
          </w:tcPr>
          <w:p w14:paraId="0FEA0394">
            <w:pPr>
              <w:widowControl/>
              <w:spacing w:line="360" w:lineRule="auto"/>
              <w:jc w:val="center"/>
              <w:rPr>
                <w:rFonts w:hint="eastAsia" w:ascii="Times New Roman" w:hAnsi="Times New Roman"/>
                <w:b/>
                <w:bCs/>
                <w:sz w:val="24"/>
              </w:rPr>
            </w:pPr>
            <w:r>
              <w:rPr>
                <w:rFonts w:hint="eastAsia" w:ascii="Times New Roman" w:hAnsi="Times New Roman"/>
                <w:b/>
                <w:bCs/>
                <w:sz w:val="24"/>
              </w:rPr>
              <w:t>Δ</w:t>
            </w:r>
            <w:r>
              <w:rPr>
                <w:rFonts w:ascii="Times New Roman" w:hAnsi="Times New Roman"/>
                <w:b/>
                <w:bCs/>
                <w:sz w:val="24"/>
              </w:rPr>
              <w:t>d</w:t>
            </w:r>
            <w:r>
              <w:rPr>
                <w:rFonts w:hint="eastAsia" w:ascii="Times New Roman" w:hAnsi="Times New Roman"/>
                <w:b/>
                <w:bCs/>
                <w:sz w:val="24"/>
              </w:rPr>
              <w:t xml:space="preserve"> (</w:t>
            </w:r>
            <w:r>
              <w:rPr>
                <w:rFonts w:ascii="Times New Roman" w:hAnsi="Times New Roman"/>
                <w:b/>
                <w:bCs/>
                <w:sz w:val="24"/>
              </w:rPr>
              <w:t>Å</w:t>
            </w:r>
            <w:r>
              <w:rPr>
                <w:rFonts w:hint="eastAsia" w:ascii="Times New Roman" w:hAnsi="Times New Roman"/>
                <w:b/>
                <w:bCs/>
                <w:sz w:val="24"/>
              </w:rPr>
              <w:t>)</w:t>
            </w:r>
          </w:p>
        </w:tc>
      </w:tr>
      <w:tr w14:paraId="3CBACBA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0" w:type="dxa"/>
            <w:tcBorders>
              <w:top w:val="single" w:color="auto" w:sz="4" w:space="0"/>
              <w:bottom w:val="single" w:color="auto" w:sz="4" w:space="0"/>
            </w:tcBorders>
          </w:tcPr>
          <w:p w14:paraId="235A9CDD">
            <w:pPr>
              <w:widowControl/>
              <w:spacing w:line="360" w:lineRule="auto"/>
              <w:jc w:val="center"/>
              <w:rPr>
                <w:rFonts w:ascii="Times New Roman" w:hAnsi="Times New Roman"/>
                <w:sz w:val="24"/>
              </w:rPr>
            </w:pPr>
            <w:r>
              <w:rPr>
                <w:rFonts w:ascii="Times New Roman" w:hAnsi="Times New Roman"/>
                <w:sz w:val="24"/>
              </w:rPr>
              <w:t>O–O bond length</w:t>
            </w:r>
          </w:p>
        </w:tc>
        <w:tc>
          <w:tcPr>
            <w:tcW w:w="2130" w:type="dxa"/>
            <w:tcBorders>
              <w:top w:val="single" w:color="auto" w:sz="4" w:space="0"/>
              <w:bottom w:val="single" w:color="auto" w:sz="4" w:space="0"/>
            </w:tcBorders>
          </w:tcPr>
          <w:p w14:paraId="664084E1">
            <w:pPr>
              <w:widowControl/>
              <w:spacing w:line="360" w:lineRule="auto"/>
              <w:jc w:val="center"/>
              <w:rPr>
                <w:rFonts w:ascii="Times New Roman" w:hAnsi="Times New Roman"/>
                <w:sz w:val="24"/>
              </w:rPr>
            </w:pPr>
            <w:r>
              <w:rPr>
                <w:rFonts w:ascii="Times New Roman" w:hAnsi="Times New Roman"/>
                <w:sz w:val="24"/>
              </w:rPr>
              <w:t>1.47</w:t>
            </w:r>
          </w:p>
        </w:tc>
        <w:tc>
          <w:tcPr>
            <w:tcW w:w="2131" w:type="dxa"/>
            <w:tcBorders>
              <w:top w:val="single" w:color="auto" w:sz="4" w:space="0"/>
              <w:bottom w:val="single" w:color="auto" w:sz="4" w:space="0"/>
            </w:tcBorders>
          </w:tcPr>
          <w:p w14:paraId="5436873A">
            <w:pPr>
              <w:widowControl/>
              <w:spacing w:line="360" w:lineRule="auto"/>
              <w:jc w:val="center"/>
              <w:rPr>
                <w:rFonts w:ascii="Times New Roman" w:hAnsi="Times New Roman"/>
                <w:sz w:val="24"/>
              </w:rPr>
            </w:pPr>
            <w:r>
              <w:rPr>
                <w:rFonts w:ascii="Times New Roman" w:hAnsi="Times New Roman"/>
                <w:sz w:val="24"/>
              </w:rPr>
              <w:t>1.588</w:t>
            </w:r>
          </w:p>
        </w:tc>
        <w:tc>
          <w:tcPr>
            <w:tcW w:w="2131" w:type="dxa"/>
            <w:tcBorders>
              <w:top w:val="single" w:color="auto" w:sz="4" w:space="0"/>
              <w:bottom w:val="single" w:color="auto" w:sz="4" w:space="0"/>
            </w:tcBorders>
          </w:tcPr>
          <w:p w14:paraId="4AEE8D98">
            <w:pPr>
              <w:widowControl/>
              <w:spacing w:line="360" w:lineRule="auto"/>
              <w:jc w:val="center"/>
              <w:rPr>
                <w:rFonts w:ascii="Times New Roman" w:hAnsi="Times New Roman"/>
                <w:sz w:val="24"/>
              </w:rPr>
            </w:pPr>
            <w:r>
              <w:rPr>
                <w:rFonts w:ascii="Times New Roman" w:hAnsi="Times New Roman"/>
                <w:sz w:val="24"/>
              </w:rPr>
              <w:t>0.118</w:t>
            </w:r>
          </w:p>
        </w:tc>
      </w:tr>
    </w:tbl>
    <w:p w14:paraId="2165CD67">
      <w:pPr>
        <w:widowControl/>
        <w:spacing w:line="360" w:lineRule="auto"/>
        <w:jc w:val="center"/>
        <w:rPr>
          <w:rFonts w:ascii="Times New Roman" w:hAnsi="Times New Roman"/>
          <w:szCs w:val="21"/>
        </w:rPr>
      </w:pPr>
    </w:p>
    <w:p w14:paraId="3A5405FA">
      <w:pPr>
        <w:widowControl/>
        <w:snapToGrid w:val="0"/>
        <w:rPr>
          <w:rFonts w:ascii="Times New Roman" w:hAnsi="Times New Roman"/>
          <w:sz w:val="24"/>
        </w:rPr>
      </w:pPr>
      <w:r>
        <w:rPr>
          <w:rFonts w:ascii="Times New Roman" w:hAnsi="Times New Roman"/>
          <w:b/>
          <w:bCs/>
          <w:sz w:val="24"/>
        </w:rPr>
        <w:t>Table S</w:t>
      </w:r>
      <w:r>
        <w:rPr>
          <w:rFonts w:hint="eastAsia" w:ascii="Times New Roman" w:hAnsi="Times New Roman"/>
          <w:b/>
          <w:bCs/>
          <w:sz w:val="24"/>
        </w:rPr>
        <w:t>6</w:t>
      </w:r>
      <w:r>
        <w:rPr>
          <w:rFonts w:ascii="Times New Roman" w:hAnsi="Times New Roman"/>
          <w:b/>
          <w:bCs/>
          <w:sz w:val="24"/>
        </w:rPr>
        <w:t xml:space="preserve">. </w:t>
      </w:r>
      <w:r>
        <w:rPr>
          <w:rFonts w:ascii="Times New Roman" w:hAnsi="Times New Roman"/>
          <w:sz w:val="24"/>
        </w:rPr>
        <w:t>The Bader charge transfer in H</w:t>
      </w:r>
      <w:r>
        <w:rPr>
          <w:rFonts w:hint="eastAsia" w:ascii="Times New Roman" w:hAnsi="Times New Roman"/>
          <w:sz w:val="24"/>
          <w:vertAlign w:val="subscript"/>
        </w:rPr>
        <w:t>2</w:t>
      </w:r>
      <w:r>
        <w:rPr>
          <w:rFonts w:ascii="Times New Roman" w:hAnsi="Times New Roman"/>
          <w:sz w:val="24"/>
        </w:rPr>
        <w:t>O</w:t>
      </w:r>
      <w:r>
        <w:rPr>
          <w:rFonts w:hint="eastAsia" w:ascii="Times New Roman" w:hAnsi="Times New Roman"/>
          <w:sz w:val="24"/>
          <w:vertAlign w:val="subscript"/>
        </w:rPr>
        <w:t>2</w:t>
      </w:r>
      <w:r>
        <w:rPr>
          <w:rFonts w:ascii="Times New Roman" w:hAnsi="Times New Roman"/>
          <w:sz w:val="24"/>
        </w:rPr>
        <w:t xml:space="preserve"> before and after adsorption onto Fe-SAzyme.</w:t>
      </w:r>
    </w:p>
    <w:tbl>
      <w:tblPr>
        <w:tblStyle w:val="5"/>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30"/>
        <w:gridCol w:w="2130"/>
        <w:gridCol w:w="2131"/>
        <w:gridCol w:w="2131"/>
      </w:tblGrid>
      <w:tr w14:paraId="75E2352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30" w:type="dxa"/>
            <w:tcBorders>
              <w:top w:val="single" w:color="auto" w:sz="4" w:space="0"/>
              <w:bottom w:val="single" w:color="auto" w:sz="4" w:space="0"/>
            </w:tcBorders>
            <w:vAlign w:val="center"/>
          </w:tcPr>
          <w:p w14:paraId="3A1214D6">
            <w:pPr>
              <w:widowControl/>
              <w:spacing w:line="360" w:lineRule="auto"/>
              <w:rPr>
                <w:rFonts w:ascii="Times New Roman" w:hAnsi="Times New Roman"/>
                <w:b/>
                <w:bCs/>
                <w:sz w:val="24"/>
              </w:rPr>
            </w:pPr>
          </w:p>
        </w:tc>
        <w:tc>
          <w:tcPr>
            <w:tcW w:w="2130" w:type="dxa"/>
            <w:tcBorders>
              <w:top w:val="single" w:color="auto" w:sz="4" w:space="0"/>
              <w:bottom w:val="single" w:color="auto" w:sz="4" w:space="0"/>
            </w:tcBorders>
            <w:vAlign w:val="center"/>
          </w:tcPr>
          <w:p w14:paraId="62B61940">
            <w:pPr>
              <w:widowControl/>
              <w:spacing w:line="360" w:lineRule="auto"/>
              <w:jc w:val="center"/>
              <w:rPr>
                <w:rFonts w:hint="eastAsia" w:ascii="Times New Roman" w:hAnsi="Times New Roman"/>
                <w:b/>
                <w:bCs/>
                <w:sz w:val="24"/>
              </w:rPr>
            </w:pPr>
            <w:r>
              <w:rPr>
                <w:rFonts w:ascii="Times New Roman" w:hAnsi="Times New Roman"/>
                <w:b/>
                <w:bCs/>
                <w:sz w:val="24"/>
              </w:rPr>
              <w:t>Before adsorption</w:t>
            </w:r>
            <w:r>
              <w:rPr>
                <w:rFonts w:hint="eastAsia" w:ascii="Times New Roman" w:hAnsi="Times New Roman"/>
                <w:b/>
                <w:bCs/>
                <w:sz w:val="24"/>
              </w:rPr>
              <w:t xml:space="preserve"> (</w:t>
            </w:r>
            <w:r>
              <w:rPr>
                <w:rFonts w:ascii="Times New Roman" w:hAnsi="Times New Roman"/>
                <w:b/>
                <w:bCs/>
                <w:sz w:val="24"/>
              </w:rPr>
              <w:t>qH</w:t>
            </w:r>
            <w:r>
              <w:rPr>
                <w:rFonts w:ascii="Times New Roman" w:hAnsi="Times New Roman"/>
                <w:b/>
                <w:bCs/>
                <w:sz w:val="24"/>
                <w:vertAlign w:val="subscript"/>
              </w:rPr>
              <w:t>2</w:t>
            </w:r>
            <w:r>
              <w:rPr>
                <w:rFonts w:ascii="Times New Roman" w:hAnsi="Times New Roman"/>
                <w:b/>
                <w:bCs/>
                <w:sz w:val="24"/>
              </w:rPr>
              <w:t>O</w:t>
            </w:r>
            <w:r>
              <w:rPr>
                <w:rFonts w:ascii="Times New Roman" w:hAnsi="Times New Roman"/>
                <w:b/>
                <w:bCs/>
                <w:sz w:val="24"/>
                <w:vertAlign w:val="subscript"/>
              </w:rPr>
              <w:t>2</w:t>
            </w:r>
            <w:r>
              <w:rPr>
                <w:rFonts w:hint="eastAsia" w:ascii="Times New Roman" w:hAnsi="Times New Roman"/>
                <w:b/>
                <w:bCs/>
                <w:sz w:val="24"/>
              </w:rPr>
              <w:t>)</w:t>
            </w:r>
          </w:p>
        </w:tc>
        <w:tc>
          <w:tcPr>
            <w:tcW w:w="2131" w:type="dxa"/>
            <w:tcBorders>
              <w:top w:val="single" w:color="auto" w:sz="4" w:space="0"/>
              <w:bottom w:val="single" w:color="auto" w:sz="4" w:space="0"/>
            </w:tcBorders>
            <w:vAlign w:val="center"/>
          </w:tcPr>
          <w:p w14:paraId="7EF39F56">
            <w:pPr>
              <w:widowControl/>
              <w:spacing w:line="360" w:lineRule="auto"/>
              <w:jc w:val="center"/>
              <w:rPr>
                <w:rFonts w:hint="eastAsia" w:ascii="Times New Roman" w:hAnsi="Times New Roman"/>
                <w:b/>
                <w:bCs/>
                <w:sz w:val="24"/>
              </w:rPr>
            </w:pPr>
            <w:r>
              <w:rPr>
                <w:rFonts w:ascii="Times New Roman" w:hAnsi="Times New Roman"/>
                <w:b/>
                <w:bCs/>
                <w:sz w:val="24"/>
              </w:rPr>
              <w:t>After adsorption</w:t>
            </w:r>
            <w:r>
              <w:rPr>
                <w:rFonts w:hint="eastAsia" w:ascii="Times New Roman" w:hAnsi="Times New Roman"/>
                <w:b/>
                <w:bCs/>
                <w:sz w:val="24"/>
              </w:rPr>
              <w:t xml:space="preserve"> (</w:t>
            </w:r>
            <w:r>
              <w:rPr>
                <w:rFonts w:ascii="Times New Roman" w:hAnsi="Times New Roman"/>
                <w:b/>
                <w:bCs/>
                <w:sz w:val="24"/>
              </w:rPr>
              <w:t>qH</w:t>
            </w:r>
            <w:r>
              <w:rPr>
                <w:rFonts w:ascii="Times New Roman" w:hAnsi="Times New Roman"/>
                <w:b/>
                <w:bCs/>
                <w:sz w:val="24"/>
                <w:vertAlign w:val="subscript"/>
              </w:rPr>
              <w:t>2</w:t>
            </w:r>
            <w:r>
              <w:rPr>
                <w:rFonts w:ascii="Times New Roman" w:hAnsi="Times New Roman"/>
                <w:b/>
                <w:bCs/>
                <w:sz w:val="24"/>
              </w:rPr>
              <w:t>O</w:t>
            </w:r>
            <w:r>
              <w:rPr>
                <w:rFonts w:ascii="Times New Roman" w:hAnsi="Times New Roman"/>
                <w:b/>
                <w:bCs/>
                <w:sz w:val="24"/>
                <w:vertAlign w:val="subscript"/>
              </w:rPr>
              <w:t>2</w:t>
            </w:r>
            <w:r>
              <w:rPr>
                <w:rFonts w:hint="eastAsia" w:ascii="Times New Roman" w:hAnsi="Times New Roman"/>
                <w:b/>
                <w:bCs/>
                <w:sz w:val="24"/>
              </w:rPr>
              <w:t>)</w:t>
            </w:r>
          </w:p>
        </w:tc>
        <w:tc>
          <w:tcPr>
            <w:tcW w:w="2131" w:type="dxa"/>
            <w:tcBorders>
              <w:top w:val="single" w:color="auto" w:sz="4" w:space="0"/>
              <w:bottom w:val="single" w:color="auto" w:sz="4" w:space="0"/>
            </w:tcBorders>
            <w:vAlign w:val="center"/>
          </w:tcPr>
          <w:p w14:paraId="6334A671">
            <w:pPr>
              <w:widowControl/>
              <w:spacing w:line="360" w:lineRule="auto"/>
              <w:jc w:val="center"/>
              <w:rPr>
                <w:rFonts w:ascii="Times New Roman" w:hAnsi="Times New Roman"/>
                <w:b/>
                <w:bCs/>
                <w:sz w:val="24"/>
              </w:rPr>
            </w:pPr>
            <w:r>
              <w:rPr>
                <w:rFonts w:ascii="Times New Roman" w:hAnsi="Times New Roman"/>
                <w:b/>
                <w:bCs/>
                <w:sz w:val="24"/>
              </w:rPr>
              <w:t>Δq</w:t>
            </w:r>
            <w:r>
              <w:rPr>
                <w:rFonts w:hint="eastAsia" w:ascii="Times New Roman" w:hAnsi="Times New Roman"/>
                <w:b/>
                <w:bCs/>
                <w:sz w:val="24"/>
              </w:rPr>
              <w:t xml:space="preserve"> </w:t>
            </w:r>
            <w:r>
              <w:rPr>
                <w:rFonts w:ascii="Times New Roman" w:hAnsi="Times New Roman"/>
                <w:b/>
                <w:bCs/>
                <w:sz w:val="24"/>
              </w:rPr>
              <w:t>(e)</w:t>
            </w:r>
          </w:p>
        </w:tc>
      </w:tr>
      <w:tr w14:paraId="46DF44F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30" w:type="dxa"/>
            <w:tcBorders>
              <w:top w:val="single" w:color="auto" w:sz="4" w:space="0"/>
            </w:tcBorders>
            <w:vAlign w:val="center"/>
          </w:tcPr>
          <w:p w14:paraId="021E4642">
            <w:pPr>
              <w:widowControl/>
              <w:spacing w:line="360" w:lineRule="auto"/>
              <w:jc w:val="center"/>
              <w:rPr>
                <w:rFonts w:ascii="Times New Roman" w:hAnsi="Times New Roman"/>
                <w:sz w:val="24"/>
              </w:rPr>
            </w:pPr>
            <w:r>
              <w:rPr>
                <w:rFonts w:ascii="Times New Roman" w:hAnsi="Times New Roman"/>
                <w:sz w:val="24"/>
              </w:rPr>
              <w:t>Bader charge</w:t>
            </w:r>
          </w:p>
        </w:tc>
        <w:tc>
          <w:tcPr>
            <w:tcW w:w="2130" w:type="dxa"/>
            <w:tcBorders>
              <w:top w:val="single" w:color="auto" w:sz="4" w:space="0"/>
            </w:tcBorders>
            <w:vAlign w:val="center"/>
          </w:tcPr>
          <w:p w14:paraId="5E79F5DE">
            <w:pPr>
              <w:widowControl/>
              <w:spacing w:line="360" w:lineRule="auto"/>
              <w:jc w:val="center"/>
              <w:rPr>
                <w:rFonts w:ascii="Times New Roman" w:hAnsi="Times New Roman"/>
                <w:sz w:val="24"/>
              </w:rPr>
            </w:pPr>
            <w:r>
              <w:rPr>
                <w:rFonts w:ascii="Times New Roman" w:hAnsi="Times New Roman"/>
                <w:sz w:val="24"/>
              </w:rPr>
              <w:t>0</w:t>
            </w:r>
          </w:p>
        </w:tc>
        <w:tc>
          <w:tcPr>
            <w:tcW w:w="2131" w:type="dxa"/>
            <w:tcBorders>
              <w:top w:val="single" w:color="auto" w:sz="4" w:space="0"/>
            </w:tcBorders>
            <w:vAlign w:val="center"/>
          </w:tcPr>
          <w:p w14:paraId="07DA1FB8">
            <w:pPr>
              <w:widowControl/>
              <w:spacing w:line="360" w:lineRule="auto"/>
              <w:jc w:val="center"/>
              <w:rPr>
                <w:rFonts w:ascii="Times New Roman" w:hAnsi="Times New Roman"/>
                <w:sz w:val="24"/>
              </w:rPr>
            </w:pPr>
            <w:r>
              <w:rPr>
                <w:rFonts w:ascii="Times New Roman" w:hAnsi="Times New Roman"/>
                <w:sz w:val="24"/>
              </w:rPr>
              <w:t>-0.111</w:t>
            </w:r>
          </w:p>
        </w:tc>
        <w:tc>
          <w:tcPr>
            <w:tcW w:w="2131" w:type="dxa"/>
            <w:tcBorders>
              <w:top w:val="single" w:color="auto" w:sz="4" w:space="0"/>
            </w:tcBorders>
            <w:vAlign w:val="center"/>
          </w:tcPr>
          <w:p w14:paraId="55FF86B2">
            <w:pPr>
              <w:widowControl/>
              <w:spacing w:line="360" w:lineRule="auto"/>
              <w:jc w:val="center"/>
              <w:rPr>
                <w:rFonts w:ascii="Times New Roman" w:hAnsi="Times New Roman"/>
                <w:sz w:val="24"/>
              </w:rPr>
            </w:pPr>
            <w:r>
              <w:rPr>
                <w:rFonts w:ascii="Times New Roman" w:hAnsi="Times New Roman"/>
                <w:sz w:val="24"/>
              </w:rPr>
              <w:t>-0.111</w:t>
            </w:r>
          </w:p>
        </w:tc>
      </w:tr>
    </w:tbl>
    <w:p w14:paraId="638130A3">
      <w:pPr>
        <w:rPr>
          <w:rFonts w:ascii="Times New Roman" w:hAnsi="Times New Roman"/>
          <w:sz w:val="24"/>
        </w:rPr>
      </w:pPr>
    </w:p>
    <w:p w14:paraId="1E595DF0">
      <w:pPr>
        <w:snapToGrid w:val="0"/>
        <w:spacing w:line="480" w:lineRule="auto"/>
        <w:rPr>
          <w:rFonts w:ascii="Times New Roman" w:hAnsi="Times New Roman"/>
          <w:b/>
          <w:bCs/>
          <w:sz w:val="24"/>
        </w:rPr>
      </w:pPr>
      <w:r>
        <w:rPr>
          <w:rFonts w:ascii="Times New Roman" w:hAnsi="Times New Roman"/>
          <w:sz w:val="24"/>
        </w:rPr>
        <w:br w:type="page"/>
      </w:r>
      <w:r>
        <w:rPr>
          <w:rFonts w:hint="eastAsia" w:ascii="Times New Roman" w:hAnsi="Times New Roman"/>
          <w:b/>
          <w:bCs/>
          <w:sz w:val="24"/>
        </w:rPr>
        <w:t>References</w:t>
      </w:r>
    </w:p>
    <w:p w14:paraId="02970235">
      <w:pPr>
        <w:pStyle w:val="13"/>
        <w:snapToGrid w:val="0"/>
        <w:spacing w:line="480" w:lineRule="auto"/>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ADDIN ZOTERO_BIBL {"uncited":[],"omitted":[],"custom":[]} CSL_BIBLIOGRAPHY </w:instrText>
      </w:r>
      <w:r>
        <w:rPr>
          <w:rFonts w:ascii="Times New Roman" w:hAnsi="Times New Roman"/>
          <w:sz w:val="24"/>
        </w:rPr>
        <w:fldChar w:fldCharType="separate"/>
      </w:r>
      <w:r>
        <w:rPr>
          <w:rFonts w:ascii="Times New Roman" w:hAnsi="Times New Roman"/>
          <w:sz w:val="24"/>
        </w:rPr>
        <w:t xml:space="preserve">1. Xu B, Li S, Zheng L, Liu Y, Han A, Zhang J, et al. A bioinspired five‐coordinated single‐atom iron nanozyme for tumor catalytic therapy. Advanced Materials. 2022;34:2107088. </w:t>
      </w:r>
    </w:p>
    <w:p w14:paraId="763C51B0">
      <w:pPr>
        <w:pStyle w:val="13"/>
        <w:snapToGrid w:val="0"/>
        <w:spacing w:line="480" w:lineRule="auto"/>
        <w:rPr>
          <w:rFonts w:ascii="Times New Roman" w:hAnsi="Times New Roman"/>
          <w:sz w:val="24"/>
        </w:rPr>
      </w:pPr>
      <w:r>
        <w:rPr>
          <w:rFonts w:ascii="Times New Roman" w:hAnsi="Times New Roman"/>
          <w:sz w:val="24"/>
        </w:rPr>
        <w:t xml:space="preserve">2. Feng Y, Qin J, Zhou Y, Yue Q, Wei J. Spherical mesoporous Fe-N-C single-atom nanozyme for photothermal and catalytic synergistic antibacterial therapy. Journal of Colloid and Interface Science. 2022;606:826–36. </w:t>
      </w:r>
    </w:p>
    <w:p w14:paraId="0316D41D">
      <w:pPr>
        <w:pStyle w:val="13"/>
        <w:snapToGrid w:val="0"/>
        <w:spacing w:line="480" w:lineRule="auto"/>
        <w:rPr>
          <w:rFonts w:ascii="Times New Roman" w:hAnsi="Times New Roman"/>
          <w:sz w:val="24"/>
        </w:rPr>
      </w:pPr>
      <w:r>
        <w:rPr>
          <w:rFonts w:ascii="Times New Roman" w:hAnsi="Times New Roman"/>
          <w:sz w:val="24"/>
        </w:rPr>
        <w:t xml:space="preserve">3. Zhang C, Chen C, Zhao D, Kang G, Liu F, Yang F, et al. Multienzyme cascades based on highly efficient metal–nitrogen–carbon nanozymes for construction of versatile bioassays. Anal Chem. 2022;94:3485–93. </w:t>
      </w:r>
    </w:p>
    <w:p w14:paraId="1DD41ACE">
      <w:pPr>
        <w:pStyle w:val="13"/>
        <w:snapToGrid w:val="0"/>
        <w:spacing w:line="480" w:lineRule="auto"/>
        <w:rPr>
          <w:rFonts w:ascii="Times New Roman" w:hAnsi="Times New Roman"/>
          <w:sz w:val="24"/>
        </w:rPr>
      </w:pPr>
      <w:r>
        <w:rPr>
          <w:rFonts w:ascii="Times New Roman" w:hAnsi="Times New Roman"/>
          <w:sz w:val="24"/>
        </w:rPr>
        <w:t xml:space="preserve">4. Jiao L, Xu W, Yan H, Wu Y, Liu C, Du D, et al. Fe–N–C single-atom nanozymes for the intracellular hydrogen peroxide detection. Anal Chem. 2019;91:11994–9. </w:t>
      </w:r>
    </w:p>
    <w:p w14:paraId="6D150224">
      <w:pPr>
        <w:pStyle w:val="13"/>
        <w:snapToGrid w:val="0"/>
        <w:spacing w:line="480" w:lineRule="auto"/>
        <w:rPr>
          <w:rFonts w:ascii="Times New Roman" w:hAnsi="Times New Roman"/>
          <w:sz w:val="24"/>
        </w:rPr>
      </w:pPr>
      <w:r>
        <w:rPr>
          <w:rFonts w:ascii="Times New Roman" w:hAnsi="Times New Roman"/>
          <w:sz w:val="24"/>
        </w:rPr>
        <w:t xml:space="preserve">5. Chen Y, Jiao L, Yan H, Xu W, Wu Y, Zheng L, et al. Fe–N–C single-atom catalyst coupling with pt clusters boosts peroxidase-like activity for cascade-amplified colorimetric immunoassay. Anal Chem. 2021;93:12353–9. </w:t>
      </w:r>
    </w:p>
    <w:p w14:paraId="59FFFD7D">
      <w:pPr>
        <w:pStyle w:val="13"/>
        <w:snapToGrid w:val="0"/>
        <w:spacing w:line="480" w:lineRule="auto"/>
        <w:rPr>
          <w:rFonts w:ascii="Times New Roman" w:hAnsi="Times New Roman"/>
          <w:sz w:val="24"/>
        </w:rPr>
      </w:pPr>
      <w:r>
        <w:rPr>
          <w:rFonts w:ascii="Times New Roman" w:hAnsi="Times New Roman"/>
          <w:sz w:val="24"/>
        </w:rPr>
        <w:t xml:space="preserve">6. Pan T, Chen H, Gao X, Wu Z, Ye Y, Shen Y. Engineering efficient artificial nanozyme based on chitosan grafted fe-doped-carbon dots for bacteria biofilm eradication. Journal of Hazardous Materials. 2022;435:128996. </w:t>
      </w:r>
    </w:p>
    <w:p w14:paraId="4CAC7927">
      <w:pPr>
        <w:pStyle w:val="13"/>
        <w:snapToGrid w:val="0"/>
        <w:spacing w:line="480" w:lineRule="auto"/>
        <w:rPr>
          <w:rFonts w:ascii="Times New Roman" w:hAnsi="Times New Roman"/>
          <w:sz w:val="24"/>
        </w:rPr>
      </w:pPr>
      <w:r>
        <w:rPr>
          <w:rFonts w:ascii="Times New Roman" w:hAnsi="Times New Roman"/>
          <w:sz w:val="24"/>
        </w:rPr>
        <w:t xml:space="preserve">7. Hamed EM, He L, Rai V, Hu S, Li SFY. Copper single‐atom nanozyme mimicking galactose oxidase with superior catalytic activity and selectivity. Small. 2024;20:2405986. </w:t>
      </w:r>
    </w:p>
    <w:p w14:paraId="0FB0B7B8">
      <w:pPr>
        <w:pStyle w:val="13"/>
        <w:snapToGrid w:val="0"/>
        <w:spacing w:line="480" w:lineRule="auto"/>
        <w:rPr>
          <w:rFonts w:ascii="Times New Roman" w:hAnsi="Times New Roman"/>
          <w:sz w:val="24"/>
        </w:rPr>
      </w:pPr>
      <w:r>
        <w:rPr>
          <w:rFonts w:ascii="Times New Roman" w:hAnsi="Times New Roman"/>
          <w:sz w:val="24"/>
        </w:rPr>
        <w:t>8. Ye T, Chen C, Wang D, Huang C, Yan Z, Chen Y, et al. Protective effects of pt-N-C single-atom nanozymes against myocardial ischemia-reperfusion injury. Nat Commun. 2024;15:1682.</w:t>
      </w:r>
    </w:p>
    <w:p w14:paraId="0984CC90">
      <w:pPr>
        <w:pStyle w:val="13"/>
        <w:snapToGrid w:val="0"/>
        <w:spacing w:line="480" w:lineRule="auto"/>
        <w:rPr>
          <w:rFonts w:ascii="Times New Roman" w:hAnsi="Times New Roman"/>
          <w:sz w:val="24"/>
        </w:rPr>
      </w:pPr>
      <w:r>
        <w:rPr>
          <w:rFonts w:ascii="Times New Roman" w:hAnsi="Times New Roman"/>
          <w:sz w:val="24"/>
        </w:rPr>
        <w:t>9. Zhu Y, Wang W, Cheng J, Qu Y, Dai Y, Liu M, et al. Stimuli‐Responsive Manganese Single‐Atom Nanozyme for Tumor Therapy via Integrated Cascade Reactions. Angewandte Chemie. 2021;133:9566–74.</w:t>
      </w:r>
    </w:p>
    <w:p w14:paraId="46A86510">
      <w:pPr>
        <w:pStyle w:val="13"/>
        <w:snapToGrid w:val="0"/>
        <w:spacing w:line="480" w:lineRule="auto"/>
        <w:rPr>
          <w:rFonts w:ascii="Times New Roman" w:hAnsi="Times New Roman"/>
          <w:sz w:val="24"/>
        </w:rPr>
      </w:pPr>
      <w:r>
        <w:rPr>
          <w:rFonts w:ascii="Times New Roman" w:hAnsi="Times New Roman"/>
          <w:sz w:val="24"/>
        </w:rPr>
        <w:t xml:space="preserve">10. Mu J, Zhang L, Zhao M, Wang Y. Co3O4 nanoparticles as an efficient catalase mimic: Properties, mechanism and its electrocatalytic sensing application for hydrogen peroxide. Journal of Molecular Catalysis A: Chemical. 2013;378:30–7. </w:t>
      </w:r>
    </w:p>
    <w:p w14:paraId="4539EBDB">
      <w:pPr>
        <w:pStyle w:val="13"/>
        <w:snapToGrid w:val="0"/>
        <w:spacing w:line="480" w:lineRule="auto"/>
        <w:rPr>
          <w:rFonts w:ascii="Times New Roman" w:hAnsi="Times New Roman"/>
          <w:sz w:val="24"/>
        </w:rPr>
      </w:pPr>
      <w:r>
        <w:rPr>
          <w:rFonts w:ascii="Times New Roman" w:hAnsi="Times New Roman"/>
          <w:sz w:val="24"/>
        </w:rPr>
        <w:t xml:space="preserve">11. Ma W, Mao J, Yang X, Pan C, Chen W, Wang M, et al. A single-atom fe–N4 catalytic site mimicking bifunctional antioxidative enzymes for oxidative stress cytoprotection. Chem Commun. 2019;55:159–62. </w:t>
      </w:r>
    </w:p>
    <w:p w14:paraId="5A1A109E">
      <w:pPr>
        <w:pStyle w:val="13"/>
        <w:snapToGrid w:val="0"/>
        <w:spacing w:line="480" w:lineRule="auto"/>
        <w:rPr>
          <w:rFonts w:ascii="Times New Roman" w:hAnsi="Times New Roman"/>
          <w:sz w:val="24"/>
        </w:rPr>
      </w:pPr>
      <w:r>
        <w:rPr>
          <w:rFonts w:ascii="Times New Roman" w:hAnsi="Times New Roman"/>
          <w:sz w:val="24"/>
        </w:rPr>
        <w:t xml:space="preserve">12. Jiao M, Li Z, Li X, Zhang Z, Yuan Q, Vriesekoop F, et al. Solving the H2O2 by-product problem using a catalase-mimicking nanozyme cascade to enhance glycolic acid oxidase. Chemical Engineering Journal. 2020;388:124249. </w:t>
      </w:r>
    </w:p>
    <w:p w14:paraId="34FC51FE">
      <w:pPr>
        <w:pStyle w:val="13"/>
        <w:snapToGrid w:val="0"/>
        <w:spacing w:line="480" w:lineRule="auto"/>
        <w:rPr>
          <w:rFonts w:ascii="Times New Roman" w:hAnsi="Times New Roman"/>
          <w:sz w:val="24"/>
        </w:rPr>
      </w:pPr>
      <w:r>
        <w:rPr>
          <w:rFonts w:ascii="Times New Roman" w:hAnsi="Times New Roman"/>
          <w:sz w:val="24"/>
        </w:rPr>
        <w:t>13. Zhang R, Xue B, Tao Y, Zhao H, Zhang Z, Wang X, et al. Edge‐site engineering of defective fe–N4 nanozymes with boosted catalase‐like performance for retinal vasculopathies. Advanced Materials. 2022;34:2205324.</w:t>
      </w:r>
    </w:p>
    <w:p w14:paraId="4EE259E2">
      <w:pPr>
        <w:pStyle w:val="13"/>
        <w:snapToGrid w:val="0"/>
        <w:spacing w:line="480" w:lineRule="auto"/>
        <w:rPr>
          <w:rFonts w:ascii="Times New Roman" w:hAnsi="Times New Roman"/>
          <w:sz w:val="24"/>
        </w:rPr>
      </w:pPr>
      <w:r>
        <w:rPr>
          <w:rFonts w:ascii="Times New Roman" w:hAnsi="Times New Roman"/>
          <w:sz w:val="24"/>
        </w:rPr>
        <w:t>14. Cai S, Liu J, Ding J, Fu Z, Li H, Xiong Y, et al. Tumor‐Microenvironment‐Responsive Cascade Reactions by a Cobalt‐Single‐Atom Nanozyme for Synergistic Nanocatalytic Chemotherapy. Angew Chem Int Ed. 2022;61:e202204502.</w:t>
      </w:r>
    </w:p>
    <w:p w14:paraId="5C9F206C">
      <w:pPr>
        <w:pStyle w:val="13"/>
        <w:snapToGrid w:val="0"/>
        <w:spacing w:line="480" w:lineRule="auto"/>
        <w:rPr>
          <w:rFonts w:ascii="Times New Roman" w:hAnsi="Times New Roman"/>
          <w:sz w:val="24"/>
        </w:rPr>
      </w:pPr>
      <w:r>
        <w:rPr>
          <w:rFonts w:ascii="Times New Roman" w:hAnsi="Times New Roman"/>
          <w:sz w:val="24"/>
        </w:rPr>
        <w:t>15. Zhao Z, Dong S, Liu Y, Wang J, Ba L, Zhang C, et al. Tumor Microenvironment-Activable Manganese-Boosted Catalytic Immunotherapy Combined with PD-1 Checkpoint Blockade. ACS Nano. 2022;16:20400–18.</w:t>
      </w:r>
    </w:p>
    <w:p w14:paraId="729D0820">
      <w:pPr>
        <w:snapToGrid w:val="0"/>
        <w:spacing w:line="480" w:lineRule="auto"/>
        <w:rPr>
          <w:rFonts w:ascii="Times New Roman" w:hAnsi="Times New Roman"/>
          <w:sz w:val="24"/>
        </w:rPr>
      </w:pPr>
      <w:r>
        <w:rPr>
          <w:rFonts w:ascii="Times New Roman" w:hAnsi="Times New Roman"/>
          <w:sz w:val="24"/>
        </w:rPr>
        <w:fldChar w:fldCharType="end"/>
      </w:r>
    </w:p>
    <w:sectPr>
      <w:footerReference r:id="rId3" w:type="default"/>
      <w:pgSz w:w="11906" w:h="16838"/>
      <w:pgMar w:top="1440" w:right="1800" w:bottom="1440" w:left="1800" w:header="851" w:footer="992" w:gutter="0"/>
      <w:lnNumType w:countBy="1" w:restart="continuou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swiss"/>
    <w:pitch w:val="default"/>
    <w:sig w:usb0="9000002F" w:usb1="29D77CFB" w:usb2="00000012" w:usb3="00000000" w:csb0="00080001" w:csb1="00000000"/>
  </w:font>
  <w:font w:name="ScalaSansLF-Regular">
    <w:altName w:val="微软雅黑"/>
    <w:panose1 w:val="00000000000000000000"/>
    <w:charset w:val="86"/>
    <w:family w:val="roma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ScalaLF-Regular">
    <w:altName w:val="宋体"/>
    <w:panose1 w:val="00000000000000000000"/>
    <w:charset w:val="86"/>
    <w:family w:val="roma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5401E">
    <w:pPr>
      <w:pStyle w:val="2"/>
      <w:jc w:val="center"/>
    </w:pPr>
    <w:r>
      <w:fldChar w:fldCharType="begin"/>
    </w:r>
    <w:r>
      <w:instrText xml:space="preserve">PAGE   \* MERGEFORMAT</w:instrText>
    </w:r>
    <w:r>
      <w:fldChar w:fldCharType="separate"/>
    </w:r>
    <w:r>
      <w:rPr>
        <w:lang w:val="zh-CN"/>
      </w:rPr>
      <w:t>2</w:t>
    </w:r>
    <w:r>
      <w:fldChar w:fldCharType="end"/>
    </w:r>
  </w:p>
  <w:p w14:paraId="7A99A46C">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A451B"/>
    <w:rsid w:val="00015B25"/>
    <w:rsid w:val="000214B7"/>
    <w:rsid w:val="00027C85"/>
    <w:rsid w:val="0003190F"/>
    <w:rsid w:val="000559FA"/>
    <w:rsid w:val="00061914"/>
    <w:rsid w:val="000619B1"/>
    <w:rsid w:val="00071316"/>
    <w:rsid w:val="00073AEF"/>
    <w:rsid w:val="000E3DB4"/>
    <w:rsid w:val="001120BE"/>
    <w:rsid w:val="0011714D"/>
    <w:rsid w:val="00134159"/>
    <w:rsid w:val="001701B8"/>
    <w:rsid w:val="00173CA7"/>
    <w:rsid w:val="00183BB4"/>
    <w:rsid w:val="001D2091"/>
    <w:rsid w:val="001F4D2A"/>
    <w:rsid w:val="002317CB"/>
    <w:rsid w:val="00241DDA"/>
    <w:rsid w:val="002432F0"/>
    <w:rsid w:val="002614DA"/>
    <w:rsid w:val="0026325B"/>
    <w:rsid w:val="00270A06"/>
    <w:rsid w:val="00271E32"/>
    <w:rsid w:val="00276BF0"/>
    <w:rsid w:val="00282F0C"/>
    <w:rsid w:val="00296AE1"/>
    <w:rsid w:val="00297287"/>
    <w:rsid w:val="002C1AD0"/>
    <w:rsid w:val="002F0B01"/>
    <w:rsid w:val="003534A7"/>
    <w:rsid w:val="00366094"/>
    <w:rsid w:val="00392994"/>
    <w:rsid w:val="003A726E"/>
    <w:rsid w:val="003C6C4B"/>
    <w:rsid w:val="003D5ECB"/>
    <w:rsid w:val="003E5A56"/>
    <w:rsid w:val="003F6150"/>
    <w:rsid w:val="003F72E7"/>
    <w:rsid w:val="004101AD"/>
    <w:rsid w:val="00417D6D"/>
    <w:rsid w:val="00460574"/>
    <w:rsid w:val="0046118A"/>
    <w:rsid w:val="00472EF2"/>
    <w:rsid w:val="0047468E"/>
    <w:rsid w:val="00481252"/>
    <w:rsid w:val="004910E0"/>
    <w:rsid w:val="0049280E"/>
    <w:rsid w:val="00493A7E"/>
    <w:rsid w:val="004C1285"/>
    <w:rsid w:val="004D24B4"/>
    <w:rsid w:val="004D3D7A"/>
    <w:rsid w:val="004F56D2"/>
    <w:rsid w:val="00506955"/>
    <w:rsid w:val="005176B0"/>
    <w:rsid w:val="00521835"/>
    <w:rsid w:val="00556A56"/>
    <w:rsid w:val="00570B09"/>
    <w:rsid w:val="00573071"/>
    <w:rsid w:val="00584EC3"/>
    <w:rsid w:val="005B4AE0"/>
    <w:rsid w:val="005D3BE8"/>
    <w:rsid w:val="005E24F5"/>
    <w:rsid w:val="005F5A52"/>
    <w:rsid w:val="006317AB"/>
    <w:rsid w:val="00653B3B"/>
    <w:rsid w:val="00665E1D"/>
    <w:rsid w:val="006832AB"/>
    <w:rsid w:val="006839C2"/>
    <w:rsid w:val="00694F5F"/>
    <w:rsid w:val="00697D71"/>
    <w:rsid w:val="006A1A65"/>
    <w:rsid w:val="006A6349"/>
    <w:rsid w:val="006D315D"/>
    <w:rsid w:val="00722B29"/>
    <w:rsid w:val="00725817"/>
    <w:rsid w:val="00731CAC"/>
    <w:rsid w:val="007625A2"/>
    <w:rsid w:val="00784333"/>
    <w:rsid w:val="007A0DF2"/>
    <w:rsid w:val="007A451B"/>
    <w:rsid w:val="007B6DAE"/>
    <w:rsid w:val="007B72DB"/>
    <w:rsid w:val="007C5E84"/>
    <w:rsid w:val="00804CA6"/>
    <w:rsid w:val="008155C5"/>
    <w:rsid w:val="008216F4"/>
    <w:rsid w:val="00823C7E"/>
    <w:rsid w:val="00832CD0"/>
    <w:rsid w:val="0084009A"/>
    <w:rsid w:val="00844274"/>
    <w:rsid w:val="00855FBF"/>
    <w:rsid w:val="008731BE"/>
    <w:rsid w:val="0087795C"/>
    <w:rsid w:val="00880E2E"/>
    <w:rsid w:val="00891550"/>
    <w:rsid w:val="00896B5B"/>
    <w:rsid w:val="008A14B4"/>
    <w:rsid w:val="008B1380"/>
    <w:rsid w:val="008D2108"/>
    <w:rsid w:val="009021EA"/>
    <w:rsid w:val="00920A21"/>
    <w:rsid w:val="00920CA8"/>
    <w:rsid w:val="00934529"/>
    <w:rsid w:val="00935D38"/>
    <w:rsid w:val="009453F6"/>
    <w:rsid w:val="00951354"/>
    <w:rsid w:val="00960012"/>
    <w:rsid w:val="009C4BBE"/>
    <w:rsid w:val="009D4BBA"/>
    <w:rsid w:val="009F2709"/>
    <w:rsid w:val="00A140AB"/>
    <w:rsid w:val="00A25D6B"/>
    <w:rsid w:val="00A82649"/>
    <w:rsid w:val="00A833D1"/>
    <w:rsid w:val="00A97E9F"/>
    <w:rsid w:val="00AA6202"/>
    <w:rsid w:val="00AB3E6B"/>
    <w:rsid w:val="00AB65DC"/>
    <w:rsid w:val="00AC716E"/>
    <w:rsid w:val="00AC78D8"/>
    <w:rsid w:val="00AC7BAC"/>
    <w:rsid w:val="00AF1FD4"/>
    <w:rsid w:val="00B2590E"/>
    <w:rsid w:val="00B368CE"/>
    <w:rsid w:val="00B55ABD"/>
    <w:rsid w:val="00B640C0"/>
    <w:rsid w:val="00B80A2C"/>
    <w:rsid w:val="00B81B24"/>
    <w:rsid w:val="00BA25CF"/>
    <w:rsid w:val="00BC2950"/>
    <w:rsid w:val="00BF7502"/>
    <w:rsid w:val="00C260EA"/>
    <w:rsid w:val="00C27DDF"/>
    <w:rsid w:val="00C7165B"/>
    <w:rsid w:val="00C8356F"/>
    <w:rsid w:val="00C846D3"/>
    <w:rsid w:val="00C84D57"/>
    <w:rsid w:val="00C96C47"/>
    <w:rsid w:val="00CB7255"/>
    <w:rsid w:val="00CE0F81"/>
    <w:rsid w:val="00CE511B"/>
    <w:rsid w:val="00D13488"/>
    <w:rsid w:val="00D36D03"/>
    <w:rsid w:val="00D5112D"/>
    <w:rsid w:val="00D51603"/>
    <w:rsid w:val="00D92F81"/>
    <w:rsid w:val="00DA5241"/>
    <w:rsid w:val="00DA6840"/>
    <w:rsid w:val="00DD35E8"/>
    <w:rsid w:val="00DF6716"/>
    <w:rsid w:val="00E23A69"/>
    <w:rsid w:val="00E35F19"/>
    <w:rsid w:val="00E45DE9"/>
    <w:rsid w:val="00E60CE9"/>
    <w:rsid w:val="00E665A4"/>
    <w:rsid w:val="00E71FE5"/>
    <w:rsid w:val="00EC537A"/>
    <w:rsid w:val="00EC77FE"/>
    <w:rsid w:val="00EF5DE0"/>
    <w:rsid w:val="00F0767A"/>
    <w:rsid w:val="00F102D5"/>
    <w:rsid w:val="00F23167"/>
    <w:rsid w:val="00F33F15"/>
    <w:rsid w:val="00F34DCE"/>
    <w:rsid w:val="00F57011"/>
    <w:rsid w:val="00F83072"/>
    <w:rsid w:val="00FA5E96"/>
    <w:rsid w:val="00FB01F1"/>
    <w:rsid w:val="00FB1C4E"/>
    <w:rsid w:val="00FC04C3"/>
    <w:rsid w:val="00FC1C3A"/>
    <w:rsid w:val="00FC49FF"/>
    <w:rsid w:val="00FD1F58"/>
    <w:rsid w:val="00FE7F11"/>
    <w:rsid w:val="00FF2BFE"/>
    <w:rsid w:val="00FF4D3B"/>
    <w:rsid w:val="00FF54C2"/>
    <w:rsid w:val="01D10F82"/>
    <w:rsid w:val="0722140B"/>
    <w:rsid w:val="07A206BB"/>
    <w:rsid w:val="0AA468C8"/>
    <w:rsid w:val="0B411610"/>
    <w:rsid w:val="0E290D15"/>
    <w:rsid w:val="11601E23"/>
    <w:rsid w:val="13B908C7"/>
    <w:rsid w:val="14F0008B"/>
    <w:rsid w:val="181E16B3"/>
    <w:rsid w:val="19D17246"/>
    <w:rsid w:val="1A6465A1"/>
    <w:rsid w:val="1E22372F"/>
    <w:rsid w:val="21CF7098"/>
    <w:rsid w:val="26D8792F"/>
    <w:rsid w:val="273615EC"/>
    <w:rsid w:val="27E0059C"/>
    <w:rsid w:val="3345381C"/>
    <w:rsid w:val="33FD258A"/>
    <w:rsid w:val="348F0527"/>
    <w:rsid w:val="3DB233BE"/>
    <w:rsid w:val="3F5453D1"/>
    <w:rsid w:val="41AF3FB7"/>
    <w:rsid w:val="452B20CA"/>
    <w:rsid w:val="474D674C"/>
    <w:rsid w:val="477E227F"/>
    <w:rsid w:val="4A2B186E"/>
    <w:rsid w:val="4D51243A"/>
    <w:rsid w:val="5D6B13A2"/>
    <w:rsid w:val="5D991DAF"/>
    <w:rsid w:val="60C057BB"/>
    <w:rsid w:val="64EE4A99"/>
    <w:rsid w:val="66C62244"/>
    <w:rsid w:val="67D444CE"/>
    <w:rsid w:val="683673BF"/>
    <w:rsid w:val="68A02B04"/>
    <w:rsid w:val="6B140736"/>
    <w:rsid w:val="6BC05A8D"/>
    <w:rsid w:val="6EFE24FB"/>
    <w:rsid w:val="784C1F84"/>
    <w:rsid w:val="7D501F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99"/>
    <w:pPr>
      <w:tabs>
        <w:tab w:val="center" w:pos="4153"/>
        <w:tab w:val="right" w:pos="8306"/>
      </w:tabs>
      <w:snapToGrid w:val="0"/>
      <w:jc w:val="left"/>
    </w:pPr>
    <w:rPr>
      <w:sz w:val="18"/>
      <w:szCs w:val="18"/>
    </w:rPr>
  </w:style>
  <w:style w:type="paragraph" w:styleId="3">
    <w:name w:val="header"/>
    <w:basedOn w:val="1"/>
    <w:link w:val="11"/>
    <w:qFormat/>
    <w:uiPriority w:val="0"/>
    <w:pP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line number"/>
    <w:basedOn w:val="7"/>
    <w:qFormat/>
    <w:uiPriority w:val="0"/>
  </w:style>
  <w:style w:type="character" w:styleId="9">
    <w:name w:val="Hyperlink"/>
    <w:qFormat/>
    <w:uiPriority w:val="0"/>
    <w:rPr>
      <w:color w:val="0563C1"/>
      <w:u w:val="single"/>
    </w:rPr>
  </w:style>
  <w:style w:type="character" w:customStyle="1" w:styleId="10">
    <w:name w:val="页脚 字符"/>
    <w:link w:val="2"/>
    <w:qFormat/>
    <w:uiPriority w:val="99"/>
    <w:rPr>
      <w:rFonts w:ascii="Calibri" w:hAnsi="Calibri"/>
      <w:kern w:val="2"/>
      <w:sz w:val="18"/>
      <w:szCs w:val="18"/>
    </w:rPr>
  </w:style>
  <w:style w:type="character" w:customStyle="1" w:styleId="11">
    <w:name w:val="页眉 字符"/>
    <w:link w:val="3"/>
    <w:qFormat/>
    <w:uiPriority w:val="0"/>
    <w:rPr>
      <w:rFonts w:ascii="Calibri" w:hAnsi="Calibri"/>
      <w:kern w:val="2"/>
      <w:sz w:val="18"/>
      <w:szCs w:val="18"/>
    </w:rPr>
  </w:style>
  <w:style w:type="character" w:customStyle="1" w:styleId="12">
    <w:name w:val="未处理的提及1"/>
    <w:semiHidden/>
    <w:unhideWhenUsed/>
    <w:qFormat/>
    <w:uiPriority w:val="99"/>
    <w:rPr>
      <w:color w:val="605E5C"/>
      <w:shd w:val="clear" w:color="auto" w:fill="E1DFDD"/>
    </w:rPr>
  </w:style>
  <w:style w:type="paragraph" w:customStyle="1" w:styleId="13">
    <w:name w:val="书目1"/>
    <w:basedOn w:val="1"/>
    <w:next w:val="1"/>
    <w:unhideWhenUsed/>
    <w:qFormat/>
    <w:uiPriority w:val="37"/>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30.jpeg"/><Relationship Id="rId33" Type="http://schemas.openxmlformats.org/officeDocument/2006/relationships/image" Target="media/image29.jpeg"/><Relationship Id="rId32" Type="http://schemas.openxmlformats.org/officeDocument/2006/relationships/image" Target="media/image28.jpeg"/><Relationship Id="rId31" Type="http://schemas.openxmlformats.org/officeDocument/2006/relationships/image" Target="media/image27.jpeg"/><Relationship Id="rId30" Type="http://schemas.openxmlformats.org/officeDocument/2006/relationships/image" Target="media/image26.jpe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jpe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jpeg"/><Relationship Id="rId22" Type="http://schemas.openxmlformats.org/officeDocument/2006/relationships/image" Target="media/image18.pn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D592B-5D78-4B57-AADD-C76BFC1918C4}">
  <ds:schemaRefs/>
</ds:datastoreItem>
</file>

<file path=docProps/app.xml><?xml version="1.0" encoding="utf-8"?>
<Properties xmlns="http://schemas.openxmlformats.org/officeDocument/2006/extended-properties" xmlns:vt="http://schemas.openxmlformats.org/officeDocument/2006/docPropsVTypes">
  <Template>Normal</Template>
  <Pages>23</Pages>
  <Words>712</Words>
  <Characters>4178</Characters>
  <Lines>344</Lines>
  <Paragraphs>96</Paragraphs>
  <TotalTime>52</TotalTime>
  <ScaleCrop>false</ScaleCrop>
  <LinksUpToDate>false</LinksUpToDate>
  <CharactersWithSpaces>4814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2026-02-02T06:35:00Z</dcterms:created>
  <dc:creator>戴尔</dc:creator>
  <cp:lastModifiedBy>韩皮皮我们走</cp:lastModifiedBy>
  <dcterms:modified xsi:type="dcterms:W3CDTF">2026-02-20T09:51:02Z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eyJoZGlkIjoiMjc0MzA0NTI2ZjBkNjc0OTNmOTk1MTJlZTJmMjhhMDYiLCJ1c2VySWQiOiIzNzEwMDc4ODEifQ==</vt:lpwstr>
  </property>
  <property fmtid="{D5CDD505-2E9C-101B-9397-08002B2CF9AE}" pid="4" name="ICV">
    <vt:lpwstr>03FDF98EC2E340E68DB6FC9BDEB1372F_12</vt:lpwstr>
  </property>
  <property fmtid="{D5CDD505-2E9C-101B-9397-08002B2CF9AE}" pid="5" name="GrammarlyDocumentId">
    <vt:lpwstr>cb320990-91fe-4a2e-8202-1dfc81d6659a</vt:lpwstr>
  </property>
  <property fmtid="{D5CDD505-2E9C-101B-9397-08002B2CF9AE}" pid="6" name="ZOTERO_PREF_1">
    <vt:lpwstr>&lt;data data-version="3" zotero-version="8.0-beta.25+145fbfa19"&gt;&lt;session id="Zopva2TI"/&gt;&lt;style id="http://www.zotero.org/styles/journal-of-nanobiotechnology" hasBibliography="1" bibliographyStyleHasBeenSet="1"/&gt;&lt;prefs&gt;&lt;pref name="fieldType" value="Field"/&gt;&lt;</vt:lpwstr>
  </property>
  <property fmtid="{D5CDD505-2E9C-101B-9397-08002B2CF9AE}" pid="7" name="ZOTERO_PREF_2">
    <vt:lpwstr>/prefs&gt;&lt;/data&gt;</vt:lpwstr>
  </property>
</Properties>
</file>