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wdp" ContentType="image/vnd.ms-photo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6A4BF">
      <w:pPr>
        <w:pStyle w:val="7"/>
        <w:spacing w:before="0" w:line="360" w:lineRule="auto"/>
        <w:jc w:val="center"/>
        <w:rPr>
          <w:rFonts w:ascii="Times New Roman" w:hAnsi="Times New Roman" w:cs="Times New Roman" w:eastAsiaTheme="minorEastAsia"/>
          <w:b/>
          <w:bCs/>
          <w:color w:val="auto"/>
          <w:kern w:val="2"/>
          <w:sz w:val="28"/>
          <w14:ligatures w14:val="standardContextual"/>
        </w:rPr>
      </w:pPr>
      <w:r>
        <w:rPr>
          <w:rFonts w:hint="eastAsia" w:ascii="Times New Roman" w:hAnsi="Times New Roman" w:cs="Times New Roman" w:eastAsiaTheme="minorEastAsia"/>
          <w:b/>
          <w:bCs/>
          <w:color w:val="auto"/>
          <w:kern w:val="2"/>
          <w:sz w:val="28"/>
          <w14:ligatures w14:val="standardContextual"/>
        </w:rPr>
        <w:t>Supporting Information</w:t>
      </w:r>
    </w:p>
    <w:p w14:paraId="2C5B14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139055" cy="3886200"/>
            <wp:effectExtent l="0" t="0" r="4445" b="0"/>
            <wp:docPr id="1124088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88626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7" r="13343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CF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S1. The chemical synthesis pathway of cRCAP.</w:t>
      </w:r>
    </w:p>
    <w:p w14:paraId="156365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3850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054600" cy="3537585"/>
            <wp:effectExtent l="0" t="0" r="0" b="5715"/>
            <wp:docPr id="16447357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35700" name="图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90" r="12037"/>
                    <a:stretch>
                      <a:fillRect/>
                    </a:stretch>
                  </pic:blipFill>
                  <pic:spPr>
                    <a:xfrm>
                      <a:off x="0" y="0"/>
                      <a:ext cx="5055529" cy="35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8FF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S2. 1H NMR spectrum of CS, CS-cys, CA and cRCAP.</w:t>
      </w:r>
    </w:p>
    <w:p w14:paraId="3F2394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F8C0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745990" cy="1844040"/>
            <wp:effectExtent l="0" t="0" r="3810" b="10160"/>
            <wp:docPr id="17486444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44476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7" t="23707" r="4115" b="14089"/>
                    <a:stretch>
                      <a:fillRect/>
                    </a:stretch>
                  </pic:blipFill>
                  <pic:spPr>
                    <a:xfrm>
                      <a:off x="0" y="0"/>
                      <a:ext cx="4746405" cy="184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FA1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S3.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>
        <w:rPr>
          <w:rFonts w:ascii="Times New Roman" w:hAnsi="Times New Roman" w:cs="Times New Roman"/>
          <w:sz w:val="24"/>
          <w:szCs w:val="24"/>
        </w:rPr>
        <w:t>F NMR spectrum of CA and CAP.</w:t>
      </w:r>
    </w:p>
    <w:p w14:paraId="6EA6B5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8DE9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273425"/>
            <wp:effectExtent l="0" t="0" r="889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sharpenSoften amount="80000"/>
                              </a14:imgEffect>
                            </a14:imgLayer>
                          </a14:imgProps>
                        </a:ext>
                      </a:extLst>
                    </a:blip>
                    <a:srcRect b="4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69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S4. FT-IR spectra of CS, CS-cys, CA and CAP.</w:t>
      </w:r>
    </w:p>
    <w:p w14:paraId="4AE4F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3702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321300" cy="4907915"/>
            <wp:effectExtent l="0" t="0" r="0" b="6985"/>
            <wp:docPr id="14262569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5696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8" r="22484"/>
                    <a:stretch>
                      <a:fillRect/>
                    </a:stretch>
                  </pic:blipFill>
                  <pic:spPr>
                    <a:xfrm>
                      <a:off x="0" y="0"/>
                      <a:ext cx="5329285" cy="491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A63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hint="eastAsia"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Stability and redox-sensitive size change of the micelles measured by DLS. (A-C) Size distribution of CAP micelle (A), cRCAP micelle (B) and cRCAPD micelle (C). Size distribution of cRCAP micelle after incubation with PBS (D),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0.9% Na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(E) an</w:t>
      </w:r>
      <w:r>
        <w:rPr>
          <w:rFonts w:ascii="Times New Roman" w:hAnsi="Times New Roman" w:cs="Times New Roman"/>
          <w:sz w:val="24"/>
          <w:szCs w:val="24"/>
          <w:highlight w:val="yellow"/>
        </w:rPr>
        <w:t>d 10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% FBS </w:t>
      </w:r>
      <w:r>
        <w:rPr>
          <w:rFonts w:ascii="Times New Roman" w:hAnsi="Times New Roman" w:cs="Times New Roman"/>
          <w:sz w:val="24"/>
          <w:szCs w:val="24"/>
        </w:rPr>
        <w:t xml:space="preserve">(F) for 12 h. (G)Size distribution of cRCAP micelle after 100, 500, and 1000-fold dilution. Size distribution of cRCAP micelle after incubation with PBS (pH=7.4) (H), 20 </w:t>
      </w:r>
      <w:r>
        <w:rPr>
          <w:rFonts w:ascii="Times New Roman" w:hAnsi="Times New Roman" w:cs="Times New Roman"/>
          <w:sz w:val="24"/>
          <w:szCs w:val="24"/>
          <w:lang w:val="el-GR"/>
        </w:rPr>
        <w:t>μ</w:t>
      </w:r>
      <w:r>
        <w:rPr>
          <w:rFonts w:ascii="Times New Roman" w:hAnsi="Times New Roman" w:cs="Times New Roman"/>
          <w:sz w:val="24"/>
          <w:szCs w:val="24"/>
        </w:rPr>
        <w:t>M DTT in PBS (pH=7.4) (I) and 20 mM DTT in PBS (pH=7.4) (J)  at different time points.</w:t>
      </w:r>
    </w:p>
    <w:p w14:paraId="0D696C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5274310" cy="1202055"/>
            <wp:effectExtent l="0" t="0" r="8890" b="3810"/>
            <wp:docPr id="803416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1652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366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Figure S6. </w:t>
      </w:r>
      <w:r>
        <w:rPr>
          <w:rFonts w:ascii="Times New Roman" w:hAnsi="Times New Roman" w:cs="Times New Roman"/>
          <w:sz w:val="24"/>
          <w:szCs w:val="24"/>
        </w:rPr>
        <w:t xml:space="preserve">Size </w:t>
      </w:r>
      <w:r>
        <w:rPr>
          <w:rFonts w:hint="eastAsia" w:ascii="Times New Roman" w:hAnsi="Times New Roman" w:cs="Times New Roman"/>
          <w:sz w:val="24"/>
          <w:szCs w:val="24"/>
        </w:rPr>
        <w:t>and PDI</w:t>
      </w:r>
      <w:r>
        <w:rPr>
          <w:rFonts w:ascii="Times New Roman" w:hAnsi="Times New Roman" w:cs="Times New Roman"/>
          <w:sz w:val="24"/>
          <w:szCs w:val="24"/>
        </w:rPr>
        <w:t xml:space="preserve"> of cRCAP micelle after incubation with PBS (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  <w:highlight w:val="yellow"/>
        </w:rPr>
        <w:t>0.9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% Na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highlight w:val="yellow"/>
        </w:rPr>
        <w:t>l (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>B</w:t>
      </w:r>
      <w:r>
        <w:rPr>
          <w:rFonts w:ascii="Times New Roman" w:hAnsi="Times New Roman" w:cs="Times New Roman"/>
          <w:sz w:val="24"/>
          <w:szCs w:val="24"/>
          <w:highlight w:val="yellow"/>
        </w:rPr>
        <w:t>) and 10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% FBS (</w:t>
      </w:r>
      <w:r>
        <w:rPr>
          <w:rFonts w:hint="eastAsia"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for 12 h.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Size distribution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and PDI </w:t>
      </w:r>
      <w:r>
        <w:rPr>
          <w:rFonts w:ascii="Times New Roman" w:hAnsi="Times New Roman" w:cs="Times New Roman"/>
          <w:sz w:val="24"/>
          <w:szCs w:val="24"/>
        </w:rPr>
        <w:t>of cRCAP micelle after 100, 500, and 1000-fold dilution.</w:t>
      </w:r>
    </w:p>
    <w:p w14:paraId="2060EB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4348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424045" cy="3145155"/>
            <wp:effectExtent l="0" t="0" r="825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8594" cy="314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DC4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Figure S7.  (A)TEM images of the cRCAPD on day 1, 3, 5, and 7 </w:t>
      </w:r>
      <w:r>
        <w:rPr>
          <w:rFonts w:ascii="Times New Roman" w:hAnsi="Times New Roman" w:cs="Times New Roman"/>
          <w:sz w:val="24"/>
          <w:szCs w:val="24"/>
        </w:rPr>
        <w:t xml:space="preserve">(scale bar: </w:t>
      </w:r>
      <w:r>
        <w:rPr>
          <w:rFonts w:hint="eastAsia" w:ascii="Times New Roman" w:hAnsi="Times New Roman" w:cs="Times New Roman"/>
          <w:sz w:val="24"/>
          <w:szCs w:val="24"/>
        </w:rPr>
        <w:t xml:space="preserve">200 </w:t>
      </w:r>
      <w:r>
        <w:rPr>
          <w:rFonts w:ascii="Times New Roman" w:hAnsi="Times New Roman" w:cs="Times New Roman"/>
          <w:sz w:val="24"/>
          <w:szCs w:val="24"/>
        </w:rPr>
        <w:t>μm).</w:t>
      </w:r>
      <w:r>
        <w:rPr>
          <w:rFonts w:hint="eastAsia" w:ascii="Times New Roman" w:hAnsi="Times New Roman" w:cs="Times New Roman"/>
          <w:sz w:val="24"/>
          <w:szCs w:val="24"/>
        </w:rPr>
        <w:t>(B) The leakage rate of DTX from cRCAPD on days 1, 3, 5, and 7. (C) The peptide shedding rates of cRCAPD on days 1, 3, 5, and 7.</w:t>
      </w:r>
    </w:p>
    <w:p w14:paraId="3B7F34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205E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E91F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37050" cy="1889125"/>
            <wp:effectExtent l="0" t="0" r="6350" b="3175"/>
            <wp:docPr id="14325912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591251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5" t="12206" r="8423" b="19699"/>
                    <a:stretch>
                      <a:fillRect/>
                    </a:stretch>
                  </pic:blipFill>
                  <pic:spPr>
                    <a:xfrm>
                      <a:off x="0" y="0"/>
                      <a:ext cx="4343136" cy="189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D5E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hint="eastAsia"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TEM images of cRCAP/DTX after incubation in PBS solution (A) and PBS solution containing 20 mM DTT (B).</w:t>
      </w:r>
    </w:p>
    <w:p w14:paraId="1CAA4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6A9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5274310" cy="1495425"/>
            <wp:effectExtent l="0" t="0" r="8890" b="3175"/>
            <wp:docPr id="4632729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7297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87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Figure S9. The types of ROS of (a) the superoxide radicals, (b) the singlet oxygen, and (c) the hydroxyl radicals produced by different preparations using the ESR detection method.</w:t>
      </w:r>
    </w:p>
    <w:p w14:paraId="105A94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2280285" cy="1702435"/>
            <wp:effectExtent l="0" t="0" r="0" b="0"/>
            <wp:docPr id="6418424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42446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0402" cy="170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D4B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Figure S10. The fluorescent quantification plot of the cellular uptake in A549 cells. </w:t>
      </w:r>
    </w:p>
    <w:p w14:paraId="1382A67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9AB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80BF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81500" cy="1282700"/>
            <wp:effectExtent l="0" t="0" r="0" b="0"/>
            <wp:docPr id="44842450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24508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2" t="29122" r="9025" b="27623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423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hint="eastAsia"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CLSM images of A549 cells incubated with cRCAP/C6 NPs after saturation with CD44 and αvβ3 receptors.</w:t>
      </w:r>
    </w:p>
    <w:p w14:paraId="4400D5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6F1708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61BCF0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2862C7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5274310" cy="2085975"/>
            <wp:effectExtent l="0" t="0" r="0" b="0"/>
            <wp:docPr id="14972508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50866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676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Figure S12. The cytotoxicity of LLC cells and MRC-5 cells after incubating with different formulations.</w:t>
      </w:r>
    </w:p>
    <w:p w14:paraId="7175410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3297555" cy="3065780"/>
            <wp:effectExtent l="0" t="0" r="0" b="0"/>
            <wp:docPr id="12325495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49510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rcRect l="6059" t="4379" r="7504" b="43621"/>
                    <a:stretch>
                      <a:fillRect/>
                    </a:stretch>
                  </pic:blipFill>
                  <pic:spPr>
                    <a:xfrm>
                      <a:off x="0" y="0"/>
                      <a:ext cx="3301900" cy="30700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DD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Figure S13. The production of ROS in different groups at different time points after incubating with A549 cells.</w:t>
      </w:r>
    </w:p>
    <w:p w14:paraId="57EE86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00195" cy="1780540"/>
            <wp:effectExtent l="0" t="0" r="1905" b="10160"/>
            <wp:docPr id="1104714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1495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l="1804" t="37263" r="20398" b="11603"/>
                    <a:stretch>
                      <a:fillRect/>
                    </a:stretch>
                  </pic:blipFill>
                  <pic:spPr>
                    <a:xfrm>
                      <a:off x="0" y="0"/>
                      <a:ext cx="4103283" cy="1781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02C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hint="eastAsia"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Western blot analysis of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ystem </w:t>
      </w:r>
      <w:r>
        <w:rPr>
          <w:rFonts w:hint="eastAsia"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(X-CT) and </w:t>
      </w:r>
      <w:r>
        <w:rPr>
          <w:rFonts w:ascii="Times New Roman" w:hAnsi="Times New Roman" w:cs="Times New Roman"/>
          <w:sz w:val="24"/>
          <w:szCs w:val="24"/>
        </w:rPr>
        <w:t>GPX4 protein expression after different treatments.</w:t>
      </w:r>
    </w:p>
    <w:p w14:paraId="76F734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2584450" cy="2987040"/>
            <wp:effectExtent l="0" t="0" r="0" b="0"/>
            <wp:docPr id="1980352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52453" name="图片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709" cy="298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FEB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highlight w:val="yellow"/>
        </w:rPr>
        <w:t xml:space="preserve">Figure S15.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Relative level of 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>HMGB1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in 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>A549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cells subjected to distinct treatments (n = 3).</w:t>
      </w:r>
    </w:p>
    <w:p w14:paraId="3FD409EA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14:ligatures w14:val="none"/>
        </w:rPr>
        <w:drawing>
          <wp:inline distT="0" distB="0" distL="0" distR="0">
            <wp:extent cx="4211320" cy="1394460"/>
            <wp:effectExtent l="0" t="0" r="5080" b="2540"/>
            <wp:docPr id="6971006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0065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113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D2D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highlight w:val="yellow"/>
        </w:rPr>
        <w:t>Figure S16.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(A) Western blot analysis of GPX4 protein expression after different treatments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 xml:space="preserve"> in nude mice</w:t>
      </w:r>
      <w:r>
        <w:rPr>
          <w:rFonts w:ascii="Times New Roman" w:hAnsi="Times New Roman" w:cs="Times New Roman"/>
          <w:sz w:val="24"/>
          <w:szCs w:val="24"/>
          <w:highlight w:val="yellow"/>
        </w:rPr>
        <w:t>. (B) Quantitative analysis of GPX4 protein expression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 xml:space="preserve"> in nude mice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(n = 3).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7709EE28">
      <w:pPr>
        <w:spacing w:line="360" w:lineRule="auto"/>
        <w:rPr>
          <w:rFonts w:ascii="Times New Roman" w:hAnsi="Times New Roman" w:cs="Times New Roman"/>
        </w:rPr>
      </w:pPr>
    </w:p>
    <w:p w14:paraId="53026F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14:ligatures w14:val="none"/>
        </w:rPr>
        <w:drawing>
          <wp:inline distT="0" distB="0" distL="0" distR="0">
            <wp:extent cx="5274310" cy="2262505"/>
            <wp:effectExtent l="0" t="0" r="8890" b="10795"/>
            <wp:docPr id="104263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3267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6B9E">
      <w:pPr>
        <w:spacing w:line="360" w:lineRule="auto"/>
        <w:rPr>
          <w:rFonts w:ascii="Times New Roman" w:hAnsi="Times New Roman" w:cs="Times New Roman"/>
          <w:sz w:val="24"/>
          <w:szCs w:val="28"/>
          <w:highlight w:val="yellow"/>
        </w:rPr>
      </w:pPr>
      <w:r>
        <w:rPr>
          <w:rFonts w:hint="eastAsia" w:ascii="Times New Roman" w:hAnsi="Times New Roman" w:cs="Times New Roman"/>
          <w:sz w:val="24"/>
          <w:szCs w:val="28"/>
          <w:highlight w:val="yellow"/>
        </w:rPr>
        <w:t xml:space="preserve">Figure S17. ( A)Immunofluorescence staining and semi-quantitative of ferrous ions in C57 tumor-bearing mice (scale: 100 </w:t>
      </w:r>
      <w:r>
        <w:rPr>
          <w:rFonts w:ascii="Times New Roman" w:hAnsi="Times New Roman" w:cs="Times New Roman"/>
          <w:sz w:val="24"/>
          <w:szCs w:val="28"/>
          <w:highlight w:val="yellow"/>
        </w:rPr>
        <w:t>μm). (B) Immunofluorescence staining result fo 4-HNE in C57 tumor-bearing mice (100 μm).</w:t>
      </w:r>
    </w:p>
    <w:p w14:paraId="182692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BE35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0BA0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1EBF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29C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2AF5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144F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31A856">
      <w:pPr>
        <w:spacing w:line="360" w:lineRule="auto"/>
        <w:rPr>
          <w:rFonts w:ascii="Times New Roman" w:hAnsi="Times New Roman" w:cs="Times New Roman"/>
        </w:rPr>
      </w:pPr>
    </w:p>
    <w:p w14:paraId="2A53BC29">
      <w:pPr>
        <w:spacing w:line="360" w:lineRule="auto"/>
        <w:rPr>
          <w:rFonts w:ascii="Times New Roman" w:hAnsi="Times New Roman" w:cs="Times New Roman"/>
        </w:rPr>
      </w:pPr>
    </w:p>
    <w:p w14:paraId="0F011D04">
      <w:pPr>
        <w:spacing w:line="360" w:lineRule="auto"/>
        <w:rPr>
          <w:rFonts w:ascii="Times New Roman" w:hAnsi="Times New Roman" w:cs="Times New Roman"/>
        </w:rPr>
      </w:pPr>
    </w:p>
    <w:p w14:paraId="23CFB191">
      <w:pPr>
        <w:spacing w:line="360" w:lineRule="auto"/>
        <w:rPr>
          <w:rFonts w:ascii="Times New Roman" w:hAnsi="Times New Roman" w:cs="Times New Roman"/>
        </w:rPr>
      </w:pPr>
    </w:p>
    <w:p w14:paraId="1B2DD937">
      <w:pPr>
        <w:spacing w:line="360" w:lineRule="auto"/>
        <w:rPr>
          <w:rFonts w:ascii="Times New Roman" w:hAnsi="Times New Roman" w:cs="Times New Roman"/>
        </w:rPr>
      </w:pPr>
    </w:p>
    <w:p w14:paraId="25833EDE">
      <w:pPr>
        <w:spacing w:line="360" w:lineRule="auto"/>
        <w:rPr>
          <w:rFonts w:ascii="Times New Roman" w:hAnsi="Times New Roman" w:cs="Times New Roman"/>
        </w:rPr>
      </w:pPr>
    </w:p>
    <w:p w14:paraId="69DC127B">
      <w:pPr>
        <w:spacing w:line="360" w:lineRule="auto"/>
        <w:rPr>
          <w:rFonts w:ascii="Times New Roman" w:hAnsi="Times New Roman" w:cs="Times New Roman"/>
        </w:rPr>
      </w:pPr>
    </w:p>
    <w:p w14:paraId="25246C96">
      <w:pPr>
        <w:spacing w:line="360" w:lineRule="auto"/>
        <w:rPr>
          <w:rFonts w:ascii="Times New Roman" w:hAnsi="Times New Roman" w:cs="Times New Roman"/>
        </w:rPr>
      </w:pPr>
    </w:p>
    <w:p w14:paraId="55013277">
      <w:pPr>
        <w:spacing w:line="360" w:lineRule="auto"/>
        <w:rPr>
          <w:rFonts w:ascii="Times New Roman" w:hAnsi="Times New Roman" w:cs="Times New Roman"/>
        </w:rPr>
      </w:pPr>
    </w:p>
    <w:p w14:paraId="7417417F">
      <w:pPr>
        <w:spacing w:line="360" w:lineRule="auto"/>
        <w:rPr>
          <w:rFonts w:ascii="Times New Roman" w:hAnsi="Times New Roman" w:cs="Times New Roman"/>
        </w:rPr>
      </w:pPr>
    </w:p>
    <w:p w14:paraId="04A50988">
      <w:pPr>
        <w:spacing w:line="360" w:lineRule="auto"/>
        <w:rPr>
          <w:rFonts w:ascii="Times New Roman" w:hAnsi="Times New Roman" w:cs="Times New Roman"/>
        </w:rPr>
      </w:pPr>
    </w:p>
    <w:p w14:paraId="3E13DA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BE2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97976835"/>
      <w:r>
        <w:rPr>
          <w:rFonts w:ascii="Times New Roman" w:hAnsi="Times New Roman" w:cs="Times New Roman"/>
          <w:sz w:val="24"/>
          <w:szCs w:val="24"/>
        </w:rPr>
        <w:t xml:space="preserve">Table 1. </w:t>
      </w:r>
      <w:r>
        <w:rPr>
          <w:rFonts w:ascii="Times New Roman" w:hAnsi="Times New Roman" w:cs="Times New Roman"/>
          <w:sz w:val="24"/>
          <w:szCs w:val="24"/>
          <w:highlight w:val="yellow"/>
        </w:rPr>
        <w:t>Degree of substitution (DS), ART/C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>A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ratios, particle size and PDI of CA NPs with different CS-CYS/ART feed ratios.</w:t>
      </w:r>
    </w:p>
    <w:p w14:paraId="0B49BF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91635" cy="1637030"/>
            <wp:effectExtent l="0" t="0" r="12065" b="1270"/>
            <wp:docPr id="15879584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58407" name="图片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462" b="462"/>
                    <a:stretch>
                      <a:fillRect/>
                    </a:stretch>
                  </pic:blipFill>
                  <pic:spPr>
                    <a:xfrm>
                      <a:off x="0" y="0"/>
                      <a:ext cx="4191716" cy="163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A57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2. </w:t>
      </w:r>
      <w:r>
        <w:rPr>
          <w:rFonts w:ascii="Times New Roman" w:hAnsi="Times New Roman" w:cs="Times New Roman"/>
          <w:sz w:val="24"/>
          <w:szCs w:val="24"/>
          <w:highlight w:val="yellow"/>
        </w:rPr>
        <w:t>Particle size and PDI of CAP NPs with different C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>A</w:t>
      </w:r>
      <w:r>
        <w:rPr>
          <w:rFonts w:ascii="Times New Roman" w:hAnsi="Times New Roman" w:cs="Times New Roman"/>
          <w:sz w:val="24"/>
          <w:szCs w:val="24"/>
          <w:highlight w:val="yellow"/>
        </w:rPr>
        <w:t>/PFCA feed ratios (n = 3).</w:t>
      </w:r>
    </w:p>
    <w:p w14:paraId="6A17A0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273550" cy="2647950"/>
            <wp:effectExtent l="0" t="0" r="6350" b="6350"/>
            <wp:docPr id="15269085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08528" name="图片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999" b="1999"/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2A0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3. Particle size, PDI, and Zeta potential of CAP NPs and cRCAP NPs (n = 3).</w:t>
      </w:r>
    </w:p>
    <w:p w14:paraId="594D04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62425" cy="1022350"/>
            <wp:effectExtent l="0" t="0" r="3175" b="6350"/>
            <wp:docPr id="2962251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25110" name="图片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7" t="10706" r="12520" b="59315"/>
                    <a:stretch>
                      <a:fillRect/>
                    </a:stretch>
                  </pic:blipFill>
                  <pic:spPr>
                    <a:xfrm>
                      <a:off x="0" y="0"/>
                      <a:ext cx="4164086" cy="102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2B6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4. Drug loading, encapsulation efficiency, particle size and zeta potential of cRCAPD nanoparticles with different drug-to-excipient ratios (n = 3).</w:t>
      </w:r>
    </w:p>
    <w:bookmarkEnd w:id="0"/>
    <w:p w14:paraId="4F4CC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036185" cy="1638300"/>
            <wp:effectExtent l="0" t="0" r="5715" b="0"/>
            <wp:docPr id="16130527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52742" name="图片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t="24775" r="8930" b="27095"/>
                    <a:stretch>
                      <a:fillRect/>
                    </a:stretch>
                  </pic:blipFill>
                  <pic:spPr>
                    <a:xfrm>
                      <a:off x="0" y="0"/>
                      <a:ext cx="5042796" cy="164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EA9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C21EA7"/>
    <w:rsid w:val="000128A5"/>
    <w:rsid w:val="001564B6"/>
    <w:rsid w:val="0027297C"/>
    <w:rsid w:val="003A3F38"/>
    <w:rsid w:val="00444C1C"/>
    <w:rsid w:val="00666EEE"/>
    <w:rsid w:val="007E713C"/>
    <w:rsid w:val="008C4250"/>
    <w:rsid w:val="00900A2E"/>
    <w:rsid w:val="00922C8C"/>
    <w:rsid w:val="00992DB9"/>
    <w:rsid w:val="00BD3F75"/>
    <w:rsid w:val="00C622AF"/>
    <w:rsid w:val="00E0416E"/>
    <w:rsid w:val="00EB47E1"/>
    <w:rsid w:val="00F2481C"/>
    <w:rsid w:val="05134DDA"/>
    <w:rsid w:val="0CEE0D17"/>
    <w:rsid w:val="1BB27AA1"/>
    <w:rsid w:val="1BC21EA7"/>
    <w:rsid w:val="238C7960"/>
    <w:rsid w:val="293D309F"/>
    <w:rsid w:val="37E35831"/>
    <w:rsid w:val="4D1B084E"/>
    <w:rsid w:val="5DDB1F64"/>
    <w:rsid w:val="61854552"/>
    <w:rsid w:val="720D6924"/>
    <w:rsid w:val="7A9B2D4F"/>
    <w:rsid w:val="7EB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32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Cs w:val="32"/>
      <w14:ligatures w14:val="none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  <w14:ligatures w14:val="standardContextual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microsoft.com/office/2007/relationships/hdphoto" Target="media/image5.wdp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tiff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489</Words>
  <Characters>2419</Characters>
  <Lines>103</Lines>
  <Paragraphs>27</Paragraphs>
  <TotalTime>24</TotalTime>
  <ScaleCrop>false</ScaleCrop>
  <LinksUpToDate>false</LinksUpToDate>
  <CharactersWithSpaces>2890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2026-02-13T08:29:00Z</dcterms:created>
  <dc:creator>Cathy</dc:creator>
  <cp:lastModifiedBy>Cathy</cp:lastModifiedBy>
  <dcterms:modified xsi:type="dcterms:W3CDTF">2026-03-18T03:05:35Z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A831024657FC49C2BD67DA748CA8C59F_13</vt:lpwstr>
  </property>
  <property fmtid="{D5CDD505-2E9C-101B-9397-08002B2CF9AE}" pid="4" name="KSOTemplateDocerSaveRecord">
    <vt:lpwstr>eyJoZGlkIjoiNTZlNTc0Nzg2ZjJmYzU5ZmFjMzZhZTkzZDAyYWJkODkiLCJ1c2VySWQiOiIyODI3MzQ4OTIifQ==</vt:lpwstr>
  </property>
</Properties>
</file>