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3CB28" w14:textId="149E7B13" w:rsidR="00481ED4" w:rsidRPr="00F633ED" w:rsidRDefault="003963E0" w:rsidP="00481ED4">
      <w:pPr>
        <w:spacing w:line="480" w:lineRule="auto"/>
        <w:ind w:firstLineChars="0" w:firstLine="0"/>
        <w:rPr>
          <w:b/>
          <w:bCs/>
          <w:sz w:val="24"/>
          <w:szCs w:val="24"/>
        </w:rPr>
      </w:pPr>
      <w:bookmarkStart w:id="0" w:name="_Hlk207055486"/>
      <w:bookmarkStart w:id="1" w:name="_Hlk175053644"/>
      <w:r w:rsidRPr="003963E0">
        <w:rPr>
          <w:b/>
          <w:bCs/>
          <w:sz w:val="24"/>
          <w:szCs w:val="24"/>
        </w:rPr>
        <w:t>ROS-responsive</w:t>
      </w:r>
      <w:r w:rsidR="00481ED4">
        <w:rPr>
          <w:rFonts w:hint="eastAsia"/>
          <w:b/>
          <w:bCs/>
          <w:sz w:val="24"/>
          <w:szCs w:val="24"/>
        </w:rPr>
        <w:t xml:space="preserve"> </w:t>
      </w:r>
      <w:r w:rsidR="00481ED4" w:rsidRPr="00F633ED">
        <w:rPr>
          <w:b/>
          <w:bCs/>
          <w:sz w:val="24"/>
          <w:szCs w:val="24"/>
        </w:rPr>
        <w:t>Microneedle Patch D</w:t>
      </w:r>
      <w:r w:rsidR="00481ED4" w:rsidRPr="00F633ED">
        <w:rPr>
          <w:rFonts w:hint="eastAsia"/>
          <w:b/>
          <w:bCs/>
          <w:sz w:val="24"/>
          <w:szCs w:val="24"/>
        </w:rPr>
        <w:t>eliver</w:t>
      </w:r>
      <w:r w:rsidR="00A7105F">
        <w:rPr>
          <w:rFonts w:hint="eastAsia"/>
          <w:b/>
          <w:bCs/>
          <w:sz w:val="24"/>
          <w:szCs w:val="24"/>
        </w:rPr>
        <w:t>ing</w:t>
      </w:r>
      <w:r w:rsidR="00481ED4" w:rsidRPr="00F633ED">
        <w:rPr>
          <w:b/>
          <w:bCs/>
          <w:sz w:val="24"/>
          <w:szCs w:val="24"/>
        </w:rPr>
        <w:t xml:space="preserve"> </w:t>
      </w:r>
      <w:bookmarkStart w:id="2" w:name="OLE_LINK4"/>
      <w:r w:rsidR="00481ED4" w:rsidRPr="00673CC8">
        <w:rPr>
          <w:b/>
          <w:bCs/>
          <w:sz w:val="24"/>
          <w:szCs w:val="24"/>
        </w:rPr>
        <w:t>NMN</w:t>
      </w:r>
      <w:r w:rsidR="00481ED4">
        <w:rPr>
          <w:rFonts w:hint="eastAsia"/>
          <w:b/>
          <w:bCs/>
          <w:sz w:val="24"/>
          <w:szCs w:val="24"/>
        </w:rPr>
        <w:t>@</w:t>
      </w:r>
      <w:r w:rsidR="00481ED4" w:rsidRPr="00673CC8">
        <w:rPr>
          <w:b/>
          <w:bCs/>
          <w:sz w:val="24"/>
          <w:szCs w:val="24"/>
        </w:rPr>
        <w:t>Cu/CeO₂</w:t>
      </w:r>
      <w:bookmarkEnd w:id="2"/>
      <w:r w:rsidR="00481ED4" w:rsidRPr="00F633ED">
        <w:rPr>
          <w:b/>
          <w:bCs/>
          <w:sz w:val="24"/>
          <w:szCs w:val="24"/>
        </w:rPr>
        <w:t xml:space="preserve"> Nan</w:t>
      </w:r>
      <w:r w:rsidR="00481ED4" w:rsidRPr="00F633ED">
        <w:rPr>
          <w:rFonts w:hint="eastAsia"/>
          <w:b/>
          <w:bCs/>
          <w:sz w:val="24"/>
          <w:szCs w:val="24"/>
        </w:rPr>
        <w:t>o</w:t>
      </w:r>
      <w:r w:rsidR="00481ED4" w:rsidRPr="00F633ED">
        <w:rPr>
          <w:b/>
          <w:bCs/>
          <w:sz w:val="24"/>
          <w:szCs w:val="24"/>
        </w:rPr>
        <w:t xml:space="preserve">zyme for Restoring Immune Microenvironment and Mitochondrial </w:t>
      </w:r>
      <w:bookmarkStart w:id="3" w:name="OLE_LINK5"/>
      <w:r w:rsidR="00481ED4" w:rsidRPr="00F633ED">
        <w:rPr>
          <w:b/>
          <w:bCs/>
          <w:sz w:val="24"/>
          <w:szCs w:val="24"/>
        </w:rPr>
        <w:t>Homeostasis</w:t>
      </w:r>
      <w:bookmarkEnd w:id="3"/>
      <w:r w:rsidR="00481ED4" w:rsidRPr="00F633ED">
        <w:rPr>
          <w:b/>
          <w:bCs/>
          <w:sz w:val="24"/>
          <w:szCs w:val="24"/>
        </w:rPr>
        <w:t xml:space="preserve"> to Potentiate Diabetic Wound Healing</w:t>
      </w:r>
      <w:bookmarkEnd w:id="0"/>
    </w:p>
    <w:bookmarkEnd w:id="1"/>
    <w:p w14:paraId="04F51165" w14:textId="140F9935" w:rsidR="00D642EC" w:rsidRPr="001410AB" w:rsidRDefault="00D642EC" w:rsidP="00183B75">
      <w:pPr>
        <w:spacing w:line="480" w:lineRule="auto"/>
        <w:ind w:firstLineChars="0" w:firstLine="0"/>
        <w:jc w:val="left"/>
        <w:rPr>
          <w:kern w:val="0"/>
          <w:sz w:val="24"/>
          <w:szCs w:val="24"/>
        </w:rPr>
      </w:pPr>
      <w:r w:rsidRPr="001410AB">
        <w:rPr>
          <w:rFonts w:hint="eastAsia"/>
          <w:sz w:val="24"/>
          <w:szCs w:val="24"/>
        </w:rPr>
        <w:t>Yanping</w:t>
      </w:r>
      <w:r w:rsidRPr="001410AB">
        <w:rPr>
          <w:sz w:val="24"/>
          <w:szCs w:val="24"/>
        </w:rPr>
        <w:t xml:space="preserve"> </w:t>
      </w:r>
      <w:r w:rsidRPr="001410AB">
        <w:rPr>
          <w:rFonts w:hint="eastAsia"/>
          <w:sz w:val="24"/>
          <w:szCs w:val="24"/>
        </w:rPr>
        <w:t xml:space="preserve">Wang </w:t>
      </w:r>
      <w:r w:rsidRPr="001410AB">
        <w:rPr>
          <w:sz w:val="24"/>
          <w:szCs w:val="24"/>
          <w:vertAlign w:val="superscript"/>
        </w:rPr>
        <w:t>a, 1</w:t>
      </w:r>
      <w:r w:rsidRPr="001410AB">
        <w:rPr>
          <w:sz w:val="24"/>
          <w:szCs w:val="24"/>
        </w:rPr>
        <w:t xml:space="preserve">, Zhen Liang </w:t>
      </w:r>
      <w:r w:rsidRPr="001410AB">
        <w:rPr>
          <w:rFonts w:hint="eastAsia"/>
          <w:sz w:val="24"/>
          <w:szCs w:val="24"/>
          <w:vertAlign w:val="superscript"/>
        </w:rPr>
        <w:t>a</w:t>
      </w:r>
      <w:r w:rsidRPr="001410AB">
        <w:rPr>
          <w:sz w:val="24"/>
          <w:szCs w:val="24"/>
          <w:vertAlign w:val="superscript"/>
        </w:rPr>
        <w:t>, 1</w:t>
      </w:r>
      <w:r w:rsidRPr="001410AB">
        <w:rPr>
          <w:rFonts w:hint="eastAsia"/>
          <w:sz w:val="24"/>
          <w:szCs w:val="24"/>
          <w:vertAlign w:val="superscript"/>
        </w:rPr>
        <w:t xml:space="preserve">, </w:t>
      </w:r>
      <w:r w:rsidRPr="001410AB">
        <w:rPr>
          <w:kern w:val="0"/>
          <w:sz w:val="24"/>
          <w:szCs w:val="24"/>
          <w:vertAlign w:val="superscript"/>
        </w:rPr>
        <w:t>*</w:t>
      </w:r>
      <w:r w:rsidRPr="001410AB">
        <w:rPr>
          <w:sz w:val="24"/>
          <w:szCs w:val="24"/>
        </w:rPr>
        <w:t>,</w:t>
      </w:r>
      <w:r w:rsidRPr="001410AB">
        <w:rPr>
          <w:rFonts w:hint="eastAsia"/>
          <w:sz w:val="24"/>
          <w:szCs w:val="24"/>
        </w:rPr>
        <w:t xml:space="preserve"> Xianghao Xu</w:t>
      </w:r>
      <w:r>
        <w:rPr>
          <w:rFonts w:hint="eastAsia"/>
          <w:sz w:val="24"/>
          <w:szCs w:val="24"/>
        </w:rPr>
        <w:t xml:space="preserve"> </w:t>
      </w:r>
      <w:r w:rsidRPr="001410AB">
        <w:rPr>
          <w:sz w:val="24"/>
          <w:szCs w:val="24"/>
          <w:vertAlign w:val="superscript"/>
        </w:rPr>
        <w:t>a, 1</w:t>
      </w:r>
      <w:r w:rsidRPr="001410AB">
        <w:rPr>
          <w:sz w:val="24"/>
          <w:szCs w:val="24"/>
        </w:rPr>
        <w:t xml:space="preserve">, Yanan Gu </w:t>
      </w:r>
      <w:r w:rsidRPr="001410AB">
        <w:rPr>
          <w:sz w:val="24"/>
          <w:szCs w:val="24"/>
          <w:vertAlign w:val="superscript"/>
        </w:rPr>
        <w:t>a</w:t>
      </w:r>
      <w:r w:rsidRPr="001410AB">
        <w:rPr>
          <w:sz w:val="24"/>
          <w:szCs w:val="24"/>
        </w:rPr>
        <w:t>,</w:t>
      </w:r>
      <w:r w:rsidRPr="001410AB">
        <w:rPr>
          <w:rFonts w:hint="eastAsia"/>
          <w:sz w:val="24"/>
          <w:szCs w:val="24"/>
        </w:rPr>
        <w:t xml:space="preserve"> Yutao Li</w:t>
      </w:r>
      <w:r w:rsidRPr="001410AB">
        <w:rPr>
          <w:sz w:val="24"/>
          <w:szCs w:val="24"/>
        </w:rPr>
        <w:t xml:space="preserve"> </w:t>
      </w:r>
      <w:r w:rsidRPr="001410AB">
        <w:rPr>
          <w:sz w:val="24"/>
          <w:szCs w:val="24"/>
          <w:vertAlign w:val="superscript"/>
        </w:rPr>
        <w:t>a</w:t>
      </w:r>
      <w:r w:rsidRPr="001410AB">
        <w:rPr>
          <w:sz w:val="24"/>
          <w:szCs w:val="24"/>
        </w:rPr>
        <w:t xml:space="preserve">, </w:t>
      </w:r>
      <w:bookmarkStart w:id="4" w:name="_Hlk200378322"/>
      <w:r w:rsidRPr="001410AB">
        <w:rPr>
          <w:rFonts w:hint="eastAsia"/>
          <w:sz w:val="24"/>
          <w:szCs w:val="24"/>
        </w:rPr>
        <w:t>Hongrui Sun</w:t>
      </w:r>
      <w:r w:rsidRPr="001410AB">
        <w:rPr>
          <w:sz w:val="24"/>
          <w:szCs w:val="24"/>
        </w:rPr>
        <w:t xml:space="preserve"> </w:t>
      </w:r>
      <w:r w:rsidRPr="001410AB">
        <w:rPr>
          <w:rFonts w:hint="eastAsia"/>
          <w:sz w:val="24"/>
          <w:szCs w:val="24"/>
          <w:vertAlign w:val="superscript"/>
        </w:rPr>
        <w:t>b</w:t>
      </w:r>
      <w:bookmarkEnd w:id="4"/>
      <w:r w:rsidRPr="001410AB">
        <w:rPr>
          <w:sz w:val="24"/>
          <w:szCs w:val="24"/>
        </w:rPr>
        <w:t xml:space="preserve">, </w:t>
      </w:r>
      <w:r w:rsidRPr="001410AB">
        <w:rPr>
          <w:rFonts w:hint="eastAsia"/>
          <w:sz w:val="24"/>
          <w:szCs w:val="24"/>
        </w:rPr>
        <w:t>Zhou Yu</w:t>
      </w:r>
      <w:r w:rsidRPr="001410AB">
        <w:rPr>
          <w:sz w:val="24"/>
          <w:szCs w:val="24"/>
        </w:rPr>
        <w:t xml:space="preserve"> </w:t>
      </w:r>
      <w:r w:rsidRPr="001410AB">
        <w:rPr>
          <w:sz w:val="24"/>
          <w:szCs w:val="24"/>
          <w:vertAlign w:val="superscript"/>
        </w:rPr>
        <w:t>a</w:t>
      </w:r>
      <w:r w:rsidRPr="001410AB">
        <w:rPr>
          <w:sz w:val="24"/>
          <w:szCs w:val="24"/>
        </w:rPr>
        <w:t xml:space="preserve">, Baolin Guo </w:t>
      </w:r>
      <w:r w:rsidRPr="001410AB">
        <w:rPr>
          <w:rFonts w:hint="eastAsia"/>
          <w:kern w:val="0"/>
          <w:sz w:val="24"/>
          <w:szCs w:val="24"/>
          <w:vertAlign w:val="superscript"/>
        </w:rPr>
        <w:t>b</w:t>
      </w:r>
      <w:r w:rsidRPr="001410AB">
        <w:rPr>
          <w:kern w:val="0"/>
          <w:sz w:val="24"/>
          <w:szCs w:val="24"/>
          <w:vertAlign w:val="superscript"/>
        </w:rPr>
        <w:t xml:space="preserve">, </w:t>
      </w:r>
      <w:r w:rsidRPr="001410AB">
        <w:rPr>
          <w:rFonts w:hint="eastAsia"/>
          <w:kern w:val="0"/>
          <w:sz w:val="24"/>
          <w:szCs w:val="24"/>
          <w:vertAlign w:val="superscript"/>
        </w:rPr>
        <w:t>c</w:t>
      </w:r>
      <w:r w:rsidRPr="001410AB">
        <w:rPr>
          <w:kern w:val="0"/>
          <w:sz w:val="24"/>
          <w:szCs w:val="24"/>
          <w:vertAlign w:val="superscript"/>
        </w:rPr>
        <w:t xml:space="preserve">, </w:t>
      </w:r>
      <w:r w:rsidRPr="001410AB">
        <w:rPr>
          <w:rFonts w:hint="eastAsia"/>
          <w:kern w:val="0"/>
          <w:sz w:val="24"/>
          <w:szCs w:val="24"/>
          <w:vertAlign w:val="superscript"/>
        </w:rPr>
        <w:t>e</w:t>
      </w:r>
      <w:r w:rsidRPr="001410AB">
        <w:rPr>
          <w:kern w:val="0"/>
          <w:sz w:val="24"/>
          <w:szCs w:val="24"/>
          <w:vertAlign w:val="superscript"/>
        </w:rPr>
        <w:t>, *</w:t>
      </w:r>
      <w:r w:rsidRPr="001410AB">
        <w:rPr>
          <w:rFonts w:hint="eastAsia"/>
          <w:kern w:val="0"/>
          <w:sz w:val="24"/>
          <w:szCs w:val="24"/>
        </w:rPr>
        <w:t xml:space="preserve">, </w:t>
      </w:r>
      <w:r w:rsidRPr="001410AB">
        <w:rPr>
          <w:sz w:val="24"/>
          <w:szCs w:val="24"/>
        </w:rPr>
        <w:t>Xin Zhao</w:t>
      </w:r>
      <w:r w:rsidRPr="001410AB">
        <w:rPr>
          <w:sz w:val="24"/>
          <w:szCs w:val="24"/>
          <w:vertAlign w:val="superscript"/>
        </w:rPr>
        <w:t xml:space="preserve"> </w:t>
      </w:r>
      <w:r w:rsidRPr="001410AB">
        <w:rPr>
          <w:rFonts w:hint="eastAsia"/>
          <w:sz w:val="24"/>
          <w:szCs w:val="24"/>
          <w:vertAlign w:val="superscript"/>
        </w:rPr>
        <w:t>b</w:t>
      </w:r>
      <w:r w:rsidRPr="001410AB">
        <w:rPr>
          <w:kern w:val="0"/>
          <w:sz w:val="24"/>
          <w:szCs w:val="24"/>
          <w:vertAlign w:val="superscript"/>
        </w:rPr>
        <w:t xml:space="preserve">, </w:t>
      </w:r>
      <w:r w:rsidRPr="001410AB">
        <w:rPr>
          <w:rFonts w:hint="eastAsia"/>
          <w:kern w:val="0"/>
          <w:sz w:val="24"/>
          <w:szCs w:val="24"/>
          <w:vertAlign w:val="superscript"/>
        </w:rPr>
        <w:t>d</w:t>
      </w:r>
      <w:r w:rsidRPr="001410AB">
        <w:rPr>
          <w:kern w:val="0"/>
          <w:sz w:val="24"/>
          <w:szCs w:val="24"/>
          <w:vertAlign w:val="superscript"/>
        </w:rPr>
        <w:t xml:space="preserve"> *</w:t>
      </w:r>
      <w:r w:rsidRPr="001410AB">
        <w:rPr>
          <w:kern w:val="0"/>
          <w:sz w:val="24"/>
          <w:szCs w:val="24"/>
        </w:rPr>
        <w:t>,</w:t>
      </w:r>
      <w:r w:rsidRPr="001410AB">
        <w:rPr>
          <w:rFonts w:hint="eastAsia"/>
          <w:kern w:val="0"/>
          <w:sz w:val="24"/>
          <w:szCs w:val="24"/>
        </w:rPr>
        <w:t xml:space="preserve"> </w:t>
      </w:r>
      <w:proofErr w:type="spellStart"/>
      <w:r w:rsidRPr="001410AB">
        <w:rPr>
          <w:sz w:val="24"/>
          <w:szCs w:val="24"/>
        </w:rPr>
        <w:t>Bao</w:t>
      </w:r>
      <w:r w:rsidRPr="001410AB">
        <w:rPr>
          <w:rFonts w:hint="eastAsia"/>
          <w:sz w:val="24"/>
          <w:szCs w:val="24"/>
        </w:rPr>
        <w:t>qiang</w:t>
      </w:r>
      <w:proofErr w:type="spellEnd"/>
      <w:r w:rsidRPr="001410AB">
        <w:rPr>
          <w:sz w:val="24"/>
          <w:szCs w:val="24"/>
        </w:rPr>
        <w:t xml:space="preserve"> </w:t>
      </w:r>
      <w:r w:rsidRPr="001410AB">
        <w:rPr>
          <w:rFonts w:hint="eastAsia"/>
          <w:sz w:val="24"/>
          <w:szCs w:val="24"/>
        </w:rPr>
        <w:t>S</w:t>
      </w:r>
      <w:r w:rsidRPr="001410AB">
        <w:rPr>
          <w:sz w:val="24"/>
          <w:szCs w:val="24"/>
        </w:rPr>
        <w:t>o</w:t>
      </w:r>
      <w:r w:rsidRPr="001410AB">
        <w:rPr>
          <w:rFonts w:hint="eastAsia"/>
          <w:sz w:val="24"/>
          <w:szCs w:val="24"/>
        </w:rPr>
        <w:t>ng</w:t>
      </w:r>
      <w:r w:rsidRPr="001410AB">
        <w:rPr>
          <w:sz w:val="24"/>
          <w:szCs w:val="24"/>
        </w:rPr>
        <w:t xml:space="preserve"> </w:t>
      </w:r>
      <w:r w:rsidRPr="001410AB">
        <w:rPr>
          <w:kern w:val="0"/>
          <w:sz w:val="24"/>
          <w:szCs w:val="24"/>
          <w:vertAlign w:val="superscript"/>
        </w:rPr>
        <w:t>a</w:t>
      </w:r>
      <w:r w:rsidRPr="001410AB">
        <w:rPr>
          <w:rFonts w:hint="eastAsia"/>
          <w:kern w:val="0"/>
          <w:sz w:val="24"/>
          <w:szCs w:val="24"/>
          <w:vertAlign w:val="superscript"/>
        </w:rPr>
        <w:t>,</w:t>
      </w:r>
      <w:r w:rsidRPr="001410AB">
        <w:rPr>
          <w:kern w:val="0"/>
          <w:sz w:val="24"/>
          <w:szCs w:val="24"/>
          <w:vertAlign w:val="superscript"/>
        </w:rPr>
        <w:t xml:space="preserve"> </w:t>
      </w:r>
      <w:r w:rsidR="0052374D">
        <w:rPr>
          <w:kern w:val="0"/>
          <w:sz w:val="24"/>
          <w:szCs w:val="24"/>
          <w:vertAlign w:val="superscript"/>
        </w:rPr>
        <w:t>*</w:t>
      </w:r>
    </w:p>
    <w:p w14:paraId="0368B3EF" w14:textId="77777777" w:rsidR="00183B75" w:rsidRPr="00D02673" w:rsidRDefault="00183B75" w:rsidP="00183B75">
      <w:pPr>
        <w:spacing w:line="480" w:lineRule="auto"/>
        <w:ind w:firstLineChars="0" w:firstLine="0"/>
        <w:rPr>
          <w:sz w:val="24"/>
          <w:szCs w:val="24"/>
        </w:rPr>
      </w:pPr>
      <w:r w:rsidRPr="00D02673">
        <w:rPr>
          <w:sz w:val="24"/>
          <w:szCs w:val="24"/>
          <w:vertAlign w:val="superscript"/>
        </w:rPr>
        <w:t>a</w:t>
      </w:r>
      <w:r w:rsidRPr="00D02673">
        <w:rPr>
          <w:sz w:val="24"/>
          <w:szCs w:val="24"/>
        </w:rPr>
        <w:t xml:space="preserve"> Department of Plastic Surgery, Xijing Hospital, Fourth Military Medical University, Xi'an 710032, China</w:t>
      </w:r>
    </w:p>
    <w:p w14:paraId="62CB88E7" w14:textId="77777777" w:rsidR="00183B75" w:rsidRPr="00D02673" w:rsidRDefault="00183B75" w:rsidP="00183B75">
      <w:pPr>
        <w:spacing w:line="480" w:lineRule="auto"/>
        <w:ind w:firstLineChars="0" w:firstLine="0"/>
        <w:rPr>
          <w:sz w:val="24"/>
          <w:szCs w:val="24"/>
        </w:rPr>
      </w:pPr>
      <w:r w:rsidRPr="00D02673">
        <w:rPr>
          <w:sz w:val="24"/>
          <w:szCs w:val="24"/>
          <w:vertAlign w:val="superscript"/>
        </w:rPr>
        <w:t xml:space="preserve">b </w:t>
      </w:r>
      <w:r w:rsidRPr="00D02673">
        <w:rPr>
          <w:sz w:val="24"/>
          <w:szCs w:val="24"/>
        </w:rPr>
        <w:t>State Key Laboratory for Mechanical Behavior of Materials, and Frontier Institute of Science and Technology, Xi'an Jiaotong University, Xi'an 710049, China</w:t>
      </w:r>
    </w:p>
    <w:p w14:paraId="354FDEC9" w14:textId="77777777" w:rsidR="00183B75" w:rsidRPr="00D02673" w:rsidRDefault="00183B75" w:rsidP="00183B75">
      <w:pPr>
        <w:spacing w:line="480" w:lineRule="auto"/>
        <w:ind w:firstLineChars="0" w:firstLine="0"/>
        <w:rPr>
          <w:sz w:val="24"/>
          <w:szCs w:val="24"/>
        </w:rPr>
      </w:pPr>
      <w:r w:rsidRPr="00D02673">
        <w:rPr>
          <w:sz w:val="24"/>
          <w:szCs w:val="24"/>
          <w:vertAlign w:val="superscript"/>
        </w:rPr>
        <w:t>c</w:t>
      </w:r>
      <w:r w:rsidRPr="00D02673">
        <w:rPr>
          <w:sz w:val="24"/>
          <w:szCs w:val="24"/>
        </w:rPr>
        <w:t xml:space="preserve"> Department of Orthopaedics, The First Affiliated Hospital of Xi'an Jiaotong University, Xi'an 710061, China</w:t>
      </w:r>
    </w:p>
    <w:p w14:paraId="542288D4" w14:textId="77777777" w:rsidR="00183B75" w:rsidRPr="00D02673" w:rsidRDefault="00183B75" w:rsidP="00183B75">
      <w:pPr>
        <w:spacing w:line="480" w:lineRule="auto"/>
        <w:ind w:firstLineChars="0" w:firstLine="0"/>
        <w:rPr>
          <w:sz w:val="24"/>
          <w:szCs w:val="24"/>
        </w:rPr>
      </w:pPr>
      <w:r w:rsidRPr="00D02673">
        <w:rPr>
          <w:sz w:val="24"/>
          <w:szCs w:val="24"/>
          <w:vertAlign w:val="superscript"/>
        </w:rPr>
        <w:t>d</w:t>
      </w:r>
      <w:r w:rsidRPr="00D02673">
        <w:rPr>
          <w:sz w:val="24"/>
          <w:szCs w:val="24"/>
        </w:rPr>
        <w:t xml:space="preserve"> State Key Laboratory of Oral &amp; Maxillofacial Reconstruction and Regeneration, The Fourth Military Medical University, Xi'an, 710032, China</w:t>
      </w:r>
    </w:p>
    <w:p w14:paraId="4BE8159D" w14:textId="77777777" w:rsidR="00183B75" w:rsidRPr="00D02673" w:rsidRDefault="00183B75" w:rsidP="00183B75">
      <w:pPr>
        <w:spacing w:line="480" w:lineRule="auto"/>
        <w:ind w:firstLineChars="0" w:firstLine="0"/>
        <w:rPr>
          <w:sz w:val="24"/>
          <w:szCs w:val="24"/>
        </w:rPr>
      </w:pPr>
      <w:r w:rsidRPr="00D02673">
        <w:rPr>
          <w:sz w:val="24"/>
          <w:szCs w:val="24"/>
          <w:vertAlign w:val="superscript"/>
        </w:rPr>
        <w:t>e</w:t>
      </w:r>
      <w:r w:rsidRPr="00D02673">
        <w:rPr>
          <w:sz w:val="24"/>
          <w:szCs w:val="24"/>
        </w:rPr>
        <w:t xml:space="preserve"> Key Laboratory of Shaanxi Province for Craniofacial Precision Medicine Research, College of Stomatology, Xi'an Jiaotong University, Xi'an 710049, China</w:t>
      </w:r>
    </w:p>
    <w:p w14:paraId="7C89946A" w14:textId="219217C1" w:rsidR="00183B75" w:rsidRPr="00183B75" w:rsidRDefault="00183B75" w:rsidP="00183B75">
      <w:pPr>
        <w:spacing w:line="480" w:lineRule="auto"/>
        <w:ind w:firstLineChars="0" w:firstLine="0"/>
        <w:rPr>
          <w:i/>
          <w:iCs/>
          <w:sz w:val="24"/>
          <w:szCs w:val="24"/>
        </w:rPr>
      </w:pPr>
      <w:r w:rsidRPr="00D02673">
        <w:rPr>
          <w:sz w:val="24"/>
          <w:szCs w:val="24"/>
          <w:vertAlign w:val="superscript"/>
        </w:rPr>
        <w:t>1</w:t>
      </w:r>
      <w:r w:rsidRPr="00D02673">
        <w:rPr>
          <w:sz w:val="24"/>
          <w:szCs w:val="24"/>
        </w:rPr>
        <w:t xml:space="preserve"> These authors contributed equally to the work.</w:t>
      </w:r>
    </w:p>
    <w:p w14:paraId="6469A7B7" w14:textId="77777777" w:rsidR="001A51BA" w:rsidRDefault="00D642EC" w:rsidP="00D642EC">
      <w:pPr>
        <w:spacing w:line="480" w:lineRule="auto"/>
        <w:ind w:firstLineChars="0" w:firstLine="0"/>
        <w:rPr>
          <w:sz w:val="24"/>
          <w:szCs w:val="24"/>
        </w:rPr>
      </w:pPr>
      <w:r w:rsidRPr="001410AB">
        <w:rPr>
          <w:sz w:val="24"/>
          <w:szCs w:val="24"/>
        </w:rPr>
        <w:t>*Corresponding author:</w:t>
      </w:r>
      <w:bookmarkStart w:id="5" w:name="_Hlk144281704"/>
      <w:r>
        <w:rPr>
          <w:rFonts w:hint="eastAsia"/>
          <w:sz w:val="24"/>
          <w:szCs w:val="24"/>
        </w:rPr>
        <w:t xml:space="preserve"> </w:t>
      </w:r>
    </w:p>
    <w:p w14:paraId="7E4E41C7" w14:textId="5DD235E0" w:rsidR="00757190" w:rsidRDefault="00D642EC" w:rsidP="00D642EC">
      <w:pPr>
        <w:spacing w:line="480" w:lineRule="auto"/>
        <w:ind w:firstLineChars="0" w:firstLine="0"/>
        <w:rPr>
          <w:b/>
          <w:iCs/>
          <w:sz w:val="24"/>
          <w:szCs w:val="24"/>
        </w:rPr>
      </w:pPr>
      <w:r>
        <w:rPr>
          <w:rFonts w:hint="eastAsia"/>
          <w:sz w:val="24"/>
          <w:szCs w:val="24"/>
        </w:rPr>
        <w:t xml:space="preserve"> </w:t>
      </w:r>
      <w:r w:rsidRPr="001410AB">
        <w:rPr>
          <w:rFonts w:hint="eastAsia"/>
          <w:sz w:val="24"/>
          <w:szCs w:val="24"/>
        </w:rPr>
        <w:t xml:space="preserve">Dr. Zhen Liang, </w:t>
      </w:r>
      <w:r w:rsidRPr="001410AB">
        <w:rPr>
          <w:sz w:val="24"/>
          <w:szCs w:val="24"/>
        </w:rPr>
        <w:t xml:space="preserve">E-mail: </w:t>
      </w:r>
      <w:r w:rsidRPr="002E3C09">
        <w:rPr>
          <w:sz w:val="24"/>
          <w:szCs w:val="24"/>
        </w:rPr>
        <w:t>lianglyzz@163.com</w:t>
      </w:r>
      <w:r w:rsidRPr="001410AB">
        <w:rPr>
          <w:rFonts w:hint="eastAsia"/>
          <w:sz w:val="24"/>
          <w:szCs w:val="24"/>
        </w:rPr>
        <w:t xml:space="preserve">; </w:t>
      </w:r>
      <w:r w:rsidRPr="001410AB">
        <w:rPr>
          <w:sz w:val="24"/>
          <w:szCs w:val="24"/>
        </w:rPr>
        <w:t>Prof. Baolin Guo, E-mail: baoling@mail.xjtu.edu.cn</w:t>
      </w:r>
      <w:r w:rsidRPr="001410AB">
        <w:rPr>
          <w:rFonts w:hint="eastAsia"/>
          <w:sz w:val="24"/>
          <w:szCs w:val="24"/>
        </w:rPr>
        <w:t>;</w:t>
      </w:r>
      <w:r w:rsidRPr="001410AB">
        <w:rPr>
          <w:sz w:val="24"/>
          <w:szCs w:val="24"/>
        </w:rPr>
        <w:t xml:space="preserve"> Prof. Xin Zhao, E-mail: zhaoxinbio@mail.xjtu.edu.cn; Prof. </w:t>
      </w:r>
      <w:r w:rsidRPr="001410AB">
        <w:rPr>
          <w:rFonts w:hint="eastAsia"/>
          <w:sz w:val="24"/>
          <w:szCs w:val="24"/>
        </w:rPr>
        <w:t>Baoqiang Song</w:t>
      </w:r>
      <w:r w:rsidRPr="001410AB">
        <w:rPr>
          <w:sz w:val="24"/>
          <w:szCs w:val="24"/>
        </w:rPr>
        <w:t xml:space="preserve">, E-mail: </w:t>
      </w:r>
      <w:bookmarkEnd w:id="5"/>
      <w:r w:rsidRPr="00042C27">
        <w:rPr>
          <w:sz w:val="24"/>
          <w:szCs w:val="24"/>
        </w:rPr>
        <w:t>songbq2012@163.com</w:t>
      </w:r>
      <w:r>
        <w:rPr>
          <w:rFonts w:hint="eastAsia"/>
          <w:sz w:val="24"/>
          <w:szCs w:val="24"/>
        </w:rPr>
        <w:t>.</w:t>
      </w:r>
      <w:r w:rsidR="00757190">
        <w:rPr>
          <w:b/>
          <w:iCs/>
          <w:sz w:val="24"/>
          <w:szCs w:val="24"/>
        </w:rPr>
        <w:br w:type="page"/>
      </w:r>
    </w:p>
    <w:p w14:paraId="16F2C23B" w14:textId="77777777" w:rsidR="00BE6FEB" w:rsidRPr="0032356F" w:rsidRDefault="00BE6FEB" w:rsidP="00BE6FEB">
      <w:pPr>
        <w:spacing w:line="480" w:lineRule="auto"/>
        <w:ind w:firstLineChars="0" w:firstLine="0"/>
        <w:rPr>
          <w:rFonts w:eastAsia="等线"/>
          <w:b/>
          <w:sz w:val="24"/>
          <w:szCs w:val="24"/>
        </w:rPr>
      </w:pPr>
      <w:r w:rsidRPr="0032356F">
        <w:rPr>
          <w:rFonts w:eastAsia="等线"/>
          <w:b/>
          <w:sz w:val="24"/>
          <w:szCs w:val="24"/>
        </w:rPr>
        <w:lastRenderedPageBreak/>
        <w:t>Experimental Section/Methods</w:t>
      </w:r>
    </w:p>
    <w:p w14:paraId="7A11FD1D" w14:textId="38D79541" w:rsidR="00BE6FEB" w:rsidRPr="002F23ED" w:rsidRDefault="00BE6FEB" w:rsidP="00BE6FEB">
      <w:pPr>
        <w:spacing w:line="480" w:lineRule="auto"/>
        <w:ind w:firstLineChars="0" w:firstLine="0"/>
        <w:rPr>
          <w:b/>
          <w:bCs/>
          <w:sz w:val="24"/>
          <w:szCs w:val="24"/>
        </w:rPr>
      </w:pPr>
      <w:r w:rsidRPr="0032356F">
        <w:rPr>
          <w:rFonts w:eastAsia="等线"/>
          <w:b/>
          <w:sz w:val="24"/>
          <w:szCs w:val="24"/>
        </w:rPr>
        <w:t xml:space="preserve">1. </w:t>
      </w:r>
      <w:r w:rsidR="002F23ED" w:rsidRPr="002F23ED">
        <w:rPr>
          <w:b/>
          <w:bCs/>
          <w:sz w:val="24"/>
          <w:szCs w:val="24"/>
        </w:rPr>
        <w:t>Materials and Reagents</w:t>
      </w:r>
    </w:p>
    <w:p w14:paraId="1022F761" w14:textId="3EE4D525" w:rsidR="00C36989" w:rsidRPr="00CC1964" w:rsidRDefault="00C36989" w:rsidP="00C36989">
      <w:pPr>
        <w:spacing w:line="480" w:lineRule="auto"/>
        <w:ind w:firstLine="480"/>
        <w:rPr>
          <w:sz w:val="24"/>
          <w:szCs w:val="24"/>
        </w:rPr>
      </w:pPr>
      <w:r w:rsidRPr="00D54784">
        <w:rPr>
          <w:sz w:val="24"/>
          <w:szCs w:val="24"/>
        </w:rPr>
        <w:t>Cerium nitrate hexahydrate (CeN</w:t>
      </w:r>
      <w:r w:rsidRPr="00D54784">
        <w:rPr>
          <w:sz w:val="24"/>
          <w:szCs w:val="24"/>
          <w:vertAlign w:val="subscript"/>
        </w:rPr>
        <w:t>3</w:t>
      </w:r>
      <w:r w:rsidRPr="00D54784">
        <w:rPr>
          <w:sz w:val="24"/>
          <w:szCs w:val="24"/>
        </w:rPr>
        <w:t>O</w:t>
      </w:r>
      <w:r w:rsidRPr="00D54784">
        <w:rPr>
          <w:sz w:val="24"/>
          <w:szCs w:val="24"/>
          <w:vertAlign w:val="subscript"/>
        </w:rPr>
        <w:t>9</w:t>
      </w:r>
      <w:r w:rsidRPr="00D54784">
        <w:rPr>
          <w:sz w:val="24"/>
          <w:szCs w:val="24"/>
        </w:rPr>
        <w:t>·6H</w:t>
      </w:r>
      <w:r w:rsidRPr="00D54784">
        <w:rPr>
          <w:sz w:val="24"/>
          <w:szCs w:val="24"/>
          <w:vertAlign w:val="subscript"/>
        </w:rPr>
        <w:t>2</w:t>
      </w:r>
      <w:r w:rsidRPr="00D54784">
        <w:rPr>
          <w:sz w:val="24"/>
          <w:szCs w:val="24"/>
        </w:rPr>
        <w:t>O), copper nitrate (Cu(NO</w:t>
      </w:r>
      <w:r w:rsidRPr="00D54784">
        <w:rPr>
          <w:sz w:val="24"/>
          <w:szCs w:val="24"/>
          <w:vertAlign w:val="subscript"/>
        </w:rPr>
        <w:t>3</w:t>
      </w:r>
      <w:r w:rsidRPr="00D54784">
        <w:rPr>
          <w:sz w:val="24"/>
          <w:szCs w:val="24"/>
        </w:rPr>
        <w:t>)</w:t>
      </w:r>
      <w:r w:rsidRPr="00D54784">
        <w:rPr>
          <w:sz w:val="24"/>
          <w:szCs w:val="24"/>
          <w:vertAlign w:val="subscript"/>
        </w:rPr>
        <w:t>2</w:t>
      </w:r>
      <w:r w:rsidRPr="00D54784">
        <w:rPr>
          <w:sz w:val="24"/>
          <w:szCs w:val="24"/>
        </w:rPr>
        <w:t>), epichlorohydrin (C</w:t>
      </w:r>
      <w:r w:rsidRPr="00D54784">
        <w:rPr>
          <w:sz w:val="24"/>
          <w:szCs w:val="24"/>
          <w:vertAlign w:val="subscript"/>
        </w:rPr>
        <w:t>3</w:t>
      </w:r>
      <w:r w:rsidRPr="00D54784">
        <w:rPr>
          <w:sz w:val="24"/>
          <w:szCs w:val="24"/>
        </w:rPr>
        <w:t>H</w:t>
      </w:r>
      <w:r w:rsidRPr="00D54784">
        <w:rPr>
          <w:sz w:val="24"/>
          <w:szCs w:val="24"/>
          <w:vertAlign w:val="subscript"/>
        </w:rPr>
        <w:t>5</w:t>
      </w:r>
      <w:r w:rsidRPr="00D54784">
        <w:rPr>
          <w:sz w:val="24"/>
          <w:szCs w:val="24"/>
        </w:rPr>
        <w:t>ClO), EPL, and 4-carboxyphenylboronic acid (C</w:t>
      </w:r>
      <w:r w:rsidRPr="00D54784">
        <w:rPr>
          <w:sz w:val="24"/>
          <w:szCs w:val="24"/>
          <w:vertAlign w:val="subscript"/>
        </w:rPr>
        <w:t>7</w:t>
      </w:r>
      <w:r w:rsidRPr="00D54784">
        <w:rPr>
          <w:sz w:val="24"/>
          <w:szCs w:val="24"/>
        </w:rPr>
        <w:t>H</w:t>
      </w:r>
      <w:r w:rsidRPr="00D54784">
        <w:rPr>
          <w:sz w:val="24"/>
          <w:szCs w:val="24"/>
          <w:vertAlign w:val="subscript"/>
        </w:rPr>
        <w:t>7</w:t>
      </w:r>
      <w:r w:rsidRPr="00D54784">
        <w:rPr>
          <w:sz w:val="24"/>
          <w:szCs w:val="24"/>
        </w:rPr>
        <w:t>BO</w:t>
      </w:r>
      <w:r w:rsidRPr="00D54784">
        <w:rPr>
          <w:sz w:val="24"/>
          <w:szCs w:val="24"/>
          <w:vertAlign w:val="subscript"/>
        </w:rPr>
        <w:t>4</w:t>
      </w:r>
      <w:r w:rsidRPr="00D54784">
        <w:rPr>
          <w:sz w:val="24"/>
          <w:szCs w:val="24"/>
        </w:rPr>
        <w:t xml:space="preserve">) were purchased from Aladdin (Shanghai). Pig skin gelatin was obtained from Sigma-Aldrich, and rhodamine B from Solarbio. NMN was purchased from Bontai Biotech (Shenzhen), while DMEM and FBS were from Gibco. SIRT1 antibodies were obtained from ABclonal, GAPDH, Nrf2, HO-1, GPX4, and iNOS antibodies were from Proteintech (Wuhan), and fluorescence secondary antibodies were purchased from Thermo Fisher. Live/Dead Cell Staining Kit, BCA Protein Assay Kit, 2,7-dichlorofluorescin diacetate (DCFH-DA), EdU Kit, and Mitochondrial Membrane Potential (TMRE) Detection Kit were purchased from Beyotime, and Cell Counting Kit 8 (CCK8) </w:t>
      </w:r>
      <w:r>
        <w:rPr>
          <w:rFonts w:hint="eastAsia"/>
          <w:sz w:val="24"/>
          <w:szCs w:val="24"/>
        </w:rPr>
        <w:t>was</w:t>
      </w:r>
      <w:r>
        <w:rPr>
          <w:sz w:val="24"/>
          <w:szCs w:val="24"/>
        </w:rPr>
        <w:t xml:space="preserve"> </w:t>
      </w:r>
      <w:r w:rsidRPr="00D54784">
        <w:rPr>
          <w:sz w:val="24"/>
          <w:szCs w:val="24"/>
        </w:rPr>
        <w:t>from Abbkine</w:t>
      </w:r>
      <w:r w:rsidRPr="00CC1964">
        <w:rPr>
          <w:sz w:val="24"/>
          <w:szCs w:val="24"/>
        </w:rPr>
        <w:t>.</w:t>
      </w:r>
    </w:p>
    <w:p w14:paraId="65D66856" w14:textId="61B7F5F6" w:rsidR="00BE6FEB" w:rsidRPr="00F47CB1" w:rsidRDefault="002F23ED" w:rsidP="002F23ED">
      <w:pPr>
        <w:spacing w:line="480" w:lineRule="auto"/>
        <w:ind w:firstLine="480"/>
        <w:rPr>
          <w:color w:val="EE0000"/>
          <w:sz w:val="24"/>
          <w:szCs w:val="24"/>
        </w:rPr>
      </w:pPr>
      <w:r w:rsidRPr="002F23ED">
        <w:rPr>
          <w:rFonts w:hint="eastAsia"/>
          <w:sz w:val="24"/>
          <w:szCs w:val="24"/>
        </w:rPr>
        <w:t>1,1-Diphenyl-2-picrylhydrazyl (DPPH), 3,3</w:t>
      </w:r>
      <w:r w:rsidRPr="002F23ED">
        <w:rPr>
          <w:sz w:val="24"/>
          <w:szCs w:val="24"/>
        </w:rPr>
        <w:t>′</w:t>
      </w:r>
      <w:r w:rsidRPr="002F23ED">
        <w:rPr>
          <w:rFonts w:hint="eastAsia"/>
          <w:sz w:val="24"/>
          <w:szCs w:val="24"/>
        </w:rPr>
        <w:t>,5,5</w:t>
      </w:r>
      <w:r w:rsidRPr="002F23ED">
        <w:rPr>
          <w:sz w:val="24"/>
          <w:szCs w:val="24"/>
        </w:rPr>
        <w:t>′</w:t>
      </w:r>
      <w:r w:rsidRPr="002F23ED">
        <w:rPr>
          <w:rFonts w:hint="eastAsia"/>
          <w:sz w:val="24"/>
          <w:szCs w:val="24"/>
        </w:rPr>
        <w:t>-Tetramethylbenzidine (TMB) were purchased from Aladdin (Shanghai). Methacrylic anhydride (MA), PVA, and PEI were purchased from Macklin. Lithium Phenyl (2,4,6-trimethylbenzoyl) phosphinate (LAP) was sourced f</w:t>
      </w:r>
      <w:r w:rsidRPr="002F23ED">
        <w:rPr>
          <w:sz w:val="24"/>
          <w:szCs w:val="24"/>
        </w:rPr>
        <w:t>rom Engineering For Life (Suzhou), and ethylene glycol from FuYu Reagents (Tianjin). L-methionine, nitro blue tetrazolium chloride (NBT), and riboflavin were obtained from DiBai Chemical Technology Ltd. Calcium yellow</w:t>
      </w:r>
      <w:r>
        <w:rPr>
          <w:sz w:val="24"/>
          <w:szCs w:val="24"/>
        </w:rPr>
        <w:t>-</w:t>
      </w:r>
      <w:r w:rsidRPr="002F23ED">
        <w:rPr>
          <w:sz w:val="24"/>
          <w:szCs w:val="24"/>
        </w:rPr>
        <w:t>green (AM), propidium iodide (PI), and 4',6-diamidino-2-phenylindole (DAPI) w</w:t>
      </w:r>
      <w:r w:rsidR="00732822">
        <w:rPr>
          <w:sz w:val="24"/>
          <w:szCs w:val="24"/>
        </w:rPr>
        <w:t>ere</w:t>
      </w:r>
      <w:r w:rsidRPr="002F23ED">
        <w:rPr>
          <w:sz w:val="24"/>
          <w:szCs w:val="24"/>
        </w:rPr>
        <w:t xml:space="preserve"> purchased from Beyotime. Dihydroethidium (DHE) was obtained from Sigma-Aldrich, and lipopolysaccharide (LPS) was purchased from Sigma-Aldrich.</w:t>
      </w:r>
      <w:r w:rsidR="00502900" w:rsidRPr="00502900">
        <w:t xml:space="preserve"> </w:t>
      </w:r>
      <w:r w:rsidR="00502900" w:rsidRPr="0022284C">
        <w:rPr>
          <w:color w:val="000000" w:themeColor="text1"/>
          <w:sz w:val="24"/>
          <w:szCs w:val="24"/>
        </w:rPr>
        <w:t>The NAD</w:t>
      </w:r>
      <w:r w:rsidR="00502900" w:rsidRPr="0022284C">
        <w:rPr>
          <w:color w:val="000000" w:themeColor="text1"/>
          <w:sz w:val="24"/>
          <w:szCs w:val="24"/>
          <w:vertAlign w:val="superscript"/>
        </w:rPr>
        <w:t>+</w:t>
      </w:r>
      <w:r w:rsidR="00502900" w:rsidRPr="0022284C">
        <w:rPr>
          <w:color w:val="000000" w:themeColor="text1"/>
          <w:sz w:val="24"/>
          <w:szCs w:val="24"/>
        </w:rPr>
        <w:t xml:space="preserve"> detection kit, ATP detection kit and </w:t>
      </w:r>
      <w:proofErr w:type="spellStart"/>
      <w:r w:rsidR="00502900" w:rsidRPr="0022284C">
        <w:rPr>
          <w:color w:val="000000" w:themeColor="text1"/>
          <w:sz w:val="24"/>
          <w:szCs w:val="24"/>
        </w:rPr>
        <w:t>MitoSO</w:t>
      </w:r>
      <w:proofErr w:type="spellEnd"/>
      <w:r w:rsidR="00502900" w:rsidRPr="0022284C">
        <w:rPr>
          <w:color w:val="000000" w:themeColor="text1"/>
          <w:sz w:val="24"/>
          <w:szCs w:val="24"/>
        </w:rPr>
        <w:t xml:space="preserve">™ Red were purchased from </w:t>
      </w:r>
      <w:proofErr w:type="spellStart"/>
      <w:r w:rsidR="00502900" w:rsidRPr="0022284C">
        <w:rPr>
          <w:color w:val="000000" w:themeColor="text1"/>
          <w:sz w:val="24"/>
          <w:szCs w:val="24"/>
        </w:rPr>
        <w:t>B</w:t>
      </w:r>
      <w:r w:rsidR="00502900" w:rsidRPr="0022284C">
        <w:rPr>
          <w:rFonts w:hint="eastAsia"/>
          <w:color w:val="000000" w:themeColor="text1"/>
          <w:sz w:val="24"/>
          <w:szCs w:val="24"/>
        </w:rPr>
        <w:t>eyotime</w:t>
      </w:r>
      <w:proofErr w:type="spellEnd"/>
      <w:r w:rsidR="00502900" w:rsidRPr="0022284C">
        <w:rPr>
          <w:color w:val="000000" w:themeColor="text1"/>
          <w:sz w:val="24"/>
          <w:szCs w:val="24"/>
        </w:rPr>
        <w:t>.</w:t>
      </w:r>
      <w:r w:rsidR="00A7682E" w:rsidRPr="0022284C">
        <w:rPr>
          <w:rFonts w:hint="eastAsia"/>
          <w:color w:val="000000" w:themeColor="text1"/>
          <w:sz w:val="24"/>
          <w:szCs w:val="24"/>
        </w:rPr>
        <w:t xml:space="preserve"> Ru(</w:t>
      </w:r>
      <w:proofErr w:type="spellStart"/>
      <w:r w:rsidR="00A7682E" w:rsidRPr="0022284C">
        <w:rPr>
          <w:rFonts w:hint="eastAsia"/>
          <w:color w:val="000000" w:themeColor="text1"/>
          <w:sz w:val="24"/>
          <w:szCs w:val="24"/>
        </w:rPr>
        <w:t>dpp</w:t>
      </w:r>
      <w:proofErr w:type="spellEnd"/>
      <w:r w:rsidR="00A7682E" w:rsidRPr="0022284C">
        <w:rPr>
          <w:rFonts w:hint="eastAsia"/>
          <w:color w:val="000000" w:themeColor="text1"/>
          <w:sz w:val="24"/>
          <w:szCs w:val="24"/>
        </w:rPr>
        <w:t>)</w:t>
      </w:r>
      <w:r w:rsidR="00A7682E" w:rsidRPr="0022284C">
        <w:rPr>
          <w:rFonts w:hint="eastAsia"/>
          <w:color w:val="000000" w:themeColor="text1"/>
          <w:sz w:val="24"/>
          <w:szCs w:val="24"/>
          <w:vertAlign w:val="subscript"/>
        </w:rPr>
        <w:t>3</w:t>
      </w:r>
      <w:r w:rsidR="00A7682E" w:rsidRPr="0022284C">
        <w:rPr>
          <w:rFonts w:hint="eastAsia"/>
          <w:color w:val="000000" w:themeColor="text1"/>
          <w:sz w:val="24"/>
          <w:szCs w:val="24"/>
        </w:rPr>
        <w:t>Cl</w:t>
      </w:r>
      <w:r w:rsidR="00A7682E" w:rsidRPr="0022284C">
        <w:rPr>
          <w:rFonts w:hint="eastAsia"/>
          <w:color w:val="000000" w:themeColor="text1"/>
          <w:sz w:val="24"/>
          <w:szCs w:val="24"/>
          <w:vertAlign w:val="subscript"/>
        </w:rPr>
        <w:t>2</w:t>
      </w:r>
      <w:r w:rsidR="00A7682E" w:rsidRPr="00F47CB1">
        <w:rPr>
          <w:color w:val="EE0000"/>
          <w:sz w:val="24"/>
          <w:szCs w:val="24"/>
        </w:rPr>
        <w:t xml:space="preserve"> </w:t>
      </w:r>
      <w:r w:rsidR="00A7682E" w:rsidRPr="0022284C">
        <w:rPr>
          <w:color w:val="000000" w:themeColor="text1"/>
          <w:sz w:val="24"/>
          <w:szCs w:val="24"/>
        </w:rPr>
        <w:lastRenderedPageBreak/>
        <w:t>w</w:t>
      </w:r>
      <w:r w:rsidR="00A7682E" w:rsidRPr="0022284C">
        <w:rPr>
          <w:rFonts w:hint="eastAsia"/>
          <w:color w:val="000000" w:themeColor="text1"/>
          <w:sz w:val="24"/>
          <w:szCs w:val="24"/>
        </w:rPr>
        <w:t>as</w:t>
      </w:r>
      <w:r w:rsidR="00A7682E" w:rsidRPr="0022284C">
        <w:rPr>
          <w:color w:val="000000" w:themeColor="text1"/>
          <w:sz w:val="24"/>
          <w:szCs w:val="24"/>
        </w:rPr>
        <w:t xml:space="preserve"> purchased from</w:t>
      </w:r>
      <w:r w:rsidR="00A7682E" w:rsidRPr="0022284C">
        <w:rPr>
          <w:rFonts w:hint="eastAsia"/>
          <w:color w:val="000000" w:themeColor="text1"/>
          <w:sz w:val="24"/>
          <w:szCs w:val="24"/>
        </w:rPr>
        <w:t xml:space="preserve"> GLPBIO.</w:t>
      </w:r>
    </w:p>
    <w:p w14:paraId="2794C896" w14:textId="5C7F3E00" w:rsidR="00DB5713" w:rsidRPr="00EF3CBB" w:rsidRDefault="00DB5713" w:rsidP="007A759D">
      <w:pPr>
        <w:spacing w:line="480" w:lineRule="auto"/>
        <w:ind w:firstLineChars="0" w:firstLine="0"/>
        <w:rPr>
          <w:b/>
          <w:bCs/>
          <w:sz w:val="24"/>
          <w:szCs w:val="24"/>
        </w:rPr>
      </w:pPr>
      <w:r>
        <w:rPr>
          <w:rFonts w:hint="eastAsia"/>
          <w:b/>
          <w:bCs/>
          <w:sz w:val="24"/>
          <w:szCs w:val="24"/>
        </w:rPr>
        <w:t xml:space="preserve">2. </w:t>
      </w:r>
      <w:r w:rsidRPr="00EF3CBB">
        <w:rPr>
          <w:b/>
          <w:bCs/>
          <w:sz w:val="24"/>
          <w:szCs w:val="24"/>
        </w:rPr>
        <w:t xml:space="preserve">Synthesis of </w:t>
      </w:r>
      <w:proofErr w:type="spellStart"/>
      <w:r w:rsidRPr="00EF3CBB">
        <w:rPr>
          <w:b/>
          <w:bCs/>
          <w:sz w:val="24"/>
          <w:szCs w:val="24"/>
        </w:rPr>
        <w:t>GelMA</w:t>
      </w:r>
      <w:proofErr w:type="spellEnd"/>
      <w:r>
        <w:rPr>
          <w:rFonts w:hint="eastAsia"/>
          <w:b/>
          <w:bCs/>
          <w:sz w:val="24"/>
          <w:szCs w:val="24"/>
        </w:rPr>
        <w:t xml:space="preserve">, </w:t>
      </w:r>
      <w:r w:rsidRPr="00EF3CBB">
        <w:rPr>
          <w:b/>
          <w:bCs/>
          <w:sz w:val="24"/>
          <w:szCs w:val="24"/>
        </w:rPr>
        <w:t>EPL-PBA</w:t>
      </w:r>
      <w:r>
        <w:rPr>
          <w:rFonts w:hint="eastAsia"/>
          <w:b/>
          <w:bCs/>
          <w:sz w:val="24"/>
          <w:szCs w:val="24"/>
        </w:rPr>
        <w:t>,</w:t>
      </w:r>
      <w:r w:rsidR="00A2329C" w:rsidRPr="00A2329C">
        <w:t xml:space="preserve"> </w:t>
      </w:r>
      <w:r w:rsidR="00A2329C" w:rsidRPr="00A2329C">
        <w:rPr>
          <w:b/>
          <w:bCs/>
          <w:sz w:val="24"/>
          <w:szCs w:val="24"/>
        </w:rPr>
        <w:t>PEI-Cu/</w:t>
      </w:r>
      <w:proofErr w:type="spellStart"/>
      <w:r w:rsidR="00A2329C" w:rsidRPr="00A2329C">
        <w:rPr>
          <w:b/>
          <w:bCs/>
          <w:sz w:val="24"/>
          <w:szCs w:val="24"/>
        </w:rPr>
        <w:t>CeO</w:t>
      </w:r>
      <w:proofErr w:type="spellEnd"/>
      <w:r w:rsidR="00A2329C" w:rsidRPr="00A2329C">
        <w:rPr>
          <w:b/>
          <w:bCs/>
          <w:sz w:val="24"/>
          <w:szCs w:val="24"/>
        </w:rPr>
        <w:t>₂ NPs</w:t>
      </w:r>
      <w:r w:rsidR="00A2329C">
        <w:rPr>
          <w:rFonts w:hint="eastAsia"/>
          <w:b/>
          <w:bCs/>
          <w:sz w:val="24"/>
          <w:szCs w:val="24"/>
        </w:rPr>
        <w:t>,</w:t>
      </w:r>
      <w:r>
        <w:rPr>
          <w:rFonts w:hint="eastAsia"/>
          <w:b/>
          <w:bCs/>
          <w:sz w:val="24"/>
          <w:szCs w:val="24"/>
        </w:rPr>
        <w:t xml:space="preserve"> and </w:t>
      </w:r>
      <w:r w:rsidRPr="00145C36">
        <w:rPr>
          <w:b/>
          <w:bCs/>
          <w:sz w:val="24"/>
          <w:szCs w:val="24"/>
        </w:rPr>
        <w:t>NMN@Cu/CeO₂-MN</w:t>
      </w:r>
    </w:p>
    <w:p w14:paraId="0C366127" w14:textId="77777777" w:rsidR="00A2329C" w:rsidRDefault="00DB5713" w:rsidP="00A2329C">
      <w:pPr>
        <w:spacing w:line="480" w:lineRule="auto"/>
        <w:ind w:firstLine="480"/>
        <w:rPr>
          <w:sz w:val="24"/>
          <w:szCs w:val="24"/>
        </w:rPr>
      </w:pPr>
      <w:r w:rsidRPr="00D54784">
        <w:rPr>
          <w:sz w:val="24"/>
          <w:szCs w:val="24"/>
        </w:rPr>
        <w:t xml:space="preserve">First, 20 g of pig skin gelatin powder (Sigma-Aldrich) was dissolved in 180 mL PBS (Biosharp) and stirred at 60°C in an oil bath until fully dissolved. Once the solution cooled to 50°C, 16 mL of methacrylic anhydride (MA) was added, and the mixture was stirred for 1 hour. The reaction was terminated by adding 800 mL of PBS. The solution was dialyzed in deionized water for </w:t>
      </w:r>
      <w:r>
        <w:rPr>
          <w:sz w:val="24"/>
          <w:szCs w:val="24"/>
        </w:rPr>
        <w:t xml:space="preserve">5 </w:t>
      </w:r>
      <w:r>
        <w:rPr>
          <w:rFonts w:hint="eastAsia"/>
          <w:sz w:val="24"/>
          <w:szCs w:val="24"/>
        </w:rPr>
        <w:t>days</w:t>
      </w:r>
      <w:r w:rsidRPr="00D54784">
        <w:rPr>
          <w:sz w:val="24"/>
          <w:szCs w:val="24"/>
        </w:rPr>
        <w:t xml:space="preserve"> at 40°C in the dark and then freeze-dried at -80°C to obtain GelMA for further use.</w:t>
      </w:r>
      <w:r>
        <w:rPr>
          <w:rFonts w:hint="eastAsia"/>
          <w:sz w:val="24"/>
          <w:szCs w:val="24"/>
        </w:rPr>
        <w:t xml:space="preserve"> </w:t>
      </w:r>
      <w:r>
        <w:rPr>
          <w:sz w:val="24"/>
          <w:szCs w:val="24"/>
        </w:rPr>
        <w:t>B</w:t>
      </w:r>
      <w:r>
        <w:rPr>
          <w:rFonts w:hint="eastAsia"/>
          <w:sz w:val="24"/>
          <w:szCs w:val="24"/>
        </w:rPr>
        <w:t xml:space="preserve">esides, </w:t>
      </w:r>
      <w:r w:rsidRPr="00D54784">
        <w:rPr>
          <w:sz w:val="24"/>
          <w:szCs w:val="24"/>
        </w:rPr>
        <w:t>2 g of MES was dissolved in 200 mL of deionized water. Sequentially, 10 g of EPL, 2.64 g of PBA, 20 mL of DMF, 6.1 g of EDC</w:t>
      </w:r>
      <w:r>
        <w:rPr>
          <w:sz w:val="24"/>
          <w:szCs w:val="24"/>
        </w:rPr>
        <w:t>∙HC</w:t>
      </w:r>
      <w:r>
        <w:rPr>
          <w:rFonts w:hint="eastAsia"/>
          <w:sz w:val="24"/>
          <w:szCs w:val="24"/>
        </w:rPr>
        <w:t>l</w:t>
      </w:r>
      <w:r w:rsidRPr="00D54784">
        <w:rPr>
          <w:sz w:val="24"/>
          <w:szCs w:val="24"/>
        </w:rPr>
        <w:t>, and 3.66 g of NHS were added to the solution and stirred overnight at 60°C. After the solution returned to room temperature, it was centrifuged at 7,000 rpm for 10 minutes</w:t>
      </w:r>
      <w:r>
        <w:rPr>
          <w:rFonts w:hint="eastAsia"/>
          <w:sz w:val="24"/>
          <w:szCs w:val="24"/>
        </w:rPr>
        <w:t>.</w:t>
      </w:r>
      <w:r>
        <w:rPr>
          <w:sz w:val="24"/>
          <w:szCs w:val="24"/>
        </w:rPr>
        <w:t xml:space="preserve"> </w:t>
      </w:r>
      <w:r w:rsidRPr="00A176FC">
        <w:rPr>
          <w:sz w:val="24"/>
          <w:szCs w:val="24"/>
        </w:rPr>
        <w:t>Finally, the supernatant is collected and dialyzed in deionized water for 5 days, followed by freeze-drying to obtain the purified product</w:t>
      </w:r>
      <w:r>
        <w:rPr>
          <w:rFonts w:hint="eastAsia"/>
          <w:sz w:val="24"/>
          <w:szCs w:val="24"/>
        </w:rPr>
        <w:t xml:space="preserve">. </w:t>
      </w:r>
    </w:p>
    <w:p w14:paraId="465A1773" w14:textId="386EAF66" w:rsidR="00A2329C" w:rsidRDefault="00A2329C" w:rsidP="00A2329C">
      <w:pPr>
        <w:spacing w:line="480" w:lineRule="auto"/>
        <w:ind w:firstLine="480"/>
        <w:rPr>
          <w:sz w:val="24"/>
          <w:szCs w:val="24"/>
        </w:rPr>
      </w:pPr>
      <w:r w:rsidRPr="00A2329C">
        <w:rPr>
          <w:sz w:val="24"/>
          <w:szCs w:val="24"/>
        </w:rPr>
        <w:t>The synthesis of CeO</w:t>
      </w:r>
      <w:r w:rsidRPr="007A759D">
        <w:rPr>
          <w:sz w:val="24"/>
          <w:szCs w:val="24"/>
          <w:vertAlign w:val="subscript"/>
        </w:rPr>
        <w:t>2</w:t>
      </w:r>
      <w:r w:rsidRPr="00A2329C">
        <w:rPr>
          <w:sz w:val="24"/>
          <w:szCs w:val="24"/>
        </w:rPr>
        <w:t xml:space="preserve"> and Cu/CeO</w:t>
      </w:r>
      <w:r w:rsidRPr="007A759D">
        <w:rPr>
          <w:sz w:val="24"/>
          <w:szCs w:val="24"/>
          <w:vertAlign w:val="subscript"/>
        </w:rPr>
        <w:t>2</w:t>
      </w:r>
      <w:r w:rsidRPr="00A2329C">
        <w:rPr>
          <w:sz w:val="24"/>
          <w:szCs w:val="24"/>
        </w:rPr>
        <w:t xml:space="preserve"> was carried out </w:t>
      </w:r>
      <w:r>
        <w:rPr>
          <w:rFonts w:hint="eastAsia"/>
          <w:sz w:val="24"/>
          <w:szCs w:val="24"/>
        </w:rPr>
        <w:t xml:space="preserve">as </w:t>
      </w:r>
      <w:r w:rsidRPr="00A2329C">
        <w:rPr>
          <w:sz w:val="24"/>
          <w:szCs w:val="24"/>
        </w:rPr>
        <w:t>following</w:t>
      </w:r>
      <w:r>
        <w:rPr>
          <w:rFonts w:hint="eastAsia"/>
          <w:sz w:val="24"/>
          <w:szCs w:val="24"/>
        </w:rPr>
        <w:t xml:space="preserve">: </w:t>
      </w:r>
      <w:r w:rsidRPr="00D54784">
        <w:rPr>
          <w:sz w:val="24"/>
          <w:szCs w:val="24"/>
        </w:rPr>
        <w:t>CeN</w:t>
      </w:r>
      <w:r w:rsidRPr="00D54784">
        <w:rPr>
          <w:sz w:val="24"/>
          <w:szCs w:val="24"/>
          <w:vertAlign w:val="subscript"/>
        </w:rPr>
        <w:t>3</w:t>
      </w:r>
      <w:r w:rsidRPr="00D54784">
        <w:rPr>
          <w:sz w:val="24"/>
          <w:szCs w:val="24"/>
        </w:rPr>
        <w:t>O</w:t>
      </w:r>
      <w:r w:rsidRPr="00D54784">
        <w:rPr>
          <w:sz w:val="24"/>
          <w:szCs w:val="24"/>
          <w:vertAlign w:val="subscript"/>
        </w:rPr>
        <w:t>9</w:t>
      </w:r>
      <w:r w:rsidRPr="00D54784">
        <w:rPr>
          <w:sz w:val="24"/>
          <w:szCs w:val="24"/>
        </w:rPr>
        <w:t>·6H</w:t>
      </w:r>
      <w:r w:rsidRPr="00D54784">
        <w:rPr>
          <w:sz w:val="24"/>
          <w:szCs w:val="24"/>
          <w:vertAlign w:val="subscript"/>
        </w:rPr>
        <w:t>2</w:t>
      </w:r>
      <w:r w:rsidRPr="00D54784">
        <w:rPr>
          <w:sz w:val="24"/>
          <w:szCs w:val="24"/>
        </w:rPr>
        <w:t>O aqueous solution (0.5 M, 2 ml) was added to 60 ml of ethylene glycol, stirred vigorously for 40 minutes, and transferred to a high-pressure reactor, maintain</w:t>
      </w:r>
      <w:r>
        <w:rPr>
          <w:sz w:val="24"/>
          <w:szCs w:val="24"/>
        </w:rPr>
        <w:t>ed</w:t>
      </w:r>
      <w:r w:rsidRPr="00D54784">
        <w:rPr>
          <w:sz w:val="24"/>
          <w:szCs w:val="24"/>
        </w:rPr>
        <w:t xml:space="preserve"> at 180°C for 12 hours to obtain CeO</w:t>
      </w:r>
      <w:r w:rsidRPr="00D54784">
        <w:rPr>
          <w:sz w:val="24"/>
          <w:szCs w:val="24"/>
          <w:vertAlign w:val="subscript"/>
        </w:rPr>
        <w:t>2</w:t>
      </w:r>
      <w:r w:rsidRPr="00D54784">
        <w:rPr>
          <w:sz w:val="24"/>
          <w:szCs w:val="24"/>
        </w:rPr>
        <w:t xml:space="preserve"> nanoparticles. Subsequently, 57.85 mg of (Cu(NO</w:t>
      </w:r>
      <w:r w:rsidRPr="00D54784">
        <w:rPr>
          <w:sz w:val="24"/>
          <w:szCs w:val="24"/>
          <w:vertAlign w:val="subscript"/>
        </w:rPr>
        <w:t>3</w:t>
      </w:r>
      <w:r w:rsidRPr="00D54784">
        <w:rPr>
          <w:sz w:val="24"/>
          <w:szCs w:val="24"/>
        </w:rPr>
        <w:t>)</w:t>
      </w:r>
      <w:r w:rsidRPr="00D54784">
        <w:rPr>
          <w:sz w:val="24"/>
          <w:szCs w:val="24"/>
          <w:vertAlign w:val="subscript"/>
        </w:rPr>
        <w:t>2</w:t>
      </w:r>
      <w:r w:rsidRPr="00D54784">
        <w:rPr>
          <w:sz w:val="24"/>
          <w:szCs w:val="24"/>
        </w:rPr>
        <w:t>) was added to the obtained CeO</w:t>
      </w:r>
      <w:r w:rsidRPr="00D54784">
        <w:rPr>
          <w:sz w:val="24"/>
          <w:szCs w:val="24"/>
          <w:vertAlign w:val="subscript"/>
        </w:rPr>
        <w:t>2</w:t>
      </w:r>
      <w:r w:rsidRPr="00D54784">
        <w:rPr>
          <w:sz w:val="24"/>
          <w:szCs w:val="24"/>
        </w:rPr>
        <w:t xml:space="preserve"> product, stirred for 1 hour, and kept at 180°C for 4.5 hours in the reactor. The precipitate was centrifuged, washed alternately with anhydrous ethanol and deionized water, and freeze-dried to obtain copper-doped cerium oxide nanoparticles (Cu/CeO</w:t>
      </w:r>
      <w:r w:rsidRPr="00D54784">
        <w:rPr>
          <w:sz w:val="24"/>
          <w:szCs w:val="24"/>
          <w:vertAlign w:val="subscript"/>
        </w:rPr>
        <w:t>2</w:t>
      </w:r>
      <w:r w:rsidRPr="00D54784">
        <w:rPr>
          <w:sz w:val="24"/>
          <w:szCs w:val="24"/>
        </w:rPr>
        <w:t xml:space="preserve"> NPs)</w:t>
      </w:r>
      <w:r w:rsidRPr="00A2329C">
        <w:rPr>
          <w:sz w:val="24"/>
          <w:szCs w:val="24"/>
        </w:rPr>
        <w:t xml:space="preserve">. </w:t>
      </w:r>
    </w:p>
    <w:p w14:paraId="3494D85F" w14:textId="3CBD545C" w:rsidR="00A2329C" w:rsidRPr="00A2329C" w:rsidRDefault="00A2329C" w:rsidP="00A2329C">
      <w:pPr>
        <w:spacing w:line="480" w:lineRule="auto"/>
        <w:ind w:firstLine="480"/>
        <w:rPr>
          <w:sz w:val="24"/>
          <w:szCs w:val="24"/>
        </w:rPr>
      </w:pPr>
      <w:r w:rsidRPr="00D54784">
        <w:rPr>
          <w:sz w:val="24"/>
          <w:szCs w:val="24"/>
        </w:rPr>
        <w:t>PEI coupling with Cu/CeO</w:t>
      </w:r>
      <w:r w:rsidRPr="002F009E">
        <w:rPr>
          <w:sz w:val="24"/>
          <w:szCs w:val="24"/>
          <w:vertAlign w:val="subscript"/>
        </w:rPr>
        <w:t>2</w:t>
      </w:r>
      <w:r w:rsidRPr="00D54784">
        <w:rPr>
          <w:sz w:val="24"/>
          <w:szCs w:val="24"/>
        </w:rPr>
        <w:t xml:space="preserve"> nanoparticles was achieved through an S</w:t>
      </w:r>
      <w:r w:rsidRPr="002F009E">
        <w:rPr>
          <w:sz w:val="24"/>
          <w:szCs w:val="24"/>
        </w:rPr>
        <w:t>N</w:t>
      </w:r>
      <w:r w:rsidRPr="009355AF">
        <w:rPr>
          <w:sz w:val="24"/>
          <w:szCs w:val="24"/>
          <w:vertAlign w:val="subscript"/>
        </w:rPr>
        <w:t>2</w:t>
      </w:r>
      <w:r w:rsidRPr="00D54784">
        <w:rPr>
          <w:sz w:val="24"/>
          <w:szCs w:val="24"/>
        </w:rPr>
        <w:t xml:space="preserve"> reaction </w:t>
      </w:r>
      <w:r w:rsidRPr="00D54784">
        <w:rPr>
          <w:sz w:val="24"/>
          <w:szCs w:val="24"/>
        </w:rPr>
        <w:lastRenderedPageBreak/>
        <w:t xml:space="preserve">between PEI and </w:t>
      </w:r>
      <w:r w:rsidRPr="002F009E">
        <w:rPr>
          <w:sz w:val="24"/>
          <w:szCs w:val="24"/>
        </w:rPr>
        <w:t>C</w:t>
      </w:r>
      <w:r w:rsidRPr="00E0747D">
        <w:rPr>
          <w:sz w:val="24"/>
          <w:szCs w:val="24"/>
          <w:vertAlign w:val="subscript"/>
        </w:rPr>
        <w:t>3</w:t>
      </w:r>
      <w:r w:rsidRPr="002F009E">
        <w:rPr>
          <w:sz w:val="24"/>
          <w:szCs w:val="24"/>
        </w:rPr>
        <w:t>H</w:t>
      </w:r>
      <w:r w:rsidRPr="00E0747D">
        <w:rPr>
          <w:sz w:val="24"/>
          <w:szCs w:val="24"/>
          <w:vertAlign w:val="subscript"/>
        </w:rPr>
        <w:t>5</w:t>
      </w:r>
      <w:r w:rsidRPr="002F009E">
        <w:rPr>
          <w:sz w:val="24"/>
          <w:szCs w:val="24"/>
        </w:rPr>
        <w:t>Cl</w:t>
      </w:r>
      <w:r w:rsidRPr="00D54784">
        <w:rPr>
          <w:sz w:val="24"/>
          <w:szCs w:val="24"/>
        </w:rPr>
        <w:t>. First, 50 mg of Cu/CeO</w:t>
      </w:r>
      <w:r w:rsidRPr="002F009E">
        <w:rPr>
          <w:sz w:val="24"/>
          <w:szCs w:val="24"/>
          <w:vertAlign w:val="subscript"/>
        </w:rPr>
        <w:t>2</w:t>
      </w:r>
      <w:r w:rsidRPr="00D54784">
        <w:rPr>
          <w:sz w:val="24"/>
          <w:szCs w:val="24"/>
        </w:rPr>
        <w:t xml:space="preserve"> was suspended in NaOH solution (0.1 M, 10 ml) and stirred at room temperature for 10 minutes. Then, 10 ml of C</w:t>
      </w:r>
      <w:r w:rsidRPr="009355AF">
        <w:rPr>
          <w:sz w:val="24"/>
          <w:szCs w:val="24"/>
          <w:vertAlign w:val="subscript"/>
        </w:rPr>
        <w:t>3</w:t>
      </w:r>
      <w:r w:rsidRPr="00D54784">
        <w:rPr>
          <w:sz w:val="24"/>
          <w:szCs w:val="24"/>
        </w:rPr>
        <w:t>H</w:t>
      </w:r>
      <w:r w:rsidRPr="009355AF">
        <w:rPr>
          <w:sz w:val="24"/>
          <w:szCs w:val="24"/>
          <w:vertAlign w:val="subscript"/>
        </w:rPr>
        <w:t>5</w:t>
      </w:r>
      <w:r w:rsidRPr="00D54784">
        <w:rPr>
          <w:sz w:val="24"/>
          <w:szCs w:val="24"/>
        </w:rPr>
        <w:t>Cl and 0.5 ml of 2 M NaOH were added and stirred overnight at room temperature. The reaction product was centrifuged at 10,000 rpm for 5 minutes, washed several times with deionized water to reach a pH of around 7, and vacuum-dried for further use. The dried product was mixed with 40 mg PEI in 250 ml deionized water and stirred for 24 hours at room temperature. The product was washed several times at 4,000 rpm for 20 minutes, and the supernatant was discarded. The final product was dialyzed in deionized water for 24 hours using a 10 kDa MWCO dialysis membrane to remove unreacted solvents. The product was centrifuged at 4,000 rpm for 20 minutes and freeze-dried to obtain PEI-modified Cu/CeO</w:t>
      </w:r>
      <w:r w:rsidRPr="002F009E">
        <w:rPr>
          <w:sz w:val="24"/>
          <w:szCs w:val="24"/>
          <w:vertAlign w:val="subscript"/>
        </w:rPr>
        <w:t>2</w:t>
      </w:r>
      <w:r w:rsidRPr="00D54784">
        <w:rPr>
          <w:sz w:val="24"/>
          <w:szCs w:val="24"/>
        </w:rPr>
        <w:t xml:space="preserve"> nanoparticles (PEI-Cu/CeO</w:t>
      </w:r>
      <w:r w:rsidRPr="002F009E">
        <w:rPr>
          <w:sz w:val="24"/>
          <w:szCs w:val="24"/>
          <w:vertAlign w:val="subscript"/>
        </w:rPr>
        <w:t>2</w:t>
      </w:r>
      <w:r w:rsidRPr="00D54784">
        <w:rPr>
          <w:sz w:val="24"/>
          <w:szCs w:val="24"/>
        </w:rPr>
        <w:t xml:space="preserve"> NPs). To load NMN, PEI-Cu/CeO</w:t>
      </w:r>
      <w:r w:rsidRPr="002F009E">
        <w:rPr>
          <w:sz w:val="24"/>
          <w:szCs w:val="24"/>
          <w:vertAlign w:val="subscript"/>
        </w:rPr>
        <w:t>2</w:t>
      </w:r>
      <w:r w:rsidRPr="00D54784">
        <w:rPr>
          <w:sz w:val="24"/>
          <w:szCs w:val="24"/>
        </w:rPr>
        <w:t xml:space="preserve"> was mixed with NMN in different ratios and stirred at 100 rpm for 24 hours at room temperature. After washing twice at 10,000 rpm for 20 minutes with deionized water, the supernatant was discarded, and the</w:t>
      </w:r>
      <w:r>
        <w:rPr>
          <w:rFonts w:hint="eastAsia"/>
          <w:sz w:val="24"/>
          <w:szCs w:val="24"/>
        </w:rPr>
        <w:t xml:space="preserve"> </w:t>
      </w:r>
      <w:r w:rsidRPr="009252FF">
        <w:rPr>
          <w:rFonts w:hint="eastAsia"/>
          <w:sz w:val="24"/>
          <w:szCs w:val="24"/>
        </w:rPr>
        <w:t>c</w:t>
      </w:r>
      <w:r w:rsidRPr="009252FF">
        <w:rPr>
          <w:sz w:val="24"/>
          <w:szCs w:val="24"/>
        </w:rPr>
        <w:t>entrifugal products w</w:t>
      </w:r>
      <w:r w:rsidRPr="00A2329C">
        <w:rPr>
          <w:sz w:val="24"/>
          <w:szCs w:val="24"/>
        </w:rPr>
        <w:t>a</w:t>
      </w:r>
      <w:r w:rsidRPr="00D54784">
        <w:rPr>
          <w:sz w:val="24"/>
          <w:szCs w:val="24"/>
        </w:rPr>
        <w:t>s resuspended and saved for further use (</w:t>
      </w:r>
      <w:r w:rsidRPr="002C1572">
        <w:rPr>
          <w:kern w:val="0"/>
          <w:sz w:val="24"/>
          <w:szCs w:val="24"/>
        </w:rPr>
        <w:t>NMN@Cu/CeO₂</w:t>
      </w:r>
      <w:r>
        <w:rPr>
          <w:rFonts w:hint="eastAsia"/>
          <w:kern w:val="0"/>
          <w:sz w:val="24"/>
          <w:szCs w:val="24"/>
        </w:rPr>
        <w:t xml:space="preserve"> NPs</w:t>
      </w:r>
      <w:r w:rsidRPr="00D54784">
        <w:rPr>
          <w:sz w:val="24"/>
          <w:szCs w:val="24"/>
        </w:rPr>
        <w:t>).</w:t>
      </w:r>
    </w:p>
    <w:p w14:paraId="78A1F3AF" w14:textId="2A0CB10A" w:rsidR="00DB5713" w:rsidRPr="00A2329C" w:rsidRDefault="00DB5713" w:rsidP="007A759D">
      <w:pPr>
        <w:spacing w:line="480" w:lineRule="auto"/>
        <w:ind w:firstLine="480"/>
        <w:rPr>
          <w:sz w:val="24"/>
          <w:szCs w:val="24"/>
        </w:rPr>
      </w:pPr>
      <w:r w:rsidRPr="00D54784">
        <w:rPr>
          <w:sz w:val="24"/>
          <w:szCs w:val="24"/>
        </w:rPr>
        <w:t>Under light protection, 100 mg of GelMA (10 wt%) and 2.5 mg of LAP (0.25 wt%) were dissolved in 1 ml of deionized water to prepare the GelMA precursor solution. Different nanomaterials were added to this solution and mixed thoroughly to obtain micro-needle tip GelMA precursor solutions containing (or without) NMN</w:t>
      </w:r>
      <w:r w:rsidR="009355AF">
        <w:rPr>
          <w:rFonts w:hint="eastAsia"/>
          <w:sz w:val="24"/>
          <w:szCs w:val="24"/>
        </w:rPr>
        <w:t>@</w:t>
      </w:r>
      <w:r w:rsidRPr="00D54784">
        <w:rPr>
          <w:sz w:val="24"/>
          <w:szCs w:val="24"/>
        </w:rPr>
        <w:t>Cu/CeO</w:t>
      </w:r>
      <w:r w:rsidRPr="00EF3CBB">
        <w:rPr>
          <w:sz w:val="24"/>
          <w:szCs w:val="24"/>
          <w:vertAlign w:val="subscript"/>
        </w:rPr>
        <w:t>2</w:t>
      </w:r>
      <w:r w:rsidRPr="00D54784">
        <w:rPr>
          <w:sz w:val="24"/>
          <w:szCs w:val="24"/>
        </w:rPr>
        <w:t xml:space="preserve">. Similarly, 200 mg of PVA (20 wt%) and 50 mg (5 wt%) EPL-PBA were dissolved in 1 ml of deionized water and thoroughly mixed to obtain the micro-needle substrate </w:t>
      </w:r>
      <w:r>
        <w:rPr>
          <w:rFonts w:hint="eastAsia"/>
          <w:sz w:val="24"/>
          <w:szCs w:val="24"/>
        </w:rPr>
        <w:t>PVA/EPL-PBA</w:t>
      </w:r>
      <w:r w:rsidRPr="00D54784">
        <w:rPr>
          <w:sz w:val="24"/>
          <w:szCs w:val="24"/>
        </w:rPr>
        <w:t xml:space="preserve"> precursor solution. The needle tip GelMA precursor solution was </w:t>
      </w:r>
      <w:r w:rsidRPr="00D54784">
        <w:rPr>
          <w:sz w:val="24"/>
          <w:szCs w:val="24"/>
        </w:rPr>
        <w:lastRenderedPageBreak/>
        <w:t xml:space="preserve">injected into a PDMS mold, maintained under vacuum for 5 minutes, and excess liquid and bubbles were removed by scraping. This process was repeated three times, and the mixture was crosslinked with 405 nm blue light. The </w:t>
      </w:r>
      <w:r>
        <w:rPr>
          <w:rFonts w:hint="eastAsia"/>
          <w:sz w:val="24"/>
          <w:szCs w:val="24"/>
        </w:rPr>
        <w:t>PVA/EPL-PBA</w:t>
      </w:r>
      <w:r w:rsidRPr="00D54784">
        <w:rPr>
          <w:sz w:val="24"/>
          <w:szCs w:val="24"/>
        </w:rPr>
        <w:t xml:space="preserve"> precursor solution was injected into the mold and left at room temperature overnight before being dried at 35°C for 48 hours. After drying, the microneedle patches containing composite nanomaterials (</w:t>
      </w:r>
      <w:r w:rsidRPr="002C1572">
        <w:rPr>
          <w:kern w:val="0"/>
          <w:sz w:val="24"/>
          <w:szCs w:val="24"/>
        </w:rPr>
        <w:t>NMN@Cu/CeO₂-MN</w:t>
      </w:r>
      <w:r w:rsidRPr="00D54784">
        <w:rPr>
          <w:sz w:val="24"/>
          <w:szCs w:val="24"/>
        </w:rPr>
        <w:t>) were obtained from the mold. Similarly, microneedle patches containing Cu/CeO</w:t>
      </w:r>
      <w:r w:rsidRPr="00EF3CBB">
        <w:rPr>
          <w:sz w:val="24"/>
          <w:szCs w:val="24"/>
          <w:vertAlign w:val="subscript"/>
        </w:rPr>
        <w:t>2</w:t>
      </w:r>
      <w:r w:rsidRPr="00D54784">
        <w:rPr>
          <w:sz w:val="24"/>
          <w:szCs w:val="24"/>
        </w:rPr>
        <w:t xml:space="preserve"> and NMN (Cu/CeO</w:t>
      </w:r>
      <w:r w:rsidRPr="00EF3CBB">
        <w:rPr>
          <w:sz w:val="24"/>
          <w:szCs w:val="24"/>
          <w:vertAlign w:val="subscript"/>
        </w:rPr>
        <w:t>2</w:t>
      </w:r>
      <w:r>
        <w:rPr>
          <w:rFonts w:hint="eastAsia"/>
          <w:sz w:val="24"/>
          <w:szCs w:val="24"/>
        </w:rPr>
        <w:t>-</w:t>
      </w:r>
      <w:r w:rsidRPr="00D54784">
        <w:rPr>
          <w:sz w:val="24"/>
          <w:szCs w:val="24"/>
        </w:rPr>
        <w:t>MN and NMN</w:t>
      </w:r>
      <w:r>
        <w:rPr>
          <w:rFonts w:hint="eastAsia"/>
          <w:sz w:val="24"/>
          <w:szCs w:val="24"/>
        </w:rPr>
        <w:t>-</w:t>
      </w:r>
      <w:r w:rsidRPr="00D54784">
        <w:rPr>
          <w:sz w:val="24"/>
          <w:szCs w:val="24"/>
        </w:rPr>
        <w:t>MN) were prepared. Each microneedle patch contained approximately 66.84 μg of NMN, 100 μg of Cu/CeO</w:t>
      </w:r>
      <w:r w:rsidRPr="00EF3CBB">
        <w:rPr>
          <w:sz w:val="24"/>
          <w:szCs w:val="24"/>
          <w:vertAlign w:val="subscript"/>
        </w:rPr>
        <w:t>2</w:t>
      </w:r>
      <w:r w:rsidRPr="00D54784">
        <w:rPr>
          <w:sz w:val="24"/>
          <w:szCs w:val="24"/>
        </w:rPr>
        <w:t xml:space="preserve">, and 100 μg of </w:t>
      </w:r>
      <w:r w:rsidRPr="002C1572">
        <w:rPr>
          <w:kern w:val="0"/>
          <w:sz w:val="24"/>
          <w:szCs w:val="24"/>
        </w:rPr>
        <w:t>NMN@Cu/CeO₂</w:t>
      </w:r>
      <w:r w:rsidRPr="00D54784">
        <w:rPr>
          <w:sz w:val="24"/>
          <w:szCs w:val="24"/>
        </w:rPr>
        <w:t xml:space="preserve"> (approximately 27.53 μg of NMN).</w:t>
      </w:r>
      <w:r w:rsidR="00A2329C" w:rsidRPr="00A2329C">
        <w:rPr>
          <w:sz w:val="24"/>
          <w:szCs w:val="24"/>
        </w:rPr>
        <w:t xml:space="preserve"> </w:t>
      </w:r>
    </w:p>
    <w:p w14:paraId="6D6D86CD" w14:textId="67E35CF5" w:rsidR="00BE6FEB" w:rsidRPr="002F23ED" w:rsidRDefault="00DB5713" w:rsidP="00BE6FEB">
      <w:pPr>
        <w:spacing w:line="480" w:lineRule="auto"/>
        <w:ind w:firstLineChars="0" w:firstLine="0"/>
        <w:rPr>
          <w:sz w:val="24"/>
          <w:szCs w:val="24"/>
        </w:rPr>
      </w:pPr>
      <w:r>
        <w:rPr>
          <w:rFonts w:hint="eastAsia"/>
          <w:b/>
          <w:bCs/>
          <w:sz w:val="24"/>
          <w:szCs w:val="24"/>
        </w:rPr>
        <w:t>3</w:t>
      </w:r>
      <w:r w:rsidR="00BE6FEB" w:rsidRPr="0032356F">
        <w:rPr>
          <w:b/>
          <w:bCs/>
          <w:sz w:val="24"/>
          <w:szCs w:val="24"/>
        </w:rPr>
        <w:t xml:space="preserve">. </w:t>
      </w:r>
      <w:r w:rsidR="002F23ED" w:rsidRPr="002F23ED">
        <w:rPr>
          <w:b/>
          <w:bCs/>
          <w:sz w:val="24"/>
          <w:szCs w:val="24"/>
        </w:rPr>
        <w:t>Characterization</w:t>
      </w:r>
      <w:r w:rsidR="001D32B4">
        <w:rPr>
          <w:rFonts w:hint="eastAsia"/>
          <w:b/>
          <w:bCs/>
          <w:sz w:val="24"/>
          <w:szCs w:val="24"/>
        </w:rPr>
        <w:t>s</w:t>
      </w:r>
    </w:p>
    <w:p w14:paraId="38110EEC" w14:textId="760EA275" w:rsidR="00BE6FEB" w:rsidRPr="0032356F" w:rsidRDefault="002F23ED" w:rsidP="002F23ED">
      <w:pPr>
        <w:spacing w:line="480" w:lineRule="auto"/>
        <w:ind w:firstLine="480"/>
        <w:rPr>
          <w:sz w:val="24"/>
          <w:szCs w:val="24"/>
        </w:rPr>
      </w:pPr>
      <w:r w:rsidRPr="002F23ED">
        <w:rPr>
          <w:sz w:val="24"/>
          <w:szCs w:val="24"/>
        </w:rPr>
        <w:t>The nanoparticles to be tested were dispersed in ethanol, diluted to an appropriate concentration, and sonicated. The mixture was then drop-cast onto silicon wafers and left to dry for 30 minutes. After uniformly spraying gold onto the surface, scanning electron microscopy (SEM, QUTAN FEG 250, FEI) was used to examine the morphology of the samples. Transmission electron microscopy (TEM, JEM-2100F, JEOL, Japan) was used to observe the morphology of Cu/CeO</w:t>
      </w:r>
      <w:r w:rsidRPr="002F23ED">
        <w:rPr>
          <w:sz w:val="24"/>
          <w:szCs w:val="24"/>
          <w:vertAlign w:val="subscript"/>
        </w:rPr>
        <w:t>2</w:t>
      </w:r>
      <w:r w:rsidRPr="002F23ED">
        <w:rPr>
          <w:sz w:val="24"/>
          <w:szCs w:val="24"/>
        </w:rPr>
        <w:t>, PEI-Cu/CeO</w:t>
      </w:r>
      <w:r w:rsidRPr="002F23ED">
        <w:rPr>
          <w:sz w:val="24"/>
          <w:szCs w:val="24"/>
          <w:vertAlign w:val="subscript"/>
        </w:rPr>
        <w:t>2</w:t>
      </w:r>
      <w:r w:rsidRPr="002F23ED">
        <w:rPr>
          <w:sz w:val="24"/>
          <w:szCs w:val="24"/>
        </w:rPr>
        <w:t xml:space="preserve">, and </w:t>
      </w:r>
      <w:r w:rsidR="00DA4223" w:rsidRPr="00DA4223">
        <w:rPr>
          <w:sz w:val="24"/>
          <w:szCs w:val="24"/>
        </w:rPr>
        <w:t>NMN@Cu/CeO₂</w:t>
      </w:r>
      <w:r w:rsidRPr="002F23ED">
        <w:rPr>
          <w:sz w:val="24"/>
          <w:szCs w:val="24"/>
        </w:rPr>
        <w:t xml:space="preserve"> nanoparticles, and energy-dispersive X-ray spectroscopy (EDS) was used to detect the elemental composition. The particle size and ζ-potential of the samples were measured using a Malvern Zetasizer Nano ZS90 (UK). The ultraviolet-visible (UV-vis) absorption spectra were recorded using a Shimadzu UV-2660i spectrophotometer (Japan). X-ray photoelectron spectroscopy (XPS, Thermo K-alpha, US) was employed for full and high-resolution elemental analysis of the samples</w:t>
      </w:r>
      <w:r w:rsidR="00BE6FEB" w:rsidRPr="0032356F">
        <w:rPr>
          <w:sz w:val="24"/>
          <w:szCs w:val="24"/>
        </w:rPr>
        <w:t>.</w:t>
      </w:r>
    </w:p>
    <w:p w14:paraId="33232B39" w14:textId="0657548A" w:rsidR="00BE6FEB" w:rsidRDefault="001D32B4" w:rsidP="001D32B4">
      <w:pPr>
        <w:spacing w:line="480" w:lineRule="auto"/>
        <w:ind w:firstLine="480"/>
        <w:rPr>
          <w:sz w:val="24"/>
          <w:szCs w:val="24"/>
        </w:rPr>
      </w:pPr>
      <w:r w:rsidRPr="001D32B4">
        <w:rPr>
          <w:sz w:val="24"/>
          <w:szCs w:val="24"/>
        </w:rPr>
        <w:lastRenderedPageBreak/>
        <w:t>The macro and micromorphology of the</w:t>
      </w:r>
      <w:r w:rsidR="008C0826">
        <w:rPr>
          <w:rFonts w:hint="eastAsia"/>
          <w:sz w:val="24"/>
          <w:szCs w:val="24"/>
        </w:rPr>
        <w:t xml:space="preserve"> </w:t>
      </w:r>
      <w:r w:rsidRPr="001D32B4">
        <w:rPr>
          <w:sz w:val="24"/>
          <w:szCs w:val="24"/>
        </w:rPr>
        <w:t>MNs w</w:t>
      </w:r>
      <w:r>
        <w:rPr>
          <w:sz w:val="24"/>
          <w:szCs w:val="24"/>
        </w:rPr>
        <w:t>ere</w:t>
      </w:r>
      <w:r w:rsidRPr="001D32B4">
        <w:rPr>
          <w:sz w:val="24"/>
          <w:szCs w:val="24"/>
        </w:rPr>
        <w:t xml:space="preserve"> characterized using SEM (QUTAN FEG 250, FEI), optical microscopy (Nikon), and an inverted microscope (Nikon E100, Japan). Fluorescence microscopy was used to observe the morphology of microneedles labeled with rhodamine B (RB) and FITC. MNs were applied to the dorsal skin of mice, and Ponceau S staining was performed. </w:t>
      </w:r>
      <w:r>
        <w:rPr>
          <w:sz w:val="24"/>
          <w:szCs w:val="24"/>
        </w:rPr>
        <w:t>The s</w:t>
      </w:r>
      <w:r w:rsidRPr="001D32B4">
        <w:rPr>
          <w:sz w:val="24"/>
          <w:szCs w:val="24"/>
        </w:rPr>
        <w:t>kin was also processed for hematoxylin-eosin (H&amp;E) staining. Fluorescently labeled materials (RB) encapsulated in nanoparticles were incorporated into the microneedles, and their skin penetration depth was observed using a laser confocal microscope (Leica TCS SP8, DE). The morphological changes of various MNs in a high-humidity environment were observed using an inverted microscope (Nikon E100, Japan). Randomly selected MN tips were placed onto supporting attachments, exposed to a 60% relative humidity environment at 25°C, and imaged at scheduled time points</w:t>
      </w:r>
      <w:r w:rsidR="00BE6FEB" w:rsidRPr="0032356F">
        <w:rPr>
          <w:sz w:val="24"/>
          <w:szCs w:val="24"/>
        </w:rPr>
        <w:t>.</w:t>
      </w:r>
    </w:p>
    <w:p w14:paraId="434C597E" w14:textId="1EBDE569" w:rsidR="00C36989" w:rsidRPr="00C36989" w:rsidRDefault="00C36989" w:rsidP="00DB5713">
      <w:pPr>
        <w:spacing w:line="480" w:lineRule="auto"/>
        <w:ind w:firstLine="480"/>
        <w:rPr>
          <w:sz w:val="24"/>
          <w:szCs w:val="24"/>
        </w:rPr>
      </w:pPr>
      <w:r w:rsidRPr="00C36989">
        <w:rPr>
          <w:sz w:val="24"/>
          <w:szCs w:val="24"/>
        </w:rPr>
        <w:t>DFT calculations were performed with the DMol³ module in Materials Studio (MS) under the spin-unrestricted scheme. Exchange–correlation effects were modeled using the Perdew–Burke–Ernzerhof (PBE) functional within the generalized gradient approximation (GGA), together with a double numerical plus polarization (DNP) basis set.</w:t>
      </w:r>
      <w:r>
        <w:rPr>
          <w:rFonts w:hint="eastAsia"/>
          <w:sz w:val="24"/>
          <w:szCs w:val="24"/>
        </w:rPr>
        <w:t xml:space="preserve"> </w:t>
      </w:r>
      <w:r w:rsidRPr="00D54784">
        <w:rPr>
          <w:sz w:val="24"/>
          <w:szCs w:val="24"/>
        </w:rPr>
        <w:t>The convergence tolerances for energy change, maximum force, and maximum displacement were 2.0 × 10</w:t>
      </w:r>
      <w:r w:rsidRPr="0055635D">
        <w:rPr>
          <w:sz w:val="24"/>
          <w:szCs w:val="24"/>
          <w:vertAlign w:val="superscript"/>
        </w:rPr>
        <w:t>5</w:t>
      </w:r>
      <w:r w:rsidRPr="00D54784">
        <w:rPr>
          <w:sz w:val="24"/>
          <w:szCs w:val="24"/>
        </w:rPr>
        <w:t xml:space="preserve"> Ha, 0.004 Ha Å^-1, and 0.005 Å, respectively. A 3 × 3 × 1 Monkhorst-Pack grid was used for Brillouin zone integration. The interaction energy (E</w:t>
      </w:r>
      <w:r w:rsidRPr="00672D45">
        <w:rPr>
          <w:sz w:val="24"/>
          <w:szCs w:val="24"/>
          <w:vertAlign w:val="subscript"/>
        </w:rPr>
        <w:t>int</w:t>
      </w:r>
      <w:r w:rsidRPr="00D54784">
        <w:rPr>
          <w:sz w:val="24"/>
          <w:szCs w:val="24"/>
        </w:rPr>
        <w:t>) between PEI and NMN on Cu/CeO</w:t>
      </w:r>
      <w:r w:rsidRPr="0055635D">
        <w:rPr>
          <w:sz w:val="24"/>
          <w:szCs w:val="24"/>
          <w:vertAlign w:val="subscript"/>
        </w:rPr>
        <w:t>2</w:t>
      </w:r>
      <w:r w:rsidRPr="00D54784">
        <w:rPr>
          <w:sz w:val="24"/>
          <w:szCs w:val="24"/>
        </w:rPr>
        <w:t xml:space="preserve"> NPs was expressed as: E</w:t>
      </w:r>
      <w:r w:rsidRPr="00672D45">
        <w:rPr>
          <w:sz w:val="24"/>
          <w:szCs w:val="24"/>
          <w:vertAlign w:val="subscript"/>
        </w:rPr>
        <w:t>int</w:t>
      </w:r>
      <w:r w:rsidRPr="00D54784">
        <w:rPr>
          <w:sz w:val="24"/>
          <w:szCs w:val="24"/>
        </w:rPr>
        <w:t xml:space="preserve"> = E</w:t>
      </w:r>
      <w:r w:rsidRPr="00672D45">
        <w:rPr>
          <w:sz w:val="24"/>
          <w:szCs w:val="24"/>
          <w:vertAlign w:val="subscript"/>
        </w:rPr>
        <w:t>A</w:t>
      </w:r>
      <w:r w:rsidRPr="00D54784">
        <w:rPr>
          <w:sz w:val="24"/>
          <w:szCs w:val="24"/>
        </w:rPr>
        <w:t>+B − E</w:t>
      </w:r>
      <w:r w:rsidRPr="00672D45">
        <w:rPr>
          <w:sz w:val="24"/>
          <w:szCs w:val="24"/>
          <w:vertAlign w:val="subscript"/>
        </w:rPr>
        <w:t>A</w:t>
      </w:r>
      <w:r w:rsidRPr="00D54784">
        <w:rPr>
          <w:sz w:val="24"/>
          <w:szCs w:val="24"/>
        </w:rPr>
        <w:t xml:space="preserve"> − E</w:t>
      </w:r>
      <w:r w:rsidRPr="00672D45">
        <w:rPr>
          <w:sz w:val="24"/>
          <w:szCs w:val="24"/>
          <w:vertAlign w:val="subscript"/>
        </w:rPr>
        <w:t>B</w:t>
      </w:r>
      <w:r w:rsidRPr="00D54784">
        <w:rPr>
          <w:sz w:val="24"/>
          <w:szCs w:val="24"/>
        </w:rPr>
        <w:t>, where E</w:t>
      </w:r>
      <w:r w:rsidRPr="00672D45">
        <w:rPr>
          <w:sz w:val="24"/>
          <w:szCs w:val="24"/>
          <w:vertAlign w:val="subscript"/>
        </w:rPr>
        <w:t>A</w:t>
      </w:r>
      <w:r w:rsidRPr="00D54784">
        <w:rPr>
          <w:sz w:val="24"/>
          <w:szCs w:val="24"/>
        </w:rPr>
        <w:t>+B, E</w:t>
      </w:r>
      <w:r w:rsidRPr="00672D45">
        <w:rPr>
          <w:sz w:val="24"/>
          <w:szCs w:val="24"/>
          <w:vertAlign w:val="subscript"/>
        </w:rPr>
        <w:t>A</w:t>
      </w:r>
      <w:r w:rsidRPr="00D54784">
        <w:rPr>
          <w:sz w:val="24"/>
          <w:szCs w:val="24"/>
        </w:rPr>
        <w:t>, and E</w:t>
      </w:r>
      <w:r w:rsidRPr="00672D45">
        <w:rPr>
          <w:sz w:val="24"/>
          <w:szCs w:val="24"/>
          <w:vertAlign w:val="subscript"/>
        </w:rPr>
        <w:t>B</w:t>
      </w:r>
      <w:r w:rsidRPr="00D54784">
        <w:rPr>
          <w:sz w:val="24"/>
          <w:szCs w:val="24"/>
        </w:rPr>
        <w:t xml:space="preserve"> represent the energy of the PEI and NMN on Cu/CeO</w:t>
      </w:r>
      <w:r w:rsidRPr="00E0747D">
        <w:rPr>
          <w:sz w:val="24"/>
          <w:szCs w:val="24"/>
          <w:vertAlign w:val="subscript"/>
        </w:rPr>
        <w:t>2</w:t>
      </w:r>
      <w:r w:rsidRPr="00D54784">
        <w:rPr>
          <w:sz w:val="24"/>
          <w:szCs w:val="24"/>
        </w:rPr>
        <w:t xml:space="preserve"> NPs, PEI, and NMN isolated on Cu/CeO</w:t>
      </w:r>
      <w:r w:rsidRPr="0055635D">
        <w:rPr>
          <w:sz w:val="24"/>
          <w:szCs w:val="24"/>
          <w:vertAlign w:val="subscript"/>
        </w:rPr>
        <w:t>2</w:t>
      </w:r>
      <w:r w:rsidRPr="00D54784">
        <w:rPr>
          <w:sz w:val="24"/>
          <w:szCs w:val="24"/>
        </w:rPr>
        <w:t xml:space="preserve"> NPs, respectively.</w:t>
      </w:r>
    </w:p>
    <w:p w14:paraId="673DE87F" w14:textId="23EA84A2" w:rsidR="00BE6FEB" w:rsidRPr="0032356F" w:rsidRDefault="00DB5713" w:rsidP="00BE6FEB">
      <w:pPr>
        <w:spacing w:line="480" w:lineRule="auto"/>
        <w:ind w:firstLineChars="0" w:firstLine="0"/>
        <w:rPr>
          <w:b/>
          <w:bCs/>
          <w:sz w:val="24"/>
          <w:szCs w:val="24"/>
        </w:rPr>
      </w:pPr>
      <w:r>
        <w:rPr>
          <w:rFonts w:hint="eastAsia"/>
          <w:b/>
          <w:bCs/>
          <w:sz w:val="24"/>
          <w:szCs w:val="24"/>
        </w:rPr>
        <w:lastRenderedPageBreak/>
        <w:t>4</w:t>
      </w:r>
      <w:r w:rsidR="00BE6FEB" w:rsidRPr="0032356F">
        <w:rPr>
          <w:b/>
          <w:bCs/>
          <w:sz w:val="24"/>
          <w:szCs w:val="24"/>
        </w:rPr>
        <w:t xml:space="preserve">. </w:t>
      </w:r>
      <w:r w:rsidR="001D32B4" w:rsidRPr="001D32B4">
        <w:rPr>
          <w:b/>
          <w:bCs/>
          <w:sz w:val="24"/>
          <w:szCs w:val="24"/>
        </w:rPr>
        <w:t>Swelling Behavior of Microneedle Patches</w:t>
      </w:r>
    </w:p>
    <w:p w14:paraId="4D0D3DB8" w14:textId="4F1A15C5" w:rsidR="00BE6FEB" w:rsidRPr="0032356F" w:rsidRDefault="001D32B4" w:rsidP="001D32B4">
      <w:pPr>
        <w:spacing w:line="480" w:lineRule="auto"/>
        <w:ind w:firstLine="480"/>
        <w:rPr>
          <w:sz w:val="24"/>
          <w:szCs w:val="24"/>
        </w:rPr>
      </w:pPr>
      <w:r w:rsidRPr="001D32B4">
        <w:rPr>
          <w:sz w:val="24"/>
          <w:szCs w:val="24"/>
        </w:rPr>
        <w:t>The swelling behavior of the samples was evaluated by recording changes in the microneedle mass during incubation. The initial mass (W</w:t>
      </w:r>
      <w:r w:rsidRPr="005B5F08">
        <w:rPr>
          <w:sz w:val="24"/>
          <w:szCs w:val="24"/>
          <w:vertAlign w:val="subscript"/>
        </w:rPr>
        <w:t>0</w:t>
      </w:r>
      <w:r w:rsidRPr="001D32B4">
        <w:rPr>
          <w:sz w:val="24"/>
          <w:szCs w:val="24"/>
        </w:rPr>
        <w:t xml:space="preserve">) of the microneedles was measured, and then they were immersed in 0.01 M PBS buffer (pH 7.4) at 37°C. At designated time points, the microneedles were removed, surface water was </w:t>
      </w:r>
      <w:r w:rsidR="00F67DCB">
        <w:rPr>
          <w:rFonts w:hint="eastAsia"/>
          <w:sz w:val="24"/>
          <w:szCs w:val="24"/>
        </w:rPr>
        <w:t>removed</w:t>
      </w:r>
      <w:r w:rsidR="00F67DCB">
        <w:rPr>
          <w:sz w:val="24"/>
          <w:szCs w:val="24"/>
        </w:rPr>
        <w:t xml:space="preserve"> </w:t>
      </w:r>
      <w:r w:rsidRPr="001D32B4">
        <w:rPr>
          <w:sz w:val="24"/>
          <w:szCs w:val="24"/>
        </w:rPr>
        <w:t>with filter paper, and the mass (W</w:t>
      </w:r>
      <w:r w:rsidRPr="005B5F08">
        <w:rPr>
          <w:sz w:val="24"/>
          <w:szCs w:val="24"/>
          <w:vertAlign w:val="subscript"/>
        </w:rPr>
        <w:t>t)</w:t>
      </w:r>
      <w:r w:rsidRPr="001D32B4">
        <w:rPr>
          <w:sz w:val="24"/>
          <w:szCs w:val="24"/>
        </w:rPr>
        <w:t xml:space="preserve"> was measured again. The swelling ratio (E</w:t>
      </w:r>
      <w:r w:rsidRPr="005B5F08">
        <w:rPr>
          <w:sz w:val="24"/>
          <w:szCs w:val="24"/>
          <w:vertAlign w:val="subscript"/>
        </w:rPr>
        <w:t>s</w:t>
      </w:r>
      <w:r w:rsidRPr="001D32B4">
        <w:rPr>
          <w:sz w:val="24"/>
          <w:szCs w:val="24"/>
        </w:rPr>
        <w:t>) was calculated using the formula: E</w:t>
      </w:r>
      <w:r w:rsidRPr="005B5F08">
        <w:rPr>
          <w:sz w:val="24"/>
          <w:szCs w:val="24"/>
          <w:vertAlign w:val="subscript"/>
        </w:rPr>
        <w:t>s</w:t>
      </w:r>
      <w:r w:rsidRPr="001D32B4">
        <w:rPr>
          <w:sz w:val="24"/>
          <w:szCs w:val="24"/>
        </w:rPr>
        <w:t xml:space="preserve"> = (W</w:t>
      </w:r>
      <w:r w:rsidRPr="005B5F08">
        <w:rPr>
          <w:sz w:val="24"/>
          <w:szCs w:val="24"/>
          <w:vertAlign w:val="subscript"/>
        </w:rPr>
        <w:t>t</w:t>
      </w:r>
      <w:r w:rsidRPr="001D32B4">
        <w:rPr>
          <w:sz w:val="24"/>
          <w:szCs w:val="24"/>
        </w:rPr>
        <w:t xml:space="preserve"> - W</w:t>
      </w:r>
      <w:r w:rsidRPr="005B5F08">
        <w:rPr>
          <w:sz w:val="24"/>
          <w:szCs w:val="24"/>
          <w:vertAlign w:val="subscript"/>
        </w:rPr>
        <w:t>0</w:t>
      </w:r>
      <w:r w:rsidRPr="001D32B4">
        <w:rPr>
          <w:sz w:val="24"/>
          <w:szCs w:val="24"/>
        </w:rPr>
        <w:t>) / W</w:t>
      </w:r>
      <w:r w:rsidRPr="005B5F08">
        <w:rPr>
          <w:sz w:val="24"/>
          <w:szCs w:val="24"/>
          <w:vertAlign w:val="subscript"/>
        </w:rPr>
        <w:t>0</w:t>
      </w:r>
      <w:r w:rsidRPr="001D32B4">
        <w:rPr>
          <w:sz w:val="24"/>
          <w:szCs w:val="24"/>
        </w:rPr>
        <w:t xml:space="preserve"> × 100%</w:t>
      </w:r>
      <w:r w:rsidR="00BE6FEB" w:rsidRPr="0032356F">
        <w:rPr>
          <w:sz w:val="24"/>
          <w:szCs w:val="24"/>
        </w:rPr>
        <w:t>.</w:t>
      </w:r>
    </w:p>
    <w:p w14:paraId="10059B75" w14:textId="53002B29" w:rsidR="00BE6FEB" w:rsidRPr="0032356F" w:rsidRDefault="007A759D" w:rsidP="00BE6FEB">
      <w:pPr>
        <w:spacing w:line="480" w:lineRule="auto"/>
        <w:ind w:firstLineChars="0" w:firstLine="0"/>
        <w:rPr>
          <w:b/>
          <w:bCs/>
          <w:sz w:val="24"/>
          <w:szCs w:val="24"/>
        </w:rPr>
      </w:pPr>
      <w:r>
        <w:rPr>
          <w:rFonts w:hint="eastAsia"/>
          <w:b/>
          <w:bCs/>
          <w:sz w:val="24"/>
          <w:szCs w:val="24"/>
        </w:rPr>
        <w:t>5</w:t>
      </w:r>
      <w:r w:rsidR="00BE6FEB" w:rsidRPr="0032356F">
        <w:rPr>
          <w:b/>
          <w:bCs/>
          <w:sz w:val="24"/>
          <w:szCs w:val="24"/>
        </w:rPr>
        <w:t xml:space="preserve">. </w:t>
      </w:r>
      <w:r w:rsidR="001D32B4" w:rsidRPr="001D32B4">
        <w:rPr>
          <w:b/>
          <w:bCs/>
          <w:i/>
          <w:iCs/>
          <w:sz w:val="24"/>
          <w:szCs w:val="24"/>
        </w:rPr>
        <w:t>In Vitro</w:t>
      </w:r>
      <w:r w:rsidR="001D32B4" w:rsidRPr="001D32B4">
        <w:rPr>
          <w:b/>
          <w:bCs/>
          <w:sz w:val="24"/>
          <w:szCs w:val="24"/>
        </w:rPr>
        <w:t xml:space="preserve"> Drug Release of </w:t>
      </w:r>
      <w:r w:rsidR="00DA4223" w:rsidRPr="00DA4223">
        <w:rPr>
          <w:b/>
          <w:bCs/>
          <w:sz w:val="24"/>
          <w:szCs w:val="24"/>
        </w:rPr>
        <w:t>NMN@Cu/CeO₂</w:t>
      </w:r>
    </w:p>
    <w:p w14:paraId="4229824A" w14:textId="1C0E4108" w:rsidR="00BE6FEB" w:rsidRPr="0032356F" w:rsidRDefault="00DA4223" w:rsidP="001D32B4">
      <w:pPr>
        <w:spacing w:line="480" w:lineRule="auto"/>
        <w:ind w:firstLine="480"/>
        <w:rPr>
          <w:sz w:val="24"/>
          <w:szCs w:val="24"/>
        </w:rPr>
      </w:pPr>
      <w:r w:rsidRPr="009211FB">
        <w:rPr>
          <w:sz w:val="24"/>
          <w:szCs w:val="24"/>
        </w:rPr>
        <w:t>NMN@Cu/CeO₂</w:t>
      </w:r>
      <w:r w:rsidR="001D32B4" w:rsidRPr="001D32B4">
        <w:rPr>
          <w:sz w:val="24"/>
          <w:szCs w:val="24"/>
        </w:rPr>
        <w:t xml:space="preserve"> were encapsulated in a dialysis bag (10 kDa MWCO) and placed in 30 mL of</w:t>
      </w:r>
      <w:r w:rsidR="009355AF">
        <w:rPr>
          <w:rFonts w:hint="eastAsia"/>
          <w:sz w:val="24"/>
          <w:szCs w:val="24"/>
        </w:rPr>
        <w:t xml:space="preserve"> </w:t>
      </w:r>
      <w:r w:rsidR="001D32B4" w:rsidRPr="001D32B4">
        <w:rPr>
          <w:sz w:val="24"/>
          <w:szCs w:val="24"/>
        </w:rPr>
        <w:t>PBS</w:t>
      </w:r>
      <w:r w:rsidR="001D32B4" w:rsidRPr="0022284C">
        <w:rPr>
          <w:color w:val="000000" w:themeColor="text1"/>
          <w:sz w:val="24"/>
          <w:szCs w:val="24"/>
        </w:rPr>
        <w:t xml:space="preserve"> (pH</w:t>
      </w:r>
      <w:r w:rsidR="00DB2FBB" w:rsidRPr="0022284C">
        <w:rPr>
          <w:rFonts w:hint="eastAsia"/>
          <w:color w:val="000000" w:themeColor="text1"/>
          <w:sz w:val="24"/>
          <w:szCs w:val="24"/>
        </w:rPr>
        <w:t>=</w:t>
      </w:r>
      <w:r w:rsidR="009355AF" w:rsidRPr="0022284C">
        <w:rPr>
          <w:rFonts w:hint="eastAsia"/>
          <w:color w:val="000000" w:themeColor="text1"/>
          <w:sz w:val="24"/>
          <w:szCs w:val="24"/>
        </w:rPr>
        <w:t>5.5</w:t>
      </w:r>
      <w:r w:rsidR="001D32B4" w:rsidRPr="0022284C">
        <w:rPr>
          <w:color w:val="000000" w:themeColor="text1"/>
          <w:sz w:val="24"/>
          <w:szCs w:val="24"/>
        </w:rPr>
        <w:t xml:space="preserve">) </w:t>
      </w:r>
      <w:r w:rsidR="001D32B4" w:rsidRPr="001D32B4">
        <w:rPr>
          <w:sz w:val="24"/>
          <w:szCs w:val="24"/>
        </w:rPr>
        <w:t>at 37°C on a shaker set at 100 rpm. At specified time intervals, 1 mL of the release medium was withdrawn and analyzed for absorbance at 266 nm using a UV-vis spectrophotometer. The cumulative release of the drug was calculated using the standard curve method. The drug release percentage was calculated using the formula: W</w:t>
      </w:r>
      <w:r w:rsidR="001D32B4" w:rsidRPr="00A24907">
        <w:rPr>
          <w:sz w:val="24"/>
          <w:szCs w:val="24"/>
          <w:vertAlign w:val="subscript"/>
        </w:rPr>
        <w:t>d</w:t>
      </w:r>
      <w:r w:rsidR="001D32B4" w:rsidRPr="001D32B4">
        <w:rPr>
          <w:sz w:val="24"/>
          <w:szCs w:val="24"/>
        </w:rPr>
        <w:t xml:space="preserve"> × 100% / W</w:t>
      </w:r>
      <w:r w:rsidR="001D32B4" w:rsidRPr="00A24907">
        <w:rPr>
          <w:sz w:val="24"/>
          <w:szCs w:val="24"/>
          <w:vertAlign w:val="subscript"/>
        </w:rPr>
        <w:t>a</w:t>
      </w:r>
      <w:r w:rsidR="001D32B4" w:rsidRPr="001D32B4">
        <w:rPr>
          <w:sz w:val="24"/>
          <w:szCs w:val="24"/>
        </w:rPr>
        <w:t>, where W</w:t>
      </w:r>
      <w:r w:rsidR="001D32B4" w:rsidRPr="00A24907">
        <w:rPr>
          <w:sz w:val="24"/>
          <w:szCs w:val="24"/>
          <w:vertAlign w:val="subscript"/>
        </w:rPr>
        <w:t>d</w:t>
      </w:r>
      <w:r w:rsidR="001D32B4" w:rsidRPr="001D32B4">
        <w:rPr>
          <w:sz w:val="24"/>
          <w:szCs w:val="24"/>
        </w:rPr>
        <w:t xml:space="preserve"> is the released NMN amount and W</w:t>
      </w:r>
      <w:r w:rsidR="001D32B4" w:rsidRPr="00A24907">
        <w:rPr>
          <w:sz w:val="24"/>
          <w:szCs w:val="24"/>
          <w:vertAlign w:val="subscript"/>
        </w:rPr>
        <w:t>a</w:t>
      </w:r>
      <w:r w:rsidR="001D32B4" w:rsidRPr="001D32B4">
        <w:rPr>
          <w:sz w:val="24"/>
          <w:szCs w:val="24"/>
        </w:rPr>
        <w:t xml:space="preserve"> is the initial amount of NMN</w:t>
      </w:r>
      <w:r w:rsidR="00BE6FEB" w:rsidRPr="0032356F">
        <w:rPr>
          <w:sz w:val="24"/>
          <w:szCs w:val="24"/>
        </w:rPr>
        <w:t>.</w:t>
      </w:r>
    </w:p>
    <w:p w14:paraId="57C94E01" w14:textId="3CB3D589" w:rsidR="0074550E" w:rsidRPr="0074550E" w:rsidRDefault="007A759D" w:rsidP="0074550E">
      <w:pPr>
        <w:spacing w:line="480" w:lineRule="auto"/>
        <w:ind w:firstLineChars="0" w:firstLine="0"/>
        <w:rPr>
          <w:b/>
          <w:bCs/>
          <w:sz w:val="24"/>
          <w:szCs w:val="24"/>
        </w:rPr>
      </w:pPr>
      <w:r>
        <w:rPr>
          <w:rFonts w:hint="eastAsia"/>
          <w:b/>
          <w:bCs/>
          <w:sz w:val="24"/>
          <w:szCs w:val="24"/>
        </w:rPr>
        <w:t>6</w:t>
      </w:r>
      <w:r w:rsidR="00BE6FEB" w:rsidRPr="0074550E">
        <w:rPr>
          <w:b/>
          <w:bCs/>
          <w:sz w:val="24"/>
          <w:szCs w:val="24"/>
        </w:rPr>
        <w:t xml:space="preserve">. </w:t>
      </w:r>
      <w:r w:rsidR="0074550E" w:rsidRPr="0074550E">
        <w:rPr>
          <w:b/>
          <w:bCs/>
          <w:sz w:val="24"/>
          <w:szCs w:val="24"/>
        </w:rPr>
        <w:t>DPPH• and ox-TMB Free Radical Scavenging Tests</w:t>
      </w:r>
    </w:p>
    <w:p w14:paraId="60C26D6E" w14:textId="40BC47C3" w:rsidR="0074550E" w:rsidRPr="0074550E" w:rsidRDefault="0074550E" w:rsidP="0074550E">
      <w:pPr>
        <w:spacing w:line="480" w:lineRule="auto"/>
        <w:ind w:firstLine="480"/>
        <w:rPr>
          <w:sz w:val="24"/>
          <w:szCs w:val="24"/>
        </w:rPr>
      </w:pPr>
      <w:r w:rsidRPr="0074550E">
        <w:rPr>
          <w:sz w:val="24"/>
          <w:szCs w:val="24"/>
        </w:rPr>
        <w:t xml:space="preserve">The free radical scavenging capacity of the composite </w:t>
      </w:r>
      <w:r w:rsidR="00BC6B66" w:rsidRPr="00BC6B66">
        <w:rPr>
          <w:sz w:val="24"/>
          <w:szCs w:val="24"/>
        </w:rPr>
        <w:t>nanoenzymes</w:t>
      </w:r>
      <w:r w:rsidRPr="0074550E">
        <w:rPr>
          <w:sz w:val="24"/>
          <w:szCs w:val="24"/>
        </w:rPr>
        <w:t xml:space="preserve"> was assessed using DPPH•. DPPH (10 mg) was mixed with ethanol (20 mL) and incubated at room temperature in the dark to obtain DPPH•. Different concentrations of NMN, Cu/CeO</w:t>
      </w:r>
      <w:r w:rsidRPr="00AF5171">
        <w:rPr>
          <w:sz w:val="24"/>
          <w:szCs w:val="24"/>
          <w:vertAlign w:val="subscript"/>
        </w:rPr>
        <w:t>2</w:t>
      </w:r>
      <w:r w:rsidRPr="0074550E">
        <w:rPr>
          <w:sz w:val="24"/>
          <w:szCs w:val="24"/>
        </w:rPr>
        <w:t>, Vitamin C, an</w:t>
      </w:r>
      <w:r w:rsidRPr="0074550E">
        <w:rPr>
          <w:rFonts w:hint="eastAsia"/>
          <w:sz w:val="24"/>
          <w:szCs w:val="24"/>
        </w:rPr>
        <w:t xml:space="preserve">d </w:t>
      </w:r>
      <w:r w:rsidR="00DA4223" w:rsidRPr="009211FB">
        <w:rPr>
          <w:sz w:val="24"/>
          <w:szCs w:val="24"/>
        </w:rPr>
        <w:t>NMN@Cu/CeO₂</w:t>
      </w:r>
      <w:r w:rsidRPr="0074550E">
        <w:rPr>
          <w:rFonts w:hint="eastAsia"/>
          <w:sz w:val="24"/>
          <w:szCs w:val="24"/>
        </w:rPr>
        <w:t xml:space="preserve"> nanoparticle solutions (100 </w:t>
      </w:r>
      <w:r w:rsidRPr="0074550E">
        <w:rPr>
          <w:sz w:val="24"/>
          <w:szCs w:val="24"/>
        </w:rPr>
        <w:t>μ</w:t>
      </w:r>
      <w:r w:rsidRPr="0074550E">
        <w:rPr>
          <w:rFonts w:hint="eastAsia"/>
          <w:sz w:val="24"/>
          <w:szCs w:val="24"/>
        </w:rPr>
        <w:t>L) were added to the DPPH</w:t>
      </w:r>
      <w:r w:rsidRPr="0074550E">
        <w:rPr>
          <w:rFonts w:hint="eastAsia"/>
          <w:sz w:val="24"/>
          <w:szCs w:val="24"/>
        </w:rPr>
        <w:t>•</w:t>
      </w:r>
      <w:r w:rsidRPr="0074550E">
        <w:rPr>
          <w:rFonts w:hint="eastAsia"/>
          <w:sz w:val="24"/>
          <w:szCs w:val="24"/>
        </w:rPr>
        <w:t xml:space="preserve"> solution, and absorbance was measured at 517 nm. Similarly, the antioxidant capacity of the composite </w:t>
      </w:r>
      <w:r w:rsidR="00BC6B66" w:rsidRPr="00BC6B66">
        <w:rPr>
          <w:sz w:val="24"/>
          <w:szCs w:val="24"/>
        </w:rPr>
        <w:t>nanoenzymes</w:t>
      </w:r>
      <w:r w:rsidRPr="0074550E">
        <w:rPr>
          <w:rFonts w:hint="eastAsia"/>
          <w:sz w:val="24"/>
          <w:szCs w:val="24"/>
        </w:rPr>
        <w:t xml:space="preserve"> was evaluated using</w:t>
      </w:r>
      <w:r w:rsidRPr="0074550E">
        <w:rPr>
          <w:sz w:val="24"/>
          <w:szCs w:val="24"/>
        </w:rPr>
        <w:t xml:space="preserve"> 3,3′,5,5′-</w:t>
      </w:r>
      <w:r w:rsidRPr="0074550E">
        <w:rPr>
          <w:sz w:val="24"/>
          <w:szCs w:val="24"/>
        </w:rPr>
        <w:lastRenderedPageBreak/>
        <w:t xml:space="preserve">Tetramethylbenzidine (TMB). The maximum absorbance of ox-TMB was measured at 652 nm using a </w:t>
      </w:r>
      <w:r w:rsidRPr="00A24907">
        <w:rPr>
          <w:i/>
          <w:iCs/>
          <w:sz w:val="24"/>
          <w:szCs w:val="24"/>
        </w:rPr>
        <w:t>UV</w:t>
      </w:r>
      <w:r w:rsidRPr="0074550E">
        <w:rPr>
          <w:sz w:val="24"/>
          <w:szCs w:val="24"/>
        </w:rPr>
        <w:t>-vis spectrophotometer.</w:t>
      </w:r>
    </w:p>
    <w:p w14:paraId="261ED9CF" w14:textId="1219D48A" w:rsidR="0074550E" w:rsidRPr="0074550E" w:rsidRDefault="007A759D" w:rsidP="0074550E">
      <w:pPr>
        <w:spacing w:line="480" w:lineRule="auto"/>
        <w:ind w:firstLineChars="0" w:firstLine="0"/>
        <w:rPr>
          <w:b/>
          <w:bCs/>
          <w:sz w:val="24"/>
          <w:szCs w:val="24"/>
        </w:rPr>
      </w:pPr>
      <w:r>
        <w:rPr>
          <w:rFonts w:hint="eastAsia"/>
          <w:b/>
          <w:bCs/>
          <w:sz w:val="24"/>
          <w:szCs w:val="24"/>
        </w:rPr>
        <w:t>7</w:t>
      </w:r>
      <w:r w:rsidR="0074550E" w:rsidRPr="0074550E">
        <w:rPr>
          <w:b/>
          <w:bCs/>
          <w:sz w:val="24"/>
          <w:szCs w:val="24"/>
        </w:rPr>
        <w:t>. Measurement of SOD and CAT Enzyme Activities</w:t>
      </w:r>
    </w:p>
    <w:p w14:paraId="16F0678B" w14:textId="6A376D4C" w:rsidR="0074550E" w:rsidRPr="0074550E" w:rsidRDefault="0074550E" w:rsidP="0074550E">
      <w:pPr>
        <w:spacing w:line="480" w:lineRule="auto"/>
        <w:ind w:firstLine="480"/>
        <w:rPr>
          <w:sz w:val="24"/>
          <w:szCs w:val="24"/>
        </w:rPr>
      </w:pPr>
      <w:r w:rsidRPr="0074550E">
        <w:rPr>
          <w:sz w:val="24"/>
          <w:szCs w:val="24"/>
        </w:rPr>
        <w:t xml:space="preserve">The SOD enzyme activity of the composite </w:t>
      </w:r>
      <w:r w:rsidR="00BC6B66" w:rsidRPr="00BC6B66">
        <w:rPr>
          <w:sz w:val="24"/>
          <w:szCs w:val="24"/>
        </w:rPr>
        <w:t>nanoenzymes</w:t>
      </w:r>
      <w:r w:rsidRPr="0074550E">
        <w:rPr>
          <w:sz w:val="24"/>
          <w:szCs w:val="24"/>
        </w:rPr>
        <w:t xml:space="preserve"> was represented by the inhibition of NBT photoreduction. Briefly, different concentrations of nanomaterials (10, </w:t>
      </w:r>
      <w:r w:rsidR="00A24907">
        <w:rPr>
          <w:rFonts w:hint="eastAsia"/>
          <w:sz w:val="24"/>
          <w:szCs w:val="24"/>
        </w:rPr>
        <w:t>20,</w:t>
      </w:r>
      <w:r w:rsidRPr="0074550E">
        <w:rPr>
          <w:sz w:val="24"/>
          <w:szCs w:val="24"/>
        </w:rPr>
        <w:t>40, 80, 100, 150, and 200 μg/mL) were mixed with L-methionine (0.1 mL, 125 mM), riboflavin (0.1 mL, 200</w:t>
      </w:r>
      <w:r w:rsidR="007A7F92">
        <w:rPr>
          <w:rFonts w:hint="eastAsia"/>
          <w:sz w:val="24"/>
          <w:szCs w:val="24"/>
        </w:rPr>
        <w:t xml:space="preserve"> </w:t>
      </w:r>
      <w:r w:rsidRPr="0074550E">
        <w:rPr>
          <w:sz w:val="24"/>
          <w:szCs w:val="24"/>
        </w:rPr>
        <w:t xml:space="preserve">μM), and NBT (0.1 mL, </w:t>
      </w:r>
      <w:bookmarkStart w:id="6" w:name="OLE_LINK2"/>
      <w:r w:rsidRPr="0074550E">
        <w:rPr>
          <w:sz w:val="24"/>
          <w:szCs w:val="24"/>
        </w:rPr>
        <w:t>750 μM</w:t>
      </w:r>
      <w:bookmarkEnd w:id="6"/>
      <w:r w:rsidRPr="0074550E">
        <w:rPr>
          <w:sz w:val="24"/>
          <w:szCs w:val="24"/>
        </w:rPr>
        <w:t xml:space="preserve">) in deionized water, and the final volume was adjusted to 1 mL. The reaction mixture was irradiated with </w:t>
      </w:r>
      <w:r w:rsidRPr="002B5C7B">
        <w:rPr>
          <w:i/>
          <w:iCs/>
          <w:sz w:val="24"/>
          <w:szCs w:val="24"/>
        </w:rPr>
        <w:t>UV</w:t>
      </w:r>
      <w:r w:rsidRPr="0074550E">
        <w:rPr>
          <w:sz w:val="24"/>
          <w:szCs w:val="24"/>
        </w:rPr>
        <w:t xml:space="preserve"> light for 30 minutes, and absorbance was measured at 560 nm. The inhibition percentage was calculated using the formula: Inhibition (%) = [(A</w:t>
      </w:r>
      <w:r w:rsidRPr="00D52996">
        <w:rPr>
          <w:sz w:val="24"/>
          <w:szCs w:val="24"/>
          <w:vertAlign w:val="subscript"/>
        </w:rPr>
        <w:t>m</w:t>
      </w:r>
      <w:r w:rsidRPr="0074550E">
        <w:rPr>
          <w:sz w:val="24"/>
          <w:szCs w:val="24"/>
        </w:rPr>
        <w:t xml:space="preserve"> - A</w:t>
      </w:r>
      <w:r w:rsidRPr="00D52996">
        <w:rPr>
          <w:sz w:val="24"/>
          <w:szCs w:val="24"/>
          <w:vertAlign w:val="subscript"/>
        </w:rPr>
        <w:t>n</w:t>
      </w:r>
      <w:r w:rsidRPr="0074550E">
        <w:rPr>
          <w:sz w:val="24"/>
          <w:szCs w:val="24"/>
        </w:rPr>
        <w:t>) / A</w:t>
      </w:r>
      <w:r w:rsidRPr="00D52996">
        <w:rPr>
          <w:sz w:val="24"/>
          <w:szCs w:val="24"/>
          <w:vertAlign w:val="subscript"/>
        </w:rPr>
        <w:t>m</w:t>
      </w:r>
      <w:r w:rsidRPr="0074550E">
        <w:rPr>
          <w:sz w:val="24"/>
          <w:szCs w:val="24"/>
        </w:rPr>
        <w:t>] × 100%, where A</w:t>
      </w:r>
      <w:r w:rsidRPr="002447F8">
        <w:rPr>
          <w:sz w:val="24"/>
          <w:szCs w:val="24"/>
          <w:vertAlign w:val="subscript"/>
        </w:rPr>
        <w:t>n</w:t>
      </w:r>
      <w:r w:rsidRPr="0074550E">
        <w:rPr>
          <w:sz w:val="24"/>
          <w:szCs w:val="24"/>
        </w:rPr>
        <w:t xml:space="preserve"> is the absorbance of the samples and A</w:t>
      </w:r>
      <w:r w:rsidRPr="002447F8">
        <w:rPr>
          <w:sz w:val="24"/>
          <w:szCs w:val="24"/>
          <w:vertAlign w:val="subscript"/>
        </w:rPr>
        <w:t>m</w:t>
      </w:r>
      <w:r w:rsidRPr="0074550E">
        <w:rPr>
          <w:sz w:val="24"/>
          <w:szCs w:val="24"/>
        </w:rPr>
        <w:t xml:space="preserve"> is the absorbance of the control group.</w:t>
      </w:r>
    </w:p>
    <w:p w14:paraId="46E18EAD" w14:textId="46FB0A9F" w:rsidR="002D6026" w:rsidRPr="002D6026" w:rsidRDefault="002D6026" w:rsidP="007A759D">
      <w:pPr>
        <w:spacing w:line="480" w:lineRule="auto"/>
        <w:ind w:firstLine="480"/>
        <w:rPr>
          <w:sz w:val="24"/>
          <w:szCs w:val="24"/>
        </w:rPr>
      </w:pPr>
      <w:r w:rsidRPr="002D6026">
        <w:rPr>
          <w:sz w:val="24"/>
          <w:szCs w:val="24"/>
        </w:rPr>
        <w:t>CAT enzyme activity was evaluated by measuring H</w:t>
      </w:r>
      <w:r w:rsidRPr="002D6026">
        <w:rPr>
          <w:sz w:val="24"/>
          <w:szCs w:val="24"/>
          <w:vertAlign w:val="subscript"/>
        </w:rPr>
        <w:t>2</w:t>
      </w:r>
      <w:r w:rsidRPr="002D6026">
        <w:rPr>
          <w:sz w:val="24"/>
          <w:szCs w:val="24"/>
        </w:rPr>
        <w:t>O</w:t>
      </w:r>
      <w:r w:rsidRPr="002D6026">
        <w:rPr>
          <w:sz w:val="24"/>
          <w:szCs w:val="24"/>
          <w:vertAlign w:val="subscript"/>
        </w:rPr>
        <w:t>2</w:t>
      </w:r>
      <w:r w:rsidRPr="002D6026">
        <w:rPr>
          <w:sz w:val="24"/>
          <w:szCs w:val="24"/>
        </w:rPr>
        <w:t xml:space="preserve"> clearance. Different concentrations of nanomaterials (10, </w:t>
      </w:r>
      <w:r w:rsidR="002B5C7B">
        <w:rPr>
          <w:rFonts w:hint="eastAsia"/>
          <w:sz w:val="24"/>
          <w:szCs w:val="24"/>
        </w:rPr>
        <w:t>20,</w:t>
      </w:r>
      <w:r w:rsidRPr="002D6026">
        <w:rPr>
          <w:sz w:val="24"/>
          <w:szCs w:val="24"/>
        </w:rPr>
        <w:t>40, 80, 100, 150, and 200 μg/mL) were mixed with H</w:t>
      </w:r>
      <w:r w:rsidRPr="002D6026">
        <w:rPr>
          <w:sz w:val="24"/>
          <w:szCs w:val="24"/>
          <w:vertAlign w:val="subscript"/>
        </w:rPr>
        <w:t>2</w:t>
      </w:r>
      <w:r w:rsidRPr="002D6026">
        <w:rPr>
          <w:sz w:val="24"/>
          <w:szCs w:val="24"/>
        </w:rPr>
        <w:t>O</w:t>
      </w:r>
      <w:r w:rsidRPr="002D6026">
        <w:rPr>
          <w:sz w:val="24"/>
          <w:szCs w:val="24"/>
          <w:vertAlign w:val="subscript"/>
        </w:rPr>
        <w:t>2</w:t>
      </w:r>
      <w:r w:rsidRPr="002D6026">
        <w:rPr>
          <w:sz w:val="24"/>
          <w:szCs w:val="24"/>
        </w:rPr>
        <w:t xml:space="preserve"> solution (</w:t>
      </w:r>
      <w:r w:rsidR="007A7F92">
        <w:rPr>
          <w:rFonts w:hint="eastAsia"/>
          <w:sz w:val="24"/>
          <w:szCs w:val="24"/>
        </w:rPr>
        <w:t>50</w:t>
      </w:r>
      <w:r w:rsidR="007A7F92" w:rsidRPr="0074550E">
        <w:rPr>
          <w:sz w:val="24"/>
          <w:szCs w:val="24"/>
        </w:rPr>
        <w:t xml:space="preserve"> μM</w:t>
      </w:r>
      <w:r w:rsidRPr="002D6026">
        <w:rPr>
          <w:sz w:val="24"/>
          <w:szCs w:val="24"/>
        </w:rPr>
        <w:t>) to form a 1 mL reaction mixture. The reaction was incubated at 37°C for 2 hours, and the absorbance at 240 nm was measured.</w:t>
      </w:r>
      <w:r w:rsidRPr="002D6026">
        <w:t xml:space="preserve"> </w:t>
      </w:r>
      <w:r w:rsidRPr="002D6026">
        <w:rPr>
          <w:sz w:val="24"/>
          <w:szCs w:val="24"/>
        </w:rPr>
        <w:t>CAT enzyme activity was calculated based on the rate of change in absorbance</w:t>
      </w:r>
      <w:r>
        <w:rPr>
          <w:rFonts w:hint="eastAsia"/>
          <w:sz w:val="24"/>
          <w:szCs w:val="24"/>
        </w:rPr>
        <w:t>.</w:t>
      </w:r>
    </w:p>
    <w:p w14:paraId="1576B1D6" w14:textId="03FB7DAA" w:rsidR="0074550E" w:rsidRPr="0074550E" w:rsidRDefault="007A759D" w:rsidP="0074550E">
      <w:pPr>
        <w:spacing w:line="480" w:lineRule="auto"/>
        <w:ind w:firstLineChars="0" w:firstLine="0"/>
        <w:rPr>
          <w:b/>
          <w:bCs/>
          <w:sz w:val="24"/>
          <w:szCs w:val="24"/>
        </w:rPr>
      </w:pPr>
      <w:r>
        <w:rPr>
          <w:rFonts w:hint="eastAsia"/>
          <w:b/>
          <w:bCs/>
          <w:sz w:val="24"/>
          <w:szCs w:val="24"/>
        </w:rPr>
        <w:t>8</w:t>
      </w:r>
      <w:r w:rsidR="0074550E" w:rsidRPr="0074550E">
        <w:rPr>
          <w:b/>
          <w:bCs/>
          <w:sz w:val="24"/>
          <w:szCs w:val="24"/>
        </w:rPr>
        <w:t>. Oxygen Generation Release Test</w:t>
      </w:r>
    </w:p>
    <w:p w14:paraId="05912075" w14:textId="426EF062" w:rsidR="0074550E" w:rsidRPr="0074550E" w:rsidRDefault="0074550E" w:rsidP="0074550E">
      <w:pPr>
        <w:spacing w:line="480" w:lineRule="auto"/>
        <w:ind w:firstLine="480"/>
        <w:rPr>
          <w:sz w:val="24"/>
          <w:szCs w:val="24"/>
        </w:rPr>
      </w:pPr>
      <w:r w:rsidRPr="0074550E">
        <w:rPr>
          <w:sz w:val="24"/>
          <w:szCs w:val="24"/>
        </w:rPr>
        <w:t xml:space="preserve">The oxygen generation efficiency of the nanoparticles was measured by mixing a specific concentration of nanomaterials with </w:t>
      </w:r>
      <w:r w:rsidR="00615B87" w:rsidRPr="0074550E">
        <w:rPr>
          <w:sz w:val="24"/>
          <w:szCs w:val="24"/>
        </w:rPr>
        <w:t>H</w:t>
      </w:r>
      <w:r w:rsidR="00615B87" w:rsidRPr="00615B87">
        <w:rPr>
          <w:sz w:val="24"/>
          <w:szCs w:val="24"/>
          <w:vertAlign w:val="subscript"/>
        </w:rPr>
        <w:t>2</w:t>
      </w:r>
      <w:r w:rsidR="00615B87" w:rsidRPr="0074550E">
        <w:rPr>
          <w:sz w:val="24"/>
          <w:szCs w:val="24"/>
        </w:rPr>
        <w:t>O</w:t>
      </w:r>
      <w:r w:rsidR="00615B87" w:rsidRPr="00615B87">
        <w:rPr>
          <w:sz w:val="24"/>
          <w:szCs w:val="24"/>
          <w:vertAlign w:val="subscript"/>
        </w:rPr>
        <w:t>2</w:t>
      </w:r>
      <w:r w:rsidRPr="0074550E">
        <w:rPr>
          <w:sz w:val="24"/>
          <w:szCs w:val="24"/>
        </w:rPr>
        <w:t xml:space="preserve"> (</w:t>
      </w:r>
      <w:r w:rsidR="00AD1D5C">
        <w:rPr>
          <w:rFonts w:hint="eastAsia"/>
          <w:sz w:val="24"/>
          <w:szCs w:val="24"/>
        </w:rPr>
        <w:t>200</w:t>
      </w:r>
      <w:r w:rsidRPr="0074550E">
        <w:rPr>
          <w:sz w:val="24"/>
          <w:szCs w:val="24"/>
        </w:rPr>
        <w:t xml:space="preserve"> mM) in Tris-HCl buffer (0.1 M, pH 7.2). The dissolved oxygen concentration was measured over </w:t>
      </w:r>
      <w:r w:rsidR="0022284C">
        <w:rPr>
          <w:rFonts w:hint="eastAsia"/>
          <w:sz w:val="24"/>
          <w:szCs w:val="24"/>
        </w:rPr>
        <w:t>20</w:t>
      </w:r>
      <w:r w:rsidR="0022284C" w:rsidRPr="0074550E">
        <w:rPr>
          <w:sz w:val="24"/>
          <w:szCs w:val="24"/>
        </w:rPr>
        <w:t xml:space="preserve"> </w:t>
      </w:r>
      <w:r w:rsidRPr="0074550E">
        <w:rPr>
          <w:sz w:val="24"/>
          <w:szCs w:val="24"/>
        </w:rPr>
        <w:t xml:space="preserve">minutes using a dissolved oxygen meter (JPBJ-608) to simulate the oxygen generation efficiency of </w:t>
      </w:r>
      <w:r w:rsidR="00B61232" w:rsidRPr="00B61232">
        <w:rPr>
          <w:sz w:val="24"/>
          <w:szCs w:val="24"/>
        </w:rPr>
        <w:t>nanoenzymes</w:t>
      </w:r>
      <w:r w:rsidRPr="0074550E">
        <w:rPr>
          <w:sz w:val="24"/>
          <w:szCs w:val="24"/>
        </w:rPr>
        <w:t xml:space="preserve"> in wound environments.</w:t>
      </w:r>
    </w:p>
    <w:p w14:paraId="5739CA11" w14:textId="77A21480" w:rsidR="0074550E" w:rsidRPr="0074550E" w:rsidRDefault="007A759D" w:rsidP="0074550E">
      <w:pPr>
        <w:spacing w:line="480" w:lineRule="auto"/>
        <w:ind w:firstLineChars="0" w:firstLine="0"/>
        <w:rPr>
          <w:b/>
          <w:bCs/>
          <w:sz w:val="24"/>
          <w:szCs w:val="24"/>
        </w:rPr>
      </w:pPr>
      <w:r>
        <w:rPr>
          <w:rFonts w:hint="eastAsia"/>
          <w:b/>
          <w:bCs/>
          <w:sz w:val="24"/>
          <w:szCs w:val="24"/>
        </w:rPr>
        <w:lastRenderedPageBreak/>
        <w:t>9</w:t>
      </w:r>
      <w:r w:rsidR="00BF5C3C">
        <w:rPr>
          <w:rFonts w:hint="eastAsia"/>
          <w:b/>
          <w:bCs/>
          <w:sz w:val="24"/>
          <w:szCs w:val="24"/>
        </w:rPr>
        <w:t>.</w:t>
      </w:r>
      <w:r w:rsidR="0074550E" w:rsidRPr="0074550E">
        <w:rPr>
          <w:b/>
          <w:bCs/>
          <w:sz w:val="24"/>
          <w:szCs w:val="24"/>
        </w:rPr>
        <w:t xml:space="preserve"> Drug Release Behavior in </w:t>
      </w:r>
      <w:r w:rsidR="00DA4223" w:rsidRPr="000B1335">
        <w:rPr>
          <w:b/>
          <w:bCs/>
          <w:sz w:val="24"/>
          <w:szCs w:val="24"/>
        </w:rPr>
        <w:t>NMN@Cu/CeO₂</w:t>
      </w:r>
      <w:r w:rsidR="00DA4223" w:rsidRPr="000B1335">
        <w:rPr>
          <w:rFonts w:hint="eastAsia"/>
          <w:b/>
          <w:bCs/>
          <w:sz w:val="24"/>
          <w:szCs w:val="24"/>
        </w:rPr>
        <w:t>-MN</w:t>
      </w:r>
    </w:p>
    <w:p w14:paraId="5F09DD38" w14:textId="756D2F57" w:rsidR="0074550E" w:rsidRPr="0074550E" w:rsidRDefault="0074550E" w:rsidP="0074550E">
      <w:pPr>
        <w:spacing w:line="480" w:lineRule="auto"/>
        <w:ind w:firstLine="480"/>
        <w:rPr>
          <w:sz w:val="24"/>
          <w:szCs w:val="24"/>
        </w:rPr>
      </w:pPr>
      <w:r w:rsidRPr="0074550E">
        <w:rPr>
          <w:sz w:val="24"/>
          <w:szCs w:val="24"/>
        </w:rPr>
        <w:t xml:space="preserve">To investigate the drug release behavior of the microneedles, rhodamine B (RB) was used as a model drug. RB was incubated with composite </w:t>
      </w:r>
      <w:r w:rsidR="007A751B" w:rsidRPr="00B61232">
        <w:rPr>
          <w:sz w:val="24"/>
          <w:szCs w:val="24"/>
        </w:rPr>
        <w:t>nanoenzymes</w:t>
      </w:r>
      <w:r w:rsidRPr="009906DC">
        <w:rPr>
          <w:sz w:val="24"/>
          <w:szCs w:val="24"/>
        </w:rPr>
        <w:t xml:space="preserve"> to</w:t>
      </w:r>
      <w:r w:rsidRPr="0074550E">
        <w:rPr>
          <w:sz w:val="24"/>
          <w:szCs w:val="24"/>
        </w:rPr>
        <w:t xml:space="preserve"> obtain fluorescently labeled nanoparticles, which were then loaded into the microneedles to prepare RB-loaded microneedle patches (1 mg/mL). The microneedles were immersed in 5 mL of PBS at 37°C, and at scheduled time points (0, 1, 3, 6, 12, 24, 48, 72, 96, and </w:t>
      </w:r>
      <w:r w:rsidR="0022284C">
        <w:rPr>
          <w:rFonts w:hint="eastAsia"/>
          <w:sz w:val="24"/>
          <w:szCs w:val="24"/>
        </w:rPr>
        <w:t>144</w:t>
      </w:r>
      <w:r w:rsidR="0022284C" w:rsidRPr="0074550E">
        <w:rPr>
          <w:sz w:val="24"/>
          <w:szCs w:val="24"/>
        </w:rPr>
        <w:t xml:space="preserve"> </w:t>
      </w:r>
      <w:r w:rsidRPr="0074550E">
        <w:rPr>
          <w:sz w:val="24"/>
          <w:szCs w:val="24"/>
        </w:rPr>
        <w:t>hours), the fluorescence absorbance of the supernatant was measured. The cumulative release was calculated based on the standard fluorescence intensity-concentration curve.</w:t>
      </w:r>
    </w:p>
    <w:p w14:paraId="64009B12" w14:textId="1FF97B65" w:rsidR="0074550E" w:rsidRPr="0074550E" w:rsidRDefault="007A759D" w:rsidP="0074550E">
      <w:pPr>
        <w:spacing w:line="480" w:lineRule="auto"/>
        <w:ind w:firstLineChars="0" w:firstLine="0"/>
        <w:rPr>
          <w:b/>
          <w:bCs/>
          <w:sz w:val="24"/>
          <w:szCs w:val="24"/>
        </w:rPr>
      </w:pPr>
      <w:r>
        <w:rPr>
          <w:rFonts w:hint="eastAsia"/>
          <w:b/>
          <w:bCs/>
          <w:sz w:val="24"/>
          <w:szCs w:val="24"/>
        </w:rPr>
        <w:t>10</w:t>
      </w:r>
      <w:r w:rsidR="00BF5C3C">
        <w:rPr>
          <w:rFonts w:hint="eastAsia"/>
          <w:b/>
          <w:bCs/>
          <w:sz w:val="24"/>
          <w:szCs w:val="24"/>
        </w:rPr>
        <w:t>.</w:t>
      </w:r>
      <w:r w:rsidR="0074550E" w:rsidRPr="0074550E">
        <w:rPr>
          <w:b/>
          <w:bCs/>
          <w:sz w:val="24"/>
          <w:szCs w:val="24"/>
        </w:rPr>
        <w:t xml:space="preserve"> </w:t>
      </w:r>
      <w:r w:rsidR="0074550E" w:rsidRPr="000C6AC2">
        <w:rPr>
          <w:b/>
          <w:bCs/>
          <w:i/>
          <w:iCs/>
          <w:sz w:val="24"/>
          <w:szCs w:val="24"/>
        </w:rPr>
        <w:t>In Vitro</w:t>
      </w:r>
      <w:r w:rsidR="0074550E" w:rsidRPr="0074550E">
        <w:rPr>
          <w:b/>
          <w:bCs/>
          <w:sz w:val="24"/>
          <w:szCs w:val="24"/>
        </w:rPr>
        <w:t xml:space="preserve"> Hemolysis Test of Microneedle Patches</w:t>
      </w:r>
    </w:p>
    <w:p w14:paraId="0649ED11" w14:textId="0A591684" w:rsidR="0074550E" w:rsidRPr="0074550E" w:rsidRDefault="0074550E" w:rsidP="0074550E">
      <w:pPr>
        <w:spacing w:line="480" w:lineRule="auto"/>
        <w:ind w:firstLine="480"/>
        <w:rPr>
          <w:sz w:val="24"/>
          <w:szCs w:val="24"/>
        </w:rPr>
      </w:pPr>
      <w:r w:rsidRPr="0074550E">
        <w:rPr>
          <w:sz w:val="24"/>
          <w:szCs w:val="24"/>
        </w:rPr>
        <w:t>To evaluate the blood compatibility of microneedles, an in vitro hemolysis test was performed. Red blood cells collected from C57 mice were washed several times with PBS until the supernatant was clear, and then centrifuged at 1000 rpm for 5 minutes to obtain red blood cell pellets. Different microneedle patches were placed in a 12-well plate, and PBS and 0.1% Triton X-100 were used as negative and positive controls, respectively. 800 μL of 5% red blood cell suspension was added to each sample well and incubated at 37°C for 1 hour. The solution was centrifuged at 1000 rpm for 10 minutes, and 100 μL of the supernatant was transferred to a 96-well plate for absorbance measurement at 540 nm using a microplate reader (Tecan, Switzerland). The hemolysis percentage was calculated using the formula: [OD</w:t>
      </w:r>
      <w:r w:rsidRPr="00D52996">
        <w:rPr>
          <w:sz w:val="24"/>
          <w:szCs w:val="24"/>
          <w:vertAlign w:val="subscript"/>
        </w:rPr>
        <w:t>h</w:t>
      </w:r>
      <w:r w:rsidR="00D52996">
        <w:rPr>
          <w:rFonts w:hint="eastAsia"/>
          <w:sz w:val="24"/>
          <w:szCs w:val="24"/>
        </w:rPr>
        <w:t xml:space="preserve"> </w:t>
      </w:r>
      <w:r w:rsidRPr="0074550E">
        <w:rPr>
          <w:sz w:val="24"/>
          <w:szCs w:val="24"/>
        </w:rPr>
        <w:t>- OD</w:t>
      </w:r>
      <w:r w:rsidRPr="00D52996">
        <w:rPr>
          <w:sz w:val="24"/>
          <w:szCs w:val="24"/>
          <w:vertAlign w:val="subscript"/>
        </w:rPr>
        <w:t>b</w:t>
      </w:r>
      <w:r w:rsidRPr="0074550E">
        <w:rPr>
          <w:sz w:val="24"/>
          <w:szCs w:val="24"/>
        </w:rPr>
        <w:t>] / [OD</w:t>
      </w:r>
      <w:r w:rsidRPr="00D52996">
        <w:rPr>
          <w:sz w:val="24"/>
          <w:szCs w:val="24"/>
          <w:vertAlign w:val="subscript"/>
        </w:rPr>
        <w:t>t</w:t>
      </w:r>
      <w:r w:rsidRPr="0074550E">
        <w:rPr>
          <w:sz w:val="24"/>
          <w:szCs w:val="24"/>
        </w:rPr>
        <w:t xml:space="preserve"> - OD</w:t>
      </w:r>
      <w:r w:rsidRPr="00D52996">
        <w:rPr>
          <w:sz w:val="24"/>
          <w:szCs w:val="24"/>
          <w:vertAlign w:val="subscript"/>
        </w:rPr>
        <w:t>b</w:t>
      </w:r>
      <w:r w:rsidRPr="0074550E">
        <w:rPr>
          <w:sz w:val="24"/>
          <w:szCs w:val="24"/>
        </w:rPr>
        <w:t>] × 100%, where OD</w:t>
      </w:r>
      <w:r w:rsidRPr="00D52996">
        <w:rPr>
          <w:sz w:val="24"/>
          <w:szCs w:val="24"/>
          <w:vertAlign w:val="subscript"/>
        </w:rPr>
        <w:t>h</w:t>
      </w:r>
      <w:r w:rsidRPr="0074550E">
        <w:rPr>
          <w:sz w:val="24"/>
          <w:szCs w:val="24"/>
        </w:rPr>
        <w:t>, OD</w:t>
      </w:r>
      <w:r w:rsidRPr="00D52996">
        <w:rPr>
          <w:sz w:val="24"/>
          <w:szCs w:val="24"/>
          <w:vertAlign w:val="subscript"/>
        </w:rPr>
        <w:t>b</w:t>
      </w:r>
      <w:r w:rsidRPr="0074550E">
        <w:rPr>
          <w:sz w:val="24"/>
          <w:szCs w:val="24"/>
        </w:rPr>
        <w:t>, and OD</w:t>
      </w:r>
      <w:r w:rsidRPr="00D52996">
        <w:rPr>
          <w:sz w:val="24"/>
          <w:szCs w:val="24"/>
          <w:vertAlign w:val="subscript"/>
        </w:rPr>
        <w:t>t</w:t>
      </w:r>
      <w:r w:rsidRPr="0074550E">
        <w:rPr>
          <w:sz w:val="24"/>
          <w:szCs w:val="24"/>
        </w:rPr>
        <w:t xml:space="preserve"> represent the absorbance values of the microneedle sample, negative control (PBS), and positive control (Triton X-100), respectively.</w:t>
      </w:r>
    </w:p>
    <w:p w14:paraId="0811073C" w14:textId="40FFA623" w:rsidR="0074550E" w:rsidRPr="0074550E" w:rsidRDefault="007A759D" w:rsidP="0074550E">
      <w:pPr>
        <w:spacing w:line="480" w:lineRule="auto"/>
        <w:ind w:firstLineChars="0" w:firstLine="0"/>
        <w:rPr>
          <w:b/>
          <w:bCs/>
          <w:sz w:val="24"/>
          <w:szCs w:val="24"/>
        </w:rPr>
      </w:pPr>
      <w:r>
        <w:rPr>
          <w:rFonts w:hint="eastAsia"/>
          <w:b/>
          <w:bCs/>
          <w:sz w:val="24"/>
          <w:szCs w:val="24"/>
        </w:rPr>
        <w:lastRenderedPageBreak/>
        <w:t>11</w:t>
      </w:r>
      <w:r w:rsidR="00BF5C3C">
        <w:rPr>
          <w:rFonts w:hint="eastAsia"/>
          <w:b/>
          <w:bCs/>
          <w:sz w:val="24"/>
          <w:szCs w:val="24"/>
        </w:rPr>
        <w:t>.</w:t>
      </w:r>
      <w:r w:rsidR="0074550E" w:rsidRPr="0074550E">
        <w:rPr>
          <w:b/>
          <w:bCs/>
          <w:sz w:val="24"/>
          <w:szCs w:val="24"/>
        </w:rPr>
        <w:t xml:space="preserve"> </w:t>
      </w:r>
      <w:r w:rsidR="0074550E" w:rsidRPr="00963CA2">
        <w:rPr>
          <w:b/>
          <w:bCs/>
          <w:i/>
          <w:iCs/>
          <w:sz w:val="24"/>
          <w:szCs w:val="24"/>
        </w:rPr>
        <w:t>In Vitro</w:t>
      </w:r>
      <w:r w:rsidR="0074550E" w:rsidRPr="0074550E">
        <w:rPr>
          <w:b/>
          <w:bCs/>
          <w:sz w:val="24"/>
          <w:szCs w:val="24"/>
        </w:rPr>
        <w:t xml:space="preserve"> Biocompatibility and Cell Proliferation Assay</w:t>
      </w:r>
    </w:p>
    <w:p w14:paraId="104F3C5A" w14:textId="538D6255" w:rsidR="0074550E" w:rsidRPr="0074550E" w:rsidRDefault="0074550E" w:rsidP="0074550E">
      <w:pPr>
        <w:spacing w:line="480" w:lineRule="auto"/>
        <w:ind w:firstLine="480"/>
        <w:rPr>
          <w:sz w:val="24"/>
          <w:szCs w:val="24"/>
        </w:rPr>
      </w:pPr>
      <w:r w:rsidRPr="0074550E">
        <w:rPr>
          <w:sz w:val="24"/>
          <w:szCs w:val="24"/>
        </w:rPr>
        <w:t>HUVEC and NFB cells were cultured in DMEM supplemented with 10% FBS at 37°C and 5% CO</w:t>
      </w:r>
      <w:r w:rsidRPr="00963CA2">
        <w:rPr>
          <w:sz w:val="24"/>
          <w:szCs w:val="24"/>
          <w:vertAlign w:val="subscript"/>
        </w:rPr>
        <w:t>2</w:t>
      </w:r>
      <w:r w:rsidRPr="0074550E">
        <w:rPr>
          <w:sz w:val="24"/>
          <w:szCs w:val="24"/>
        </w:rPr>
        <w:t>. Cell toxicity was assessed using CCK-8, EdU, and Live/Dead cell staining kits. Microneedle patches and their extracts were prepared for further experiments. HUVEC and NFB cells were seeded at 1 × 10</w:t>
      </w:r>
      <w:r w:rsidRPr="00963CA2">
        <w:rPr>
          <w:sz w:val="24"/>
          <w:szCs w:val="24"/>
          <w:vertAlign w:val="superscript"/>
        </w:rPr>
        <w:t>4</w:t>
      </w:r>
      <w:r w:rsidRPr="0074550E">
        <w:rPr>
          <w:sz w:val="24"/>
          <w:szCs w:val="24"/>
        </w:rPr>
        <w:t xml:space="preserve"> cells per well in a 96-well plate and incubated for 24, 48, and 72 hours, followed by cell viability measurement using the CCK-8 kit. After co-culturing the cells with microneedles in a 6-well plate for 24 hours, the patch and culture medium were removed, and the Live/Dead cell staining kit was used according to the manufacturer's instructions, followed by fluorescence imaging (Nikon, DS-Ri2, Japan). For EdU proliferation assays, HUVEC cells were incubated with the patches for 24 hours, fixed with 4% PFA, and stained with EdU and DAPI. Images were captured using a fluorescence microscope. Each experiment was repeated three times.</w:t>
      </w:r>
    </w:p>
    <w:p w14:paraId="680AF7B9" w14:textId="2A955B64" w:rsidR="0074550E" w:rsidRPr="0074550E" w:rsidRDefault="007A759D" w:rsidP="0074550E">
      <w:pPr>
        <w:spacing w:line="480" w:lineRule="auto"/>
        <w:ind w:firstLineChars="0" w:firstLine="0"/>
        <w:rPr>
          <w:b/>
          <w:bCs/>
          <w:sz w:val="24"/>
          <w:szCs w:val="24"/>
        </w:rPr>
      </w:pPr>
      <w:r>
        <w:rPr>
          <w:rFonts w:hint="eastAsia"/>
          <w:b/>
          <w:bCs/>
          <w:sz w:val="24"/>
          <w:szCs w:val="24"/>
        </w:rPr>
        <w:t>12</w:t>
      </w:r>
      <w:r w:rsidR="00BF5C3C">
        <w:rPr>
          <w:rFonts w:hint="eastAsia"/>
          <w:b/>
          <w:bCs/>
          <w:sz w:val="24"/>
          <w:szCs w:val="24"/>
        </w:rPr>
        <w:t>.</w:t>
      </w:r>
      <w:r w:rsidR="0074550E" w:rsidRPr="0074550E">
        <w:rPr>
          <w:b/>
          <w:bCs/>
          <w:sz w:val="24"/>
          <w:szCs w:val="24"/>
        </w:rPr>
        <w:t xml:space="preserve"> </w:t>
      </w:r>
      <w:r w:rsidR="0074550E" w:rsidRPr="00963CA2">
        <w:rPr>
          <w:b/>
          <w:bCs/>
          <w:i/>
          <w:iCs/>
          <w:sz w:val="24"/>
          <w:szCs w:val="24"/>
        </w:rPr>
        <w:t>In Vitro</w:t>
      </w:r>
      <w:r w:rsidR="0074550E" w:rsidRPr="0074550E">
        <w:rPr>
          <w:b/>
          <w:bCs/>
          <w:sz w:val="24"/>
          <w:szCs w:val="24"/>
        </w:rPr>
        <w:t xml:space="preserve"> Wound Healing Assay</w:t>
      </w:r>
    </w:p>
    <w:p w14:paraId="07CE692D" w14:textId="3EDFDA87" w:rsidR="0074550E" w:rsidRPr="0074550E" w:rsidRDefault="00DA4223" w:rsidP="0074550E">
      <w:pPr>
        <w:spacing w:line="480" w:lineRule="auto"/>
        <w:ind w:firstLine="480"/>
        <w:rPr>
          <w:sz w:val="24"/>
          <w:szCs w:val="24"/>
        </w:rPr>
      </w:pPr>
      <w:r>
        <w:rPr>
          <w:rFonts w:hint="eastAsia"/>
          <w:sz w:val="24"/>
          <w:szCs w:val="24"/>
        </w:rPr>
        <w:t>N</w:t>
      </w:r>
      <w:r w:rsidR="0074550E" w:rsidRPr="0074550E">
        <w:rPr>
          <w:sz w:val="24"/>
          <w:szCs w:val="24"/>
        </w:rPr>
        <w:t>FB and HUVEC scratch assays were performed in a 6-well plate. Briefly, cells were passaged at a density of 2 × 10</w:t>
      </w:r>
      <w:r w:rsidR="0074550E" w:rsidRPr="00963CA2">
        <w:rPr>
          <w:sz w:val="24"/>
          <w:szCs w:val="24"/>
          <w:vertAlign w:val="superscript"/>
        </w:rPr>
        <w:t>5</w:t>
      </w:r>
      <w:r w:rsidR="0074550E" w:rsidRPr="0074550E">
        <w:rPr>
          <w:sz w:val="24"/>
          <w:szCs w:val="24"/>
        </w:rPr>
        <w:t xml:space="preserve"> cells per well. Once the cells were confluent, several scratches were made on the surface of the culture plate using a sterile pipette tip. Wound closure was monitored at 0 and 24 hours using a microscope, and the wound closure rate was calculated as the ratio of the closed area to the initial wound area.</w:t>
      </w:r>
    </w:p>
    <w:p w14:paraId="2CF46CB8" w14:textId="2CCF46A9" w:rsidR="0074550E" w:rsidRPr="0074550E" w:rsidRDefault="007A759D" w:rsidP="0074550E">
      <w:pPr>
        <w:spacing w:line="480" w:lineRule="auto"/>
        <w:ind w:firstLineChars="0" w:firstLine="0"/>
        <w:rPr>
          <w:b/>
          <w:bCs/>
          <w:sz w:val="24"/>
          <w:szCs w:val="24"/>
        </w:rPr>
      </w:pPr>
      <w:r>
        <w:rPr>
          <w:rFonts w:hint="eastAsia"/>
          <w:b/>
          <w:bCs/>
          <w:sz w:val="24"/>
          <w:szCs w:val="24"/>
        </w:rPr>
        <w:t>13</w:t>
      </w:r>
      <w:r w:rsidR="00BF5C3C">
        <w:rPr>
          <w:rFonts w:hint="eastAsia"/>
          <w:b/>
          <w:bCs/>
          <w:sz w:val="24"/>
          <w:szCs w:val="24"/>
        </w:rPr>
        <w:t>.</w:t>
      </w:r>
      <w:r w:rsidR="0074550E" w:rsidRPr="0074550E">
        <w:rPr>
          <w:b/>
          <w:bCs/>
          <w:sz w:val="24"/>
          <w:szCs w:val="24"/>
        </w:rPr>
        <w:t xml:space="preserve"> </w:t>
      </w:r>
      <w:r w:rsidR="0074550E" w:rsidRPr="00963CA2">
        <w:rPr>
          <w:b/>
          <w:bCs/>
          <w:i/>
          <w:iCs/>
          <w:sz w:val="24"/>
          <w:szCs w:val="24"/>
        </w:rPr>
        <w:t>In Vitro</w:t>
      </w:r>
      <w:r w:rsidR="0074550E" w:rsidRPr="0074550E">
        <w:rPr>
          <w:b/>
          <w:bCs/>
          <w:sz w:val="24"/>
          <w:szCs w:val="24"/>
        </w:rPr>
        <w:t xml:space="preserve"> Endothelial Cell Tube Formation Assay</w:t>
      </w:r>
    </w:p>
    <w:p w14:paraId="37FB8B3D" w14:textId="3B3D5AA6" w:rsidR="0074550E" w:rsidRPr="0074550E" w:rsidRDefault="0074550E" w:rsidP="0074550E">
      <w:pPr>
        <w:spacing w:line="480" w:lineRule="auto"/>
        <w:ind w:firstLine="480"/>
        <w:rPr>
          <w:sz w:val="24"/>
          <w:szCs w:val="24"/>
        </w:rPr>
      </w:pPr>
      <w:r w:rsidRPr="0074550E">
        <w:rPr>
          <w:sz w:val="24"/>
          <w:szCs w:val="24"/>
        </w:rPr>
        <w:t>For tube formation assays, HUVECs were pre-treated by co-culturing with different microneedles for 24 hours. Subsequently, 1 × 10</w:t>
      </w:r>
      <w:r w:rsidRPr="00963CA2">
        <w:rPr>
          <w:sz w:val="24"/>
          <w:szCs w:val="24"/>
          <w:vertAlign w:val="superscript"/>
        </w:rPr>
        <w:t>5</w:t>
      </w:r>
      <w:r w:rsidRPr="0074550E">
        <w:rPr>
          <w:sz w:val="24"/>
          <w:szCs w:val="24"/>
        </w:rPr>
        <w:t xml:space="preserve"> harvested cells were </w:t>
      </w:r>
      <w:r w:rsidRPr="0074550E">
        <w:rPr>
          <w:sz w:val="24"/>
          <w:szCs w:val="24"/>
        </w:rPr>
        <w:lastRenderedPageBreak/>
        <w:t xml:space="preserve">transferred to a 12-well plate coated with 600 μL precooled Matrigel (Corning) and incubated at 37°C for </w:t>
      </w:r>
      <w:r w:rsidR="009D61D3">
        <w:rPr>
          <w:rFonts w:hint="eastAsia"/>
          <w:sz w:val="24"/>
          <w:szCs w:val="24"/>
        </w:rPr>
        <w:t>4</w:t>
      </w:r>
      <w:r w:rsidRPr="0074550E">
        <w:rPr>
          <w:sz w:val="24"/>
          <w:szCs w:val="24"/>
        </w:rPr>
        <w:t xml:space="preserve"> hours. Tube formation was imaged using an optical microscope (Nikon, DS-Ri2).</w:t>
      </w:r>
    </w:p>
    <w:p w14:paraId="116DA240" w14:textId="26D67E2A" w:rsidR="0074550E" w:rsidRPr="0074550E" w:rsidRDefault="007A759D" w:rsidP="0074550E">
      <w:pPr>
        <w:spacing w:line="480" w:lineRule="auto"/>
        <w:ind w:firstLineChars="0" w:firstLine="0"/>
        <w:rPr>
          <w:b/>
          <w:bCs/>
          <w:sz w:val="24"/>
          <w:szCs w:val="24"/>
        </w:rPr>
      </w:pPr>
      <w:r>
        <w:rPr>
          <w:rFonts w:hint="eastAsia"/>
          <w:b/>
          <w:bCs/>
          <w:sz w:val="24"/>
          <w:szCs w:val="24"/>
        </w:rPr>
        <w:t>14</w:t>
      </w:r>
      <w:r w:rsidR="00BF5C3C">
        <w:rPr>
          <w:rFonts w:hint="eastAsia"/>
          <w:b/>
          <w:bCs/>
          <w:sz w:val="24"/>
          <w:szCs w:val="24"/>
        </w:rPr>
        <w:t>.</w:t>
      </w:r>
      <w:r w:rsidR="0074550E" w:rsidRPr="0074550E">
        <w:rPr>
          <w:b/>
          <w:bCs/>
          <w:sz w:val="24"/>
          <w:szCs w:val="24"/>
        </w:rPr>
        <w:t xml:space="preserve"> </w:t>
      </w:r>
      <w:r w:rsidR="0074550E" w:rsidRPr="00963CA2">
        <w:rPr>
          <w:b/>
          <w:bCs/>
          <w:i/>
          <w:iCs/>
          <w:sz w:val="24"/>
          <w:szCs w:val="24"/>
        </w:rPr>
        <w:t xml:space="preserve">In Vitro </w:t>
      </w:r>
      <w:r w:rsidR="0074550E" w:rsidRPr="0074550E">
        <w:rPr>
          <w:b/>
          <w:bCs/>
          <w:sz w:val="24"/>
          <w:szCs w:val="24"/>
        </w:rPr>
        <w:t>Antibacterial Assay</w:t>
      </w:r>
    </w:p>
    <w:p w14:paraId="35F61F55" w14:textId="413064C8" w:rsidR="0074550E" w:rsidRPr="0074550E" w:rsidRDefault="0074550E" w:rsidP="0074550E">
      <w:pPr>
        <w:spacing w:line="480" w:lineRule="auto"/>
        <w:ind w:firstLine="480"/>
        <w:rPr>
          <w:sz w:val="24"/>
          <w:szCs w:val="24"/>
        </w:rPr>
      </w:pPr>
      <w:r w:rsidRPr="0074550E">
        <w:rPr>
          <w:sz w:val="24"/>
          <w:szCs w:val="24"/>
        </w:rPr>
        <w:t>The antibacterial performance of the microneedles was evaluated by colony counting. Briefly, 10 μL of methicillin-resistant Staphylococcus aureus (</w:t>
      </w:r>
      <w:r w:rsidRPr="00B40E60">
        <w:rPr>
          <w:i/>
          <w:iCs/>
          <w:sz w:val="24"/>
          <w:szCs w:val="24"/>
        </w:rPr>
        <w:t>MRSA</w:t>
      </w:r>
      <w:r w:rsidRPr="0074550E">
        <w:rPr>
          <w:sz w:val="24"/>
          <w:szCs w:val="24"/>
        </w:rPr>
        <w:t>) and Escherichia coli (</w:t>
      </w:r>
      <w:r w:rsidRPr="00963CA2">
        <w:rPr>
          <w:i/>
          <w:iCs/>
          <w:sz w:val="24"/>
          <w:szCs w:val="24"/>
        </w:rPr>
        <w:t>E. coli</w:t>
      </w:r>
      <w:r w:rsidRPr="0074550E">
        <w:rPr>
          <w:sz w:val="24"/>
          <w:szCs w:val="24"/>
        </w:rPr>
        <w:t>) suspensions (approximately 10</w:t>
      </w:r>
      <w:r w:rsidRPr="00BF5C3C">
        <w:rPr>
          <w:sz w:val="24"/>
          <w:szCs w:val="24"/>
          <w:vertAlign w:val="superscript"/>
        </w:rPr>
        <w:t>6</w:t>
      </w:r>
      <w:r w:rsidRPr="0074550E">
        <w:rPr>
          <w:sz w:val="24"/>
          <w:szCs w:val="24"/>
        </w:rPr>
        <w:t xml:space="preserve"> CFU/mL) were added to the microneedle surface and incubated at 37°C for 2 hours. 1 mL of PBS was added to each well to resuspend the bacteria. A 10 μL aliquot was evenly spread onto an agar plate and incubated at 37°C for 24 hours. Bacterial colony counts were recorded</w:t>
      </w:r>
      <w:r w:rsidR="0064592F">
        <w:rPr>
          <w:rFonts w:hint="eastAsia"/>
          <w:sz w:val="24"/>
          <w:szCs w:val="24"/>
        </w:rPr>
        <w:t>.</w:t>
      </w:r>
      <w:r w:rsidRPr="0074550E">
        <w:rPr>
          <w:sz w:val="24"/>
          <w:szCs w:val="24"/>
        </w:rPr>
        <w:t xml:space="preserve"> the antibacterial ratio (%) was calculated using the formula: (control group bacterial count - surviving count on microneedles) / control group bacterial count × 100%.</w:t>
      </w:r>
      <w:r w:rsidR="0064592F" w:rsidRPr="0064592F">
        <w:t xml:space="preserve"> </w:t>
      </w:r>
      <w:r w:rsidR="0064592F" w:rsidRPr="0064592F">
        <w:rPr>
          <w:sz w:val="24"/>
          <w:szCs w:val="24"/>
        </w:rPr>
        <w:t>Bacterial survival rate (%) calculation formula: microneedle survival count/control group bacterial count × 100%.</w:t>
      </w:r>
    </w:p>
    <w:p w14:paraId="722CECC8" w14:textId="0DB2D0A7" w:rsidR="0074550E" w:rsidRPr="0074550E" w:rsidRDefault="007A759D" w:rsidP="0074550E">
      <w:pPr>
        <w:spacing w:line="480" w:lineRule="auto"/>
        <w:ind w:firstLineChars="0" w:firstLine="0"/>
        <w:rPr>
          <w:b/>
          <w:bCs/>
          <w:sz w:val="24"/>
          <w:szCs w:val="24"/>
        </w:rPr>
      </w:pPr>
      <w:r>
        <w:rPr>
          <w:rFonts w:hint="eastAsia"/>
          <w:b/>
          <w:bCs/>
          <w:sz w:val="24"/>
          <w:szCs w:val="24"/>
        </w:rPr>
        <w:t>15</w:t>
      </w:r>
      <w:r w:rsidR="00BF5C3C">
        <w:rPr>
          <w:rFonts w:hint="eastAsia"/>
          <w:b/>
          <w:bCs/>
          <w:sz w:val="24"/>
          <w:szCs w:val="24"/>
        </w:rPr>
        <w:t>.</w:t>
      </w:r>
      <w:r w:rsidR="0074550E" w:rsidRPr="0074550E">
        <w:rPr>
          <w:b/>
          <w:bCs/>
          <w:sz w:val="24"/>
          <w:szCs w:val="24"/>
        </w:rPr>
        <w:t xml:space="preserve"> </w:t>
      </w:r>
      <w:r w:rsidR="0074550E" w:rsidRPr="00963CA2">
        <w:rPr>
          <w:b/>
          <w:bCs/>
          <w:i/>
          <w:iCs/>
          <w:sz w:val="24"/>
          <w:szCs w:val="24"/>
        </w:rPr>
        <w:t>In Vivo</w:t>
      </w:r>
      <w:r w:rsidR="0074550E" w:rsidRPr="0074550E">
        <w:rPr>
          <w:b/>
          <w:bCs/>
          <w:sz w:val="24"/>
          <w:szCs w:val="24"/>
        </w:rPr>
        <w:t xml:space="preserve"> Hemostasis Evaluation</w:t>
      </w:r>
    </w:p>
    <w:p w14:paraId="3E128DFB" w14:textId="07FD45C3" w:rsidR="0074550E" w:rsidRPr="0074550E" w:rsidRDefault="0074550E" w:rsidP="0074550E">
      <w:pPr>
        <w:spacing w:line="480" w:lineRule="auto"/>
        <w:ind w:firstLine="480"/>
        <w:rPr>
          <w:sz w:val="24"/>
          <w:szCs w:val="24"/>
        </w:rPr>
      </w:pPr>
      <w:r w:rsidRPr="0074550E">
        <w:rPr>
          <w:sz w:val="24"/>
          <w:szCs w:val="24"/>
        </w:rPr>
        <w:t xml:space="preserve">C57 male mice (50 g) were anesthetized and fixed on a surgical cork board (n = 5). An abdominal incision was made to expose the liver, and a filter paper was placed under the liver. A 1 mm deep bleeding wound was created on the liver, and a portion of the microneedle patch was immediately applied to the bleeding site. Similarly, a 3 cm segment of the tail was amputated, and a filter paper was placed at the amputated site, followed by immediate application of the microneedle. </w:t>
      </w:r>
      <w:r w:rsidR="00732822">
        <w:rPr>
          <w:sz w:val="24"/>
          <w:szCs w:val="24"/>
        </w:rPr>
        <w:t>The c</w:t>
      </w:r>
      <w:r w:rsidRPr="0074550E">
        <w:rPr>
          <w:sz w:val="24"/>
          <w:szCs w:val="24"/>
        </w:rPr>
        <w:t>ontrol group treated with PBS was used for comparison. Blood loss was measured by weighing the filter paper.</w:t>
      </w:r>
    </w:p>
    <w:p w14:paraId="68DDBBEF" w14:textId="1FFB3D68" w:rsidR="0074550E" w:rsidRPr="0074550E" w:rsidRDefault="007A759D" w:rsidP="0074550E">
      <w:pPr>
        <w:spacing w:line="480" w:lineRule="auto"/>
        <w:ind w:firstLineChars="0" w:firstLine="0"/>
        <w:rPr>
          <w:b/>
          <w:bCs/>
          <w:sz w:val="24"/>
          <w:szCs w:val="24"/>
        </w:rPr>
      </w:pPr>
      <w:r>
        <w:rPr>
          <w:rFonts w:hint="eastAsia"/>
          <w:b/>
          <w:bCs/>
          <w:sz w:val="24"/>
          <w:szCs w:val="24"/>
        </w:rPr>
        <w:lastRenderedPageBreak/>
        <w:t>16</w:t>
      </w:r>
      <w:r w:rsidR="00BF5C3C">
        <w:rPr>
          <w:rFonts w:hint="eastAsia"/>
          <w:b/>
          <w:bCs/>
          <w:sz w:val="24"/>
          <w:szCs w:val="24"/>
        </w:rPr>
        <w:t>.</w:t>
      </w:r>
      <w:r w:rsidR="0074550E" w:rsidRPr="0074550E">
        <w:rPr>
          <w:b/>
          <w:bCs/>
          <w:sz w:val="24"/>
          <w:szCs w:val="24"/>
        </w:rPr>
        <w:t xml:space="preserve"> Evaluation of ROS Clearance by Microneedle Patches</w:t>
      </w:r>
    </w:p>
    <w:p w14:paraId="470DF433" w14:textId="3AD962BD" w:rsidR="0074550E" w:rsidRPr="0074550E" w:rsidRDefault="0074550E" w:rsidP="0074550E">
      <w:pPr>
        <w:spacing w:line="480" w:lineRule="auto"/>
        <w:ind w:firstLine="480"/>
        <w:rPr>
          <w:sz w:val="24"/>
          <w:szCs w:val="24"/>
        </w:rPr>
      </w:pPr>
      <w:r w:rsidRPr="0074550E">
        <w:rPr>
          <w:sz w:val="24"/>
          <w:szCs w:val="24"/>
        </w:rPr>
        <w:t>DCFH-DA probe</w:t>
      </w:r>
      <w:r w:rsidR="00136A06">
        <w:rPr>
          <w:rFonts w:hint="eastAsia"/>
          <w:sz w:val="24"/>
          <w:szCs w:val="24"/>
        </w:rPr>
        <w:t xml:space="preserve"> </w:t>
      </w:r>
      <w:r w:rsidRPr="0074550E">
        <w:rPr>
          <w:sz w:val="24"/>
          <w:szCs w:val="24"/>
        </w:rPr>
        <w:t>was used to evaluate the ROS scavenging ability of the microneedles. Briefly, HUVEC</w:t>
      </w:r>
      <w:r w:rsidR="00732822">
        <w:rPr>
          <w:sz w:val="24"/>
          <w:szCs w:val="24"/>
        </w:rPr>
        <w:t>s</w:t>
      </w:r>
      <w:r w:rsidRPr="0074550E">
        <w:rPr>
          <w:sz w:val="24"/>
          <w:szCs w:val="24"/>
        </w:rPr>
        <w:t xml:space="preserve"> were seeded in a 6-well plate and induced with ROS inducers (Rosup). The cells were then co-cultured with different samples for 24 hours. PBS was used as the negative control. After removing the microneedles, DCFH-DA reagent was added, and cells were incubated at 37°C for 20 minutes. Fluorescence images were taken using a fluorescence microscope. Each experiment was repeated three times.</w:t>
      </w:r>
    </w:p>
    <w:p w14:paraId="7D5E2BF4" w14:textId="046F951A" w:rsidR="0074550E" w:rsidRPr="0074550E" w:rsidRDefault="007A759D" w:rsidP="0074550E">
      <w:pPr>
        <w:spacing w:line="480" w:lineRule="auto"/>
        <w:ind w:firstLineChars="0" w:firstLine="0"/>
        <w:jc w:val="left"/>
        <w:rPr>
          <w:b/>
          <w:bCs/>
          <w:color w:val="000000" w:themeColor="text1"/>
          <w:sz w:val="24"/>
          <w:szCs w:val="24"/>
        </w:rPr>
      </w:pPr>
      <w:r>
        <w:rPr>
          <w:rFonts w:hint="eastAsia"/>
          <w:b/>
          <w:bCs/>
          <w:color w:val="000000" w:themeColor="text1"/>
          <w:sz w:val="24"/>
          <w:szCs w:val="24"/>
        </w:rPr>
        <w:t>17</w:t>
      </w:r>
      <w:r w:rsidR="00BF5C3C">
        <w:rPr>
          <w:rFonts w:hint="eastAsia"/>
          <w:b/>
          <w:bCs/>
          <w:color w:val="000000" w:themeColor="text1"/>
          <w:sz w:val="24"/>
          <w:szCs w:val="24"/>
        </w:rPr>
        <w:t>.</w:t>
      </w:r>
      <w:r w:rsidR="0074550E" w:rsidRPr="0074550E">
        <w:rPr>
          <w:b/>
          <w:bCs/>
          <w:color w:val="000000" w:themeColor="text1"/>
          <w:sz w:val="24"/>
          <w:szCs w:val="24"/>
        </w:rPr>
        <w:t xml:space="preserve"> Macrophage Polarization Study</w:t>
      </w:r>
    </w:p>
    <w:p w14:paraId="6173E0D5" w14:textId="3D0F9B79" w:rsidR="0074550E" w:rsidRDefault="0074550E" w:rsidP="0074550E">
      <w:pPr>
        <w:spacing w:line="480" w:lineRule="auto"/>
        <w:ind w:firstLine="480"/>
        <w:rPr>
          <w:sz w:val="24"/>
          <w:szCs w:val="24"/>
        </w:rPr>
      </w:pPr>
      <w:r w:rsidRPr="0074550E">
        <w:rPr>
          <w:sz w:val="24"/>
          <w:szCs w:val="24"/>
        </w:rPr>
        <w:t>RAW 264.7 cells (2 × 10</w:t>
      </w:r>
      <w:r w:rsidRPr="00BE492A">
        <w:rPr>
          <w:sz w:val="24"/>
          <w:szCs w:val="24"/>
          <w:vertAlign w:val="superscript"/>
        </w:rPr>
        <w:t>4</w:t>
      </w:r>
      <w:r w:rsidRPr="0074550E">
        <w:rPr>
          <w:sz w:val="24"/>
          <w:szCs w:val="24"/>
        </w:rPr>
        <w:t xml:space="preserve"> cells per well) were seeded in a confocal dish and incubated overnight at 37°C with 5% CO</w:t>
      </w:r>
      <w:r w:rsidRPr="007E5EA6">
        <w:rPr>
          <w:sz w:val="24"/>
          <w:szCs w:val="24"/>
          <w:vertAlign w:val="subscript"/>
        </w:rPr>
        <w:t>2</w:t>
      </w:r>
      <w:r w:rsidRPr="0074550E">
        <w:rPr>
          <w:sz w:val="24"/>
          <w:szCs w:val="24"/>
        </w:rPr>
        <w:t>. The cells were treated with LPS (0.1 μg/mL) in DMEM for 12 hours. The culture medium was replaced with DMEM extract from MN, Cu/CeO</w:t>
      </w:r>
      <w:r w:rsidRPr="007E5EA6">
        <w:rPr>
          <w:sz w:val="24"/>
          <w:szCs w:val="24"/>
          <w:vertAlign w:val="subscript"/>
        </w:rPr>
        <w:t>2</w:t>
      </w:r>
      <w:r w:rsidR="00DA4223">
        <w:rPr>
          <w:rFonts w:hint="eastAsia"/>
          <w:sz w:val="24"/>
          <w:szCs w:val="24"/>
        </w:rPr>
        <w:t>-</w:t>
      </w:r>
      <w:r w:rsidRPr="0074550E">
        <w:rPr>
          <w:sz w:val="24"/>
          <w:szCs w:val="24"/>
        </w:rPr>
        <w:t>MN, NMN</w:t>
      </w:r>
      <w:r w:rsidR="00DA4223">
        <w:rPr>
          <w:rFonts w:hint="eastAsia"/>
          <w:sz w:val="24"/>
          <w:szCs w:val="24"/>
        </w:rPr>
        <w:t>-</w:t>
      </w:r>
      <w:r w:rsidRPr="0074550E">
        <w:rPr>
          <w:sz w:val="24"/>
          <w:szCs w:val="24"/>
        </w:rPr>
        <w:t xml:space="preserve">MN, and </w:t>
      </w:r>
      <w:r w:rsidR="00DA4223" w:rsidRPr="009211FB">
        <w:rPr>
          <w:sz w:val="24"/>
          <w:szCs w:val="24"/>
        </w:rPr>
        <w:t>NMN@Cu/CeO₂</w:t>
      </w:r>
      <w:r w:rsidR="00DA4223">
        <w:rPr>
          <w:rFonts w:hint="eastAsia"/>
          <w:sz w:val="24"/>
          <w:szCs w:val="24"/>
        </w:rPr>
        <w:t>-MN</w:t>
      </w:r>
      <w:r w:rsidRPr="0074550E">
        <w:rPr>
          <w:sz w:val="24"/>
          <w:szCs w:val="24"/>
        </w:rPr>
        <w:t xml:space="preserve"> groups, and the cells were further incubated for 24 hours. Untreated cells were used as controls. The cells were fixed with 4% formaldehyde (Biosharp) for 10 minutes, permeabilized with 0.5% Triton X-100 (Solarbio) for 20 minutes, and blocked with 2% BSA (Servicebio) for 30 minutes. The cells were then incubated with primary antibodies for CD206 (1:150, ABclonal) and iNOS (1:150, Proteintech) overnight at 4°C. Fluorescent secondary antibodies (Alexa Fluor 488 and Alexa Fluor 594, ThermoFisher Scientific) were added, and cells were incubated at room temperature for 30 minutes in the dark. Finally, DAPI (Solarbio) was used for nuclear staining, and fluorescence images were captured using a fluorescence microscope (Nikon).</w:t>
      </w:r>
    </w:p>
    <w:p w14:paraId="10F1EB01" w14:textId="157C5487" w:rsidR="00136A06" w:rsidRPr="0022284C" w:rsidRDefault="00136A06" w:rsidP="00136A06">
      <w:pPr>
        <w:spacing w:line="480" w:lineRule="auto"/>
        <w:ind w:firstLineChars="0" w:firstLine="0"/>
        <w:rPr>
          <w:b/>
          <w:bCs/>
          <w:color w:val="000000" w:themeColor="text1"/>
          <w:sz w:val="24"/>
          <w:szCs w:val="24"/>
        </w:rPr>
      </w:pPr>
      <w:r w:rsidRPr="0022284C">
        <w:rPr>
          <w:rFonts w:hint="eastAsia"/>
          <w:b/>
          <w:bCs/>
          <w:color w:val="000000" w:themeColor="text1"/>
          <w:sz w:val="24"/>
          <w:szCs w:val="24"/>
        </w:rPr>
        <w:lastRenderedPageBreak/>
        <w:t xml:space="preserve">18. </w:t>
      </w:r>
      <w:r w:rsidRPr="0022284C">
        <w:rPr>
          <w:b/>
          <w:bCs/>
          <w:color w:val="000000" w:themeColor="text1"/>
          <w:sz w:val="24"/>
          <w:szCs w:val="24"/>
        </w:rPr>
        <w:t>Detection of intracellular NAD</w:t>
      </w:r>
      <w:r w:rsidRPr="0022284C">
        <w:rPr>
          <w:b/>
          <w:bCs/>
          <w:color w:val="000000" w:themeColor="text1"/>
          <w:sz w:val="24"/>
          <w:szCs w:val="24"/>
          <w:vertAlign w:val="superscript"/>
        </w:rPr>
        <w:t>+</w:t>
      </w:r>
      <w:r w:rsidRPr="0022284C">
        <w:rPr>
          <w:b/>
          <w:bCs/>
          <w:color w:val="000000" w:themeColor="text1"/>
          <w:sz w:val="24"/>
          <w:szCs w:val="24"/>
        </w:rPr>
        <w:t>, ATP, mitochondrial superoxide and oxygen production</w:t>
      </w:r>
    </w:p>
    <w:p w14:paraId="7DD824F6" w14:textId="2BD13744" w:rsidR="00136A06" w:rsidRPr="0022284C" w:rsidRDefault="00136A06" w:rsidP="00136A06">
      <w:pPr>
        <w:spacing w:line="480" w:lineRule="auto"/>
        <w:ind w:firstLine="480"/>
        <w:rPr>
          <w:color w:val="000000" w:themeColor="text1"/>
          <w:sz w:val="24"/>
          <w:szCs w:val="24"/>
        </w:rPr>
      </w:pPr>
      <w:r w:rsidRPr="0022284C">
        <w:rPr>
          <w:color w:val="000000" w:themeColor="text1"/>
          <w:sz w:val="24"/>
          <w:szCs w:val="24"/>
        </w:rPr>
        <w:t>In brief, 1×10</w:t>
      </w:r>
      <w:r w:rsidRPr="0022284C">
        <w:rPr>
          <w:color w:val="000000" w:themeColor="text1"/>
          <w:sz w:val="24"/>
          <w:szCs w:val="24"/>
          <w:vertAlign w:val="superscript"/>
        </w:rPr>
        <w:t>6</w:t>
      </w:r>
      <w:r w:rsidRPr="0022284C">
        <w:rPr>
          <w:color w:val="000000" w:themeColor="text1"/>
          <w:sz w:val="24"/>
          <w:szCs w:val="24"/>
        </w:rPr>
        <w:t xml:space="preserve"> cells were seeded in a confocal dish and cultured adherently overnight. The cells were treated with high glucose medium for 12 hours, followed by co-culture with the corresponding components using micro needles for 24 hours. According to the instructions of the reagent suppliers, the cells were stained and incubated with ATP detection kit, NAD</w:t>
      </w:r>
      <w:r w:rsidRPr="0022284C">
        <w:rPr>
          <w:color w:val="000000" w:themeColor="text1"/>
          <w:sz w:val="24"/>
          <w:szCs w:val="24"/>
          <w:vertAlign w:val="superscript"/>
        </w:rPr>
        <w:t>+</w:t>
      </w:r>
      <w:r w:rsidRPr="0022284C">
        <w:rPr>
          <w:color w:val="000000" w:themeColor="text1"/>
          <w:sz w:val="24"/>
          <w:szCs w:val="24"/>
        </w:rPr>
        <w:t xml:space="preserve"> detection kit, </w:t>
      </w:r>
      <w:proofErr w:type="spellStart"/>
      <w:r w:rsidRPr="0022284C">
        <w:rPr>
          <w:color w:val="000000" w:themeColor="text1"/>
          <w:sz w:val="24"/>
          <w:szCs w:val="24"/>
        </w:rPr>
        <w:t>MitoSO</w:t>
      </w:r>
      <w:proofErr w:type="spellEnd"/>
      <w:r w:rsidRPr="0022284C">
        <w:rPr>
          <w:color w:val="000000" w:themeColor="text1"/>
          <w:sz w:val="24"/>
          <w:szCs w:val="24"/>
        </w:rPr>
        <w:t>™ Red and Ru(</w:t>
      </w:r>
      <w:proofErr w:type="spellStart"/>
      <w:r w:rsidRPr="0022284C">
        <w:rPr>
          <w:color w:val="000000" w:themeColor="text1"/>
          <w:sz w:val="24"/>
          <w:szCs w:val="24"/>
        </w:rPr>
        <w:t>dpp</w:t>
      </w:r>
      <w:proofErr w:type="spellEnd"/>
      <w:r w:rsidRPr="0022284C">
        <w:rPr>
          <w:color w:val="000000" w:themeColor="text1"/>
          <w:sz w:val="24"/>
          <w:szCs w:val="24"/>
        </w:rPr>
        <w:t>)</w:t>
      </w:r>
      <w:r w:rsidRPr="0022284C">
        <w:rPr>
          <w:color w:val="000000" w:themeColor="text1"/>
          <w:sz w:val="24"/>
          <w:szCs w:val="24"/>
          <w:vertAlign w:val="subscript"/>
        </w:rPr>
        <w:t>3</w:t>
      </w:r>
      <w:r w:rsidRPr="0022284C">
        <w:rPr>
          <w:color w:val="000000" w:themeColor="text1"/>
          <w:sz w:val="24"/>
          <w:szCs w:val="24"/>
        </w:rPr>
        <w:t>Cl</w:t>
      </w:r>
      <w:r w:rsidRPr="0022284C">
        <w:rPr>
          <w:color w:val="000000" w:themeColor="text1"/>
          <w:sz w:val="24"/>
          <w:szCs w:val="24"/>
          <w:vertAlign w:val="subscript"/>
        </w:rPr>
        <w:t>2</w:t>
      </w:r>
      <w:r w:rsidRPr="0022284C">
        <w:rPr>
          <w:color w:val="000000" w:themeColor="text1"/>
          <w:sz w:val="24"/>
          <w:szCs w:val="24"/>
        </w:rPr>
        <w:t xml:space="preserve"> respectively. After washing with PBS, images were taken using a fluorescence microscope.</w:t>
      </w:r>
    </w:p>
    <w:p w14:paraId="35853122" w14:textId="56646B4B" w:rsidR="0074550E" w:rsidRPr="0074550E" w:rsidRDefault="007A759D" w:rsidP="0074550E">
      <w:pPr>
        <w:spacing w:line="480" w:lineRule="auto"/>
        <w:ind w:firstLineChars="0" w:firstLine="0"/>
        <w:rPr>
          <w:b/>
          <w:bCs/>
          <w:sz w:val="24"/>
          <w:szCs w:val="24"/>
        </w:rPr>
      </w:pPr>
      <w:r>
        <w:rPr>
          <w:rFonts w:hint="eastAsia"/>
          <w:b/>
          <w:bCs/>
          <w:sz w:val="24"/>
          <w:szCs w:val="24"/>
        </w:rPr>
        <w:t>1</w:t>
      </w:r>
      <w:r w:rsidR="00136A06">
        <w:rPr>
          <w:rFonts w:hint="eastAsia"/>
          <w:b/>
          <w:bCs/>
          <w:sz w:val="24"/>
          <w:szCs w:val="24"/>
        </w:rPr>
        <w:t>9</w:t>
      </w:r>
      <w:r w:rsidR="00BF5C3C">
        <w:rPr>
          <w:rFonts w:hint="eastAsia"/>
          <w:b/>
          <w:bCs/>
          <w:sz w:val="24"/>
          <w:szCs w:val="24"/>
        </w:rPr>
        <w:t>.</w:t>
      </w:r>
      <w:r w:rsidR="0074550E" w:rsidRPr="0074550E">
        <w:rPr>
          <w:b/>
          <w:bCs/>
          <w:sz w:val="24"/>
          <w:szCs w:val="24"/>
        </w:rPr>
        <w:t xml:space="preserve"> Mitochondrial Membrane Potential (MMP) Detection in HUVECs</w:t>
      </w:r>
    </w:p>
    <w:p w14:paraId="146AFFA2" w14:textId="688A1964" w:rsidR="00BE6FEB" w:rsidRDefault="0074550E" w:rsidP="0074550E">
      <w:pPr>
        <w:spacing w:line="480" w:lineRule="auto"/>
        <w:ind w:firstLine="480"/>
        <w:rPr>
          <w:sz w:val="24"/>
          <w:szCs w:val="24"/>
        </w:rPr>
      </w:pPr>
      <w:r w:rsidRPr="0074550E">
        <w:rPr>
          <w:sz w:val="24"/>
          <w:szCs w:val="24"/>
        </w:rPr>
        <w:t>Mitochondrial membrane potential (MMP) in HUVECs was assessed using the TMRE staining kit. Briefly, 1 × 10</w:t>
      </w:r>
      <w:r w:rsidRPr="007E5EA6">
        <w:rPr>
          <w:sz w:val="24"/>
          <w:szCs w:val="24"/>
          <w:vertAlign w:val="superscript"/>
        </w:rPr>
        <w:t>6</w:t>
      </w:r>
      <w:r w:rsidRPr="0074550E">
        <w:rPr>
          <w:sz w:val="24"/>
          <w:szCs w:val="24"/>
        </w:rPr>
        <w:t xml:space="preserve"> HUVECs were seeded in a confocal dish and cultured overnight. The cells were pre-treated with the mitochondrial membrane potential inhibitor CCCP (10 μM) for 20 minutes, and then the culture medium was replaced with the DMEM extract from microneedles for 24 hours. The cells were incubated with TMRE staining solution (10 μM) and incubated for 20 minutes at 37°C. After washing twice with PBS, cells were analyzed using a fluorescence microscope.</w:t>
      </w:r>
    </w:p>
    <w:p w14:paraId="7E8BB1EC" w14:textId="4428EBA9" w:rsidR="00A2329C" w:rsidRPr="0055635D" w:rsidRDefault="00136A06" w:rsidP="007A759D">
      <w:pPr>
        <w:spacing w:line="480" w:lineRule="auto"/>
        <w:ind w:firstLineChars="0" w:firstLine="0"/>
        <w:rPr>
          <w:b/>
          <w:bCs/>
          <w:sz w:val="24"/>
          <w:szCs w:val="24"/>
        </w:rPr>
      </w:pPr>
      <w:r>
        <w:rPr>
          <w:rFonts w:hint="eastAsia"/>
          <w:b/>
          <w:bCs/>
          <w:sz w:val="24"/>
          <w:szCs w:val="24"/>
        </w:rPr>
        <w:t>20</w:t>
      </w:r>
      <w:r w:rsidR="007A759D">
        <w:rPr>
          <w:rFonts w:hint="eastAsia"/>
          <w:b/>
          <w:bCs/>
          <w:sz w:val="24"/>
          <w:szCs w:val="24"/>
        </w:rPr>
        <w:t>.</w:t>
      </w:r>
      <w:r w:rsidR="00A2329C" w:rsidRPr="0055635D">
        <w:rPr>
          <w:b/>
          <w:bCs/>
          <w:sz w:val="24"/>
          <w:szCs w:val="24"/>
        </w:rPr>
        <w:t xml:space="preserve"> </w:t>
      </w:r>
      <w:r w:rsidR="00A2329C" w:rsidRPr="0055635D">
        <w:rPr>
          <w:b/>
          <w:bCs/>
          <w:i/>
          <w:iCs/>
          <w:sz w:val="24"/>
          <w:szCs w:val="24"/>
        </w:rPr>
        <w:t>In Vivo</w:t>
      </w:r>
      <w:r w:rsidR="00A2329C" w:rsidRPr="0055635D">
        <w:rPr>
          <w:b/>
          <w:bCs/>
          <w:sz w:val="24"/>
          <w:szCs w:val="24"/>
        </w:rPr>
        <w:t xml:space="preserve"> Evaluation of Diabetic Wound Healing</w:t>
      </w:r>
    </w:p>
    <w:p w14:paraId="5035B653" w14:textId="77777777" w:rsidR="00A2329C" w:rsidRPr="00D54784" w:rsidRDefault="00A2329C" w:rsidP="00A2329C">
      <w:pPr>
        <w:spacing w:line="480" w:lineRule="auto"/>
        <w:ind w:firstLine="480"/>
        <w:rPr>
          <w:sz w:val="24"/>
          <w:szCs w:val="24"/>
        </w:rPr>
      </w:pPr>
      <w:r w:rsidRPr="00D54784">
        <w:rPr>
          <w:sz w:val="24"/>
          <w:szCs w:val="24"/>
        </w:rPr>
        <w:t xml:space="preserve">All animal experiments adhered to the guidelines for the care and use of laboratory animals issued by the National Institutes of Health, China. C57 wild-type mice (8 weeks old) were purchased from the Model Animal Research Center of the Fourth Military Medical University, and all surgical procedures and perioperative management were </w:t>
      </w:r>
      <w:r w:rsidRPr="00D54784">
        <w:rPr>
          <w:sz w:val="24"/>
          <w:szCs w:val="24"/>
        </w:rPr>
        <w:lastRenderedPageBreak/>
        <w:t>carried out following the guidelines approved by the Ethics Committee of Xijing Hospital, Fourth Military Medical University (Ethical approval number</w:t>
      </w:r>
      <w:r>
        <w:rPr>
          <w:rFonts w:hint="eastAsia"/>
          <w:sz w:val="24"/>
          <w:szCs w:val="24"/>
        </w:rPr>
        <w:t xml:space="preserve">: </w:t>
      </w:r>
      <w:r w:rsidRPr="00D54784">
        <w:rPr>
          <w:sz w:val="24"/>
          <w:szCs w:val="24"/>
        </w:rPr>
        <w:t>20241312).</w:t>
      </w:r>
    </w:p>
    <w:p w14:paraId="4A0E3F62" w14:textId="601EB45E" w:rsidR="00A2329C" w:rsidRPr="00A2329C" w:rsidRDefault="00A2329C" w:rsidP="00A2329C">
      <w:pPr>
        <w:spacing w:line="480" w:lineRule="auto"/>
        <w:ind w:firstLine="480"/>
        <w:rPr>
          <w:sz w:val="24"/>
          <w:szCs w:val="24"/>
        </w:rPr>
      </w:pPr>
      <w:r w:rsidRPr="00D54784">
        <w:rPr>
          <w:sz w:val="24"/>
          <w:szCs w:val="24"/>
        </w:rPr>
        <w:t xml:space="preserve">Before the experiments, the mice were housed in a specific pathogen-free (SPF) environment at a temperature of 23 ± 2°C and humidity of 50-60%, with ad libitum access to water and food. After </w:t>
      </w:r>
      <w:r w:rsidRPr="00561ECE">
        <w:rPr>
          <w:sz w:val="24"/>
          <w:szCs w:val="24"/>
        </w:rPr>
        <w:t>Feeding with high-fat and high-sugar food</w:t>
      </w:r>
      <w:r>
        <w:rPr>
          <w:rFonts w:hint="eastAsia"/>
          <w:sz w:val="24"/>
          <w:szCs w:val="24"/>
        </w:rPr>
        <w:t>s</w:t>
      </w:r>
      <w:r w:rsidRPr="00D54784">
        <w:rPr>
          <w:sz w:val="24"/>
          <w:szCs w:val="24"/>
        </w:rPr>
        <w:t>, diabetes was induced by a single intraperitoneal injection of streptozotocin (STZ, Sigma-Aldrich) at 50 mg/kg in citrate buffer (pH = 4.5) for 5 consecutive days. One week after injection, mice with blood glucose levels above 16.7 mm were considered diabetic. The mice were randomly divided into 5 groups (n = 12) for treatment with control (Tegaderm Film, 3M, USA), MN, Cu/CeO</w:t>
      </w:r>
      <w:r w:rsidRPr="00080654">
        <w:rPr>
          <w:sz w:val="24"/>
          <w:szCs w:val="24"/>
          <w:vertAlign w:val="subscript"/>
        </w:rPr>
        <w:t>2</w:t>
      </w:r>
      <w:r>
        <w:rPr>
          <w:rFonts w:hint="eastAsia"/>
          <w:sz w:val="24"/>
          <w:szCs w:val="24"/>
        </w:rPr>
        <w:t>-</w:t>
      </w:r>
      <w:r w:rsidRPr="00D54784">
        <w:rPr>
          <w:sz w:val="24"/>
          <w:szCs w:val="24"/>
        </w:rPr>
        <w:t>MN, NMN</w:t>
      </w:r>
      <w:r>
        <w:rPr>
          <w:rFonts w:hint="eastAsia"/>
          <w:sz w:val="24"/>
          <w:szCs w:val="24"/>
        </w:rPr>
        <w:t>-</w:t>
      </w:r>
      <w:r w:rsidRPr="00D54784">
        <w:rPr>
          <w:sz w:val="24"/>
          <w:szCs w:val="24"/>
        </w:rPr>
        <w:t xml:space="preserve">MN, and </w:t>
      </w:r>
      <w:r w:rsidRPr="002C1572">
        <w:rPr>
          <w:kern w:val="0"/>
          <w:sz w:val="24"/>
          <w:szCs w:val="24"/>
        </w:rPr>
        <w:t>NMN@Cu/CeO₂-MN</w:t>
      </w:r>
      <w:r w:rsidRPr="00D54784">
        <w:rPr>
          <w:sz w:val="24"/>
          <w:szCs w:val="24"/>
        </w:rPr>
        <w:t>. Full-thickness wounds were created on the dorsal skin of mice using a 9 mm biopsy punch. The microneedle patch or PBS (control) was applied to the wound site, and the wounds were covered with Tegaderm film (3M, USA). Wound areas were measured and photographed on days 0, 3, 7, and 14. At the specified time points, 3 mice from each group were randomly selected to collect wound tissues for further histological studies. Wound contraction was measured and calculated using ImageJ (version 1.53e). Wound contraction rate (%) = (A</w:t>
      </w:r>
      <w:r w:rsidRPr="00FF177A">
        <w:rPr>
          <w:sz w:val="24"/>
          <w:szCs w:val="24"/>
          <w:vertAlign w:val="subscript"/>
        </w:rPr>
        <w:t>0</w:t>
      </w:r>
      <w:r w:rsidRPr="00D54784">
        <w:rPr>
          <w:sz w:val="24"/>
          <w:szCs w:val="24"/>
        </w:rPr>
        <w:t xml:space="preserve"> - A</w:t>
      </w:r>
      <w:r w:rsidRPr="00FF177A">
        <w:rPr>
          <w:sz w:val="24"/>
          <w:szCs w:val="24"/>
          <w:vertAlign w:val="subscript"/>
        </w:rPr>
        <w:t>n</w:t>
      </w:r>
      <w:r w:rsidRPr="00D54784">
        <w:rPr>
          <w:sz w:val="24"/>
          <w:szCs w:val="24"/>
        </w:rPr>
        <w:t>) / A</w:t>
      </w:r>
      <w:r w:rsidRPr="00FF177A">
        <w:rPr>
          <w:sz w:val="24"/>
          <w:szCs w:val="24"/>
          <w:vertAlign w:val="subscript"/>
        </w:rPr>
        <w:t xml:space="preserve">0 </w:t>
      </w:r>
      <w:r w:rsidRPr="00D54784">
        <w:rPr>
          <w:sz w:val="24"/>
          <w:szCs w:val="24"/>
        </w:rPr>
        <w:t>× 100%, where A</w:t>
      </w:r>
      <w:r w:rsidRPr="00FF177A">
        <w:rPr>
          <w:sz w:val="24"/>
          <w:szCs w:val="24"/>
          <w:vertAlign w:val="subscript"/>
        </w:rPr>
        <w:t>0</w:t>
      </w:r>
      <w:r w:rsidRPr="00D54784">
        <w:rPr>
          <w:sz w:val="24"/>
          <w:szCs w:val="24"/>
        </w:rPr>
        <w:t xml:space="preserve"> and A</w:t>
      </w:r>
      <w:r w:rsidRPr="00FF177A">
        <w:rPr>
          <w:sz w:val="24"/>
          <w:szCs w:val="24"/>
          <w:vertAlign w:val="subscript"/>
        </w:rPr>
        <w:t>n</w:t>
      </w:r>
      <w:r w:rsidRPr="00D54784">
        <w:rPr>
          <w:sz w:val="24"/>
          <w:szCs w:val="24"/>
        </w:rPr>
        <w:t xml:space="preserve"> represent the wound area on day 0 and day n.</w:t>
      </w:r>
    </w:p>
    <w:p w14:paraId="18EEA87F" w14:textId="34AFDE53" w:rsidR="00C36989" w:rsidRPr="0055635D" w:rsidRDefault="007A759D" w:rsidP="007A759D">
      <w:pPr>
        <w:spacing w:line="480" w:lineRule="auto"/>
        <w:ind w:firstLineChars="0" w:firstLine="0"/>
        <w:rPr>
          <w:b/>
          <w:bCs/>
          <w:sz w:val="24"/>
          <w:szCs w:val="24"/>
        </w:rPr>
      </w:pPr>
      <w:r>
        <w:rPr>
          <w:rFonts w:hint="eastAsia"/>
          <w:b/>
          <w:bCs/>
          <w:sz w:val="24"/>
          <w:szCs w:val="24"/>
        </w:rPr>
        <w:t>2</w:t>
      </w:r>
      <w:r w:rsidR="00136A06">
        <w:rPr>
          <w:rFonts w:hint="eastAsia"/>
          <w:b/>
          <w:bCs/>
          <w:sz w:val="24"/>
          <w:szCs w:val="24"/>
        </w:rPr>
        <w:t>1</w:t>
      </w:r>
      <w:r w:rsidR="00C36989">
        <w:rPr>
          <w:rFonts w:hint="eastAsia"/>
          <w:b/>
          <w:bCs/>
          <w:sz w:val="24"/>
          <w:szCs w:val="24"/>
        </w:rPr>
        <w:t>.</w:t>
      </w:r>
      <w:r w:rsidR="00C36989" w:rsidRPr="0055635D">
        <w:rPr>
          <w:b/>
          <w:bCs/>
          <w:sz w:val="24"/>
          <w:szCs w:val="24"/>
        </w:rPr>
        <w:t xml:space="preserve"> Histological, ROS, and Immunofluorescence Staining of Wound Tissue</w:t>
      </w:r>
    </w:p>
    <w:p w14:paraId="3F6D8A64" w14:textId="40287A67" w:rsidR="00A2329C" w:rsidRPr="00A2329C" w:rsidRDefault="00C36989" w:rsidP="00481ED4">
      <w:pPr>
        <w:spacing w:line="480" w:lineRule="auto"/>
        <w:ind w:firstLine="480"/>
        <w:rPr>
          <w:sz w:val="24"/>
          <w:szCs w:val="24"/>
        </w:rPr>
      </w:pPr>
      <w:r w:rsidRPr="00D54784">
        <w:rPr>
          <w:sz w:val="24"/>
          <w:szCs w:val="24"/>
        </w:rPr>
        <w:t xml:space="preserve">At the specified dates, full-thickness wound tissues were excised, including 2 mm of healthy tissue at the edges, and used for cryosectioning or fixed tissue immunofluorescence staining. H&amp;E and Masson staining were performed to assess </w:t>
      </w:r>
      <w:r w:rsidRPr="00D54784">
        <w:rPr>
          <w:sz w:val="24"/>
          <w:szCs w:val="24"/>
        </w:rPr>
        <w:lastRenderedPageBreak/>
        <w:t>epithelial formation and collagen deposition (on days 7 and 14); DHE probe was used to assess in vivo ROS clearance (on day 3); CD86 and CD206 antibodies (Servicebio) were used to evaluate macrophage polarization (on day 7); CD31 antibody (Boster Bio) was used to assess angiogenesis, and TNF-α antibody (Abcam) was used to evaluate inflammation-related factor expression.</w:t>
      </w:r>
    </w:p>
    <w:p w14:paraId="49ABE623" w14:textId="37AA1F7A" w:rsidR="00C36989" w:rsidRPr="0055635D" w:rsidRDefault="007A759D" w:rsidP="007A759D">
      <w:pPr>
        <w:spacing w:line="480" w:lineRule="auto"/>
        <w:ind w:firstLineChars="0" w:firstLine="0"/>
        <w:rPr>
          <w:b/>
          <w:bCs/>
          <w:sz w:val="24"/>
          <w:szCs w:val="24"/>
        </w:rPr>
      </w:pPr>
      <w:r>
        <w:rPr>
          <w:rFonts w:hint="eastAsia"/>
          <w:b/>
          <w:bCs/>
          <w:sz w:val="24"/>
          <w:szCs w:val="24"/>
        </w:rPr>
        <w:t>2</w:t>
      </w:r>
      <w:r w:rsidR="00136A06">
        <w:rPr>
          <w:rFonts w:hint="eastAsia"/>
          <w:b/>
          <w:bCs/>
          <w:sz w:val="24"/>
          <w:szCs w:val="24"/>
        </w:rPr>
        <w:t>2</w:t>
      </w:r>
      <w:r w:rsidR="00C36989">
        <w:rPr>
          <w:rFonts w:hint="eastAsia"/>
          <w:b/>
          <w:bCs/>
          <w:sz w:val="24"/>
          <w:szCs w:val="24"/>
        </w:rPr>
        <w:t>.</w:t>
      </w:r>
      <w:r w:rsidR="00C36989" w:rsidRPr="0055635D">
        <w:rPr>
          <w:b/>
          <w:bCs/>
          <w:sz w:val="24"/>
          <w:szCs w:val="24"/>
        </w:rPr>
        <w:t xml:space="preserve"> Western Blot Analysis</w:t>
      </w:r>
    </w:p>
    <w:p w14:paraId="1259EE2A" w14:textId="62A8A80D" w:rsidR="00C36989" w:rsidRDefault="00C36989" w:rsidP="00C36989">
      <w:pPr>
        <w:spacing w:line="480" w:lineRule="auto"/>
        <w:ind w:firstLine="480"/>
        <w:rPr>
          <w:sz w:val="24"/>
          <w:szCs w:val="24"/>
        </w:rPr>
      </w:pPr>
      <w:r w:rsidRPr="00D54784">
        <w:rPr>
          <w:sz w:val="24"/>
          <w:szCs w:val="24"/>
        </w:rPr>
        <w:t>Proteins from animal wound tissues were extracted, and the protein concentrations of the supernatant were measured using the BCA assay kit (Beyotime). Protein separation was performed by SDS-PAGE (8-20% gels), followed by transfer to a 0.22 μm PVDF membrane (ISEQ00010, Millipore). The membrane was blocked for 1 hour and incubated overnight at 4°C with primary antibodies for N</w:t>
      </w:r>
      <w:r>
        <w:rPr>
          <w:rFonts w:hint="eastAsia"/>
          <w:sz w:val="24"/>
          <w:szCs w:val="24"/>
        </w:rPr>
        <w:t>rf</w:t>
      </w:r>
      <w:r w:rsidRPr="00D54784">
        <w:rPr>
          <w:sz w:val="24"/>
          <w:szCs w:val="24"/>
        </w:rPr>
        <w:t>2 (Proteintech), GAPDH (Proteintech), SIRT1 (Proteintech), HO-1 (Proteintech), and GPX4 (Proteintech). The membrane was washed six times for 30 minutes each with PBS containing 0.1% Tween 20 (TBST). After incubation with HRP-conjugated secondary antibodies for 1 h, enhanced chemiluminescence detection reagents were used to observe the immunoreactive bands. GAPDH was used as the loading control.</w:t>
      </w:r>
    </w:p>
    <w:p w14:paraId="24BD9CEC" w14:textId="0546C9B4" w:rsidR="007A759D" w:rsidRDefault="007A759D" w:rsidP="007A759D">
      <w:pPr>
        <w:spacing w:line="480" w:lineRule="auto"/>
        <w:ind w:firstLineChars="0" w:firstLine="0"/>
        <w:rPr>
          <w:sz w:val="24"/>
          <w:szCs w:val="24"/>
        </w:rPr>
      </w:pPr>
      <w:r>
        <w:rPr>
          <w:rFonts w:hint="eastAsia"/>
          <w:b/>
          <w:bCs/>
          <w:sz w:val="24"/>
          <w:szCs w:val="24"/>
        </w:rPr>
        <w:t>2</w:t>
      </w:r>
      <w:r w:rsidR="00136A06">
        <w:rPr>
          <w:rFonts w:hint="eastAsia"/>
          <w:b/>
          <w:bCs/>
          <w:sz w:val="24"/>
          <w:szCs w:val="24"/>
        </w:rPr>
        <w:t>3</w:t>
      </w:r>
      <w:r>
        <w:rPr>
          <w:rFonts w:hint="eastAsia"/>
          <w:b/>
          <w:bCs/>
          <w:sz w:val="24"/>
          <w:szCs w:val="24"/>
        </w:rPr>
        <w:t xml:space="preserve">. </w:t>
      </w:r>
      <w:r w:rsidRPr="0055635D">
        <w:rPr>
          <w:b/>
          <w:bCs/>
          <w:sz w:val="24"/>
          <w:szCs w:val="24"/>
        </w:rPr>
        <w:t>Statistical Analysis</w:t>
      </w:r>
      <w:r w:rsidRPr="00D54784">
        <w:rPr>
          <w:sz w:val="24"/>
          <w:szCs w:val="24"/>
        </w:rPr>
        <w:t xml:space="preserve"> </w:t>
      </w:r>
    </w:p>
    <w:p w14:paraId="1F154F51" w14:textId="007C90A5" w:rsidR="00481ED4" w:rsidRPr="00240FCD" w:rsidRDefault="007A759D" w:rsidP="00240FCD">
      <w:pPr>
        <w:spacing w:line="480" w:lineRule="auto"/>
        <w:ind w:firstLine="480"/>
        <w:rPr>
          <w:sz w:val="24"/>
          <w:szCs w:val="24"/>
        </w:rPr>
      </w:pPr>
      <w:r w:rsidRPr="00D54784">
        <w:rPr>
          <w:sz w:val="24"/>
          <w:szCs w:val="24"/>
        </w:rPr>
        <w:t xml:space="preserve">All statistical analyses were performed using GraphPad Prism 8.0 software (La Jolla, California, USA) and Origin 2024 (version 9.8.0.200). Data are presented as mean ± SD from at least three independent experiments. </w:t>
      </w:r>
      <w:r w:rsidRPr="00FA2CAD">
        <w:rPr>
          <w:sz w:val="24"/>
          <w:szCs w:val="24"/>
        </w:rPr>
        <w:t>The sample size (n) for each statistical analysis is detailed in the figure legends, and all experiments were repeated with at least three samples to ensure consistency</w:t>
      </w:r>
      <w:r>
        <w:rPr>
          <w:rFonts w:hint="eastAsia"/>
          <w:sz w:val="24"/>
          <w:szCs w:val="24"/>
        </w:rPr>
        <w:t>.</w:t>
      </w:r>
      <w:r w:rsidRPr="00D54784">
        <w:rPr>
          <w:rFonts w:hint="eastAsia"/>
          <w:sz w:val="24"/>
          <w:szCs w:val="24"/>
        </w:rPr>
        <w:t xml:space="preserve"> For statistical methods, comparisons </w:t>
      </w:r>
      <w:r w:rsidRPr="00D54784">
        <w:rPr>
          <w:rFonts w:hint="eastAsia"/>
          <w:sz w:val="24"/>
          <w:szCs w:val="24"/>
        </w:rPr>
        <w:lastRenderedPageBreak/>
        <w:t>between two groups were performed using Student</w:t>
      </w:r>
      <w:r w:rsidRPr="0055635D">
        <w:rPr>
          <w:sz w:val="24"/>
          <w:szCs w:val="24"/>
        </w:rPr>
        <w:t>’</w:t>
      </w:r>
      <w:r w:rsidRPr="00D54784">
        <w:rPr>
          <w:sz w:val="24"/>
          <w:szCs w:val="24"/>
        </w:rPr>
        <w:t xml:space="preserve">s t-test, and comparisons among multiple groups were analyzed using one-way ANOVA with Tukey post-hoc test to determine significant differences between specific means. Statistical significance was set at </w:t>
      </w:r>
      <w:r>
        <w:rPr>
          <w:rFonts w:hint="eastAsia"/>
          <w:i/>
          <w:iCs/>
          <w:sz w:val="24"/>
          <w:szCs w:val="24"/>
        </w:rPr>
        <w:t>P</w:t>
      </w:r>
      <w:r w:rsidRPr="0055635D">
        <w:rPr>
          <w:i/>
          <w:iCs/>
          <w:sz w:val="24"/>
          <w:szCs w:val="24"/>
        </w:rPr>
        <w:t xml:space="preserve"> </w:t>
      </w:r>
      <w:r w:rsidRPr="00D54784">
        <w:rPr>
          <w:sz w:val="24"/>
          <w:szCs w:val="24"/>
        </w:rPr>
        <w:t xml:space="preserve">&lt; 0.05, and all tests were two-tailed unless otherwise specified. A </w:t>
      </w:r>
      <w:r w:rsidRPr="002114EE">
        <w:rPr>
          <w:rFonts w:hint="eastAsia"/>
          <w:i/>
          <w:iCs/>
          <w:sz w:val="24"/>
          <w:szCs w:val="24"/>
        </w:rPr>
        <w:t>P</w:t>
      </w:r>
      <w:r w:rsidRPr="00D54784">
        <w:rPr>
          <w:sz w:val="24"/>
          <w:szCs w:val="24"/>
        </w:rPr>
        <w:t>-value of &lt;0.05 was considered statistically significant.</w:t>
      </w:r>
    </w:p>
    <w:p w14:paraId="5261A6FF" w14:textId="05E67EB0" w:rsidR="00CC1653" w:rsidRDefault="00CC1653" w:rsidP="00243546">
      <w:pPr>
        <w:spacing w:line="480" w:lineRule="auto"/>
        <w:ind w:firstLineChars="0" w:firstLine="0"/>
        <w:rPr>
          <w:b/>
          <w:iCs/>
          <w:sz w:val="24"/>
          <w:szCs w:val="24"/>
        </w:rPr>
      </w:pPr>
      <w:r w:rsidRPr="0032356F">
        <w:rPr>
          <w:b/>
          <w:iCs/>
          <w:sz w:val="24"/>
          <w:szCs w:val="24"/>
        </w:rPr>
        <w:t>Results</w:t>
      </w:r>
    </w:p>
    <w:p w14:paraId="10EC498F" w14:textId="291C5444" w:rsidR="004F2934" w:rsidRPr="00BE781B" w:rsidRDefault="004F2934" w:rsidP="004F2934">
      <w:pPr>
        <w:spacing w:line="360" w:lineRule="auto"/>
        <w:ind w:firstLineChars="0" w:firstLine="0"/>
        <w:rPr>
          <w:sz w:val="24"/>
          <w:szCs w:val="24"/>
        </w:rPr>
      </w:pPr>
      <w:r w:rsidRPr="00BE781B">
        <w:rPr>
          <w:b/>
          <w:bCs/>
          <w:sz w:val="24"/>
          <w:szCs w:val="24"/>
        </w:rPr>
        <w:t xml:space="preserve">Table S1. </w:t>
      </w:r>
      <w:r>
        <w:rPr>
          <w:rFonts w:hint="eastAsia"/>
          <w:sz w:val="24"/>
          <w:szCs w:val="24"/>
        </w:rPr>
        <w:t>L</w:t>
      </w:r>
      <w:r w:rsidRPr="004F2934">
        <w:rPr>
          <w:sz w:val="24"/>
          <w:szCs w:val="24"/>
        </w:rPr>
        <w:t xml:space="preserve">oading ratios of NMN and PEI-Cu/CeO₂ in the composite </w:t>
      </w:r>
      <w:r w:rsidR="00DA4223" w:rsidRPr="009211FB">
        <w:rPr>
          <w:sz w:val="24"/>
          <w:szCs w:val="24"/>
        </w:rPr>
        <w:t>NMN@Cu/CeO₂</w:t>
      </w:r>
      <w:r>
        <w:rPr>
          <w:rFonts w:hint="eastAsia"/>
          <w:sz w:val="24"/>
          <w:szCs w:val="24"/>
        </w:rPr>
        <w:t>.</w:t>
      </w:r>
    </w:p>
    <w:tbl>
      <w:tblPr>
        <w:tblStyle w:val="ad"/>
        <w:tblW w:w="5000" w:type="pct"/>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6"/>
        <w:gridCol w:w="1945"/>
        <w:gridCol w:w="2970"/>
        <w:gridCol w:w="223"/>
        <w:gridCol w:w="1882"/>
      </w:tblGrid>
      <w:tr w:rsidR="004F2934" w:rsidRPr="00BE781B" w14:paraId="4803F609" w14:textId="77777777" w:rsidTr="00842A24">
        <w:tc>
          <w:tcPr>
            <w:tcW w:w="774" w:type="pct"/>
            <w:tcBorders>
              <w:top w:val="single" w:sz="12" w:space="0" w:color="auto"/>
              <w:bottom w:val="single" w:sz="8" w:space="0" w:color="auto"/>
            </w:tcBorders>
            <w:vAlign w:val="center"/>
          </w:tcPr>
          <w:p w14:paraId="53CEBCC1" w14:textId="77777777" w:rsidR="004F2934" w:rsidRPr="00BE781B" w:rsidRDefault="004F2934" w:rsidP="0068048B">
            <w:pPr>
              <w:spacing w:line="360" w:lineRule="auto"/>
              <w:ind w:firstLineChars="0" w:firstLine="0"/>
              <w:jc w:val="center"/>
              <w:rPr>
                <w:sz w:val="24"/>
                <w:szCs w:val="24"/>
              </w:rPr>
            </w:pPr>
            <w:r>
              <w:rPr>
                <w:rFonts w:hint="eastAsia"/>
                <w:sz w:val="24"/>
                <w:szCs w:val="24"/>
              </w:rPr>
              <w:t>NMN (mM)</w:t>
            </w:r>
          </w:p>
        </w:tc>
        <w:tc>
          <w:tcPr>
            <w:tcW w:w="1171" w:type="pct"/>
            <w:tcBorders>
              <w:top w:val="single" w:sz="12" w:space="0" w:color="auto"/>
              <w:bottom w:val="single" w:sz="8" w:space="0" w:color="auto"/>
            </w:tcBorders>
            <w:vAlign w:val="center"/>
          </w:tcPr>
          <w:p w14:paraId="3D2C0EBB" w14:textId="77777777" w:rsidR="004F2934" w:rsidRPr="00BE781B" w:rsidRDefault="004F2934" w:rsidP="0068048B">
            <w:pPr>
              <w:spacing w:line="360" w:lineRule="auto"/>
              <w:ind w:firstLineChars="0" w:firstLine="0"/>
              <w:jc w:val="center"/>
              <w:rPr>
                <w:sz w:val="24"/>
                <w:szCs w:val="24"/>
              </w:rPr>
            </w:pPr>
            <w:r w:rsidRPr="001D4E02">
              <w:rPr>
                <w:bCs/>
                <w:color w:val="000000" w:themeColor="text1"/>
                <w:sz w:val="24"/>
                <w:szCs w:val="28"/>
                <w:lang w:eastAsia="en-US"/>
              </w:rPr>
              <w:t>PEI-Cu/CeO₂</w:t>
            </w:r>
            <w:r>
              <w:rPr>
                <w:rFonts w:hint="eastAsia"/>
                <w:bCs/>
                <w:color w:val="000000" w:themeColor="text1"/>
                <w:sz w:val="24"/>
                <w:szCs w:val="28"/>
              </w:rPr>
              <w:t xml:space="preserve"> </w:t>
            </w:r>
            <w:r>
              <w:rPr>
                <w:rFonts w:hint="eastAsia"/>
                <w:sz w:val="24"/>
                <w:szCs w:val="24"/>
              </w:rPr>
              <w:t>(mM)</w:t>
            </w:r>
          </w:p>
        </w:tc>
        <w:tc>
          <w:tcPr>
            <w:tcW w:w="1788" w:type="pct"/>
            <w:tcBorders>
              <w:top w:val="single" w:sz="12" w:space="0" w:color="auto"/>
              <w:bottom w:val="single" w:sz="8" w:space="0" w:color="auto"/>
            </w:tcBorders>
            <w:vAlign w:val="center"/>
          </w:tcPr>
          <w:p w14:paraId="5E3DF4DF" w14:textId="77777777" w:rsidR="004F2934" w:rsidRPr="00BE781B" w:rsidRDefault="004F2934" w:rsidP="0068048B">
            <w:pPr>
              <w:spacing w:line="360" w:lineRule="auto"/>
              <w:ind w:firstLineChars="0" w:firstLine="0"/>
              <w:jc w:val="center"/>
              <w:rPr>
                <w:sz w:val="24"/>
                <w:szCs w:val="24"/>
              </w:rPr>
            </w:pPr>
            <w:r>
              <w:rPr>
                <w:rFonts w:hint="eastAsia"/>
                <w:sz w:val="24"/>
                <w:szCs w:val="24"/>
              </w:rPr>
              <w:t xml:space="preserve">Ratio of NMN and </w:t>
            </w:r>
            <w:r w:rsidRPr="001D4E02">
              <w:rPr>
                <w:bCs/>
                <w:color w:val="000000" w:themeColor="text1"/>
                <w:sz w:val="24"/>
                <w:szCs w:val="28"/>
                <w:lang w:eastAsia="en-US"/>
              </w:rPr>
              <w:t>PEI-Cu/CeO₂</w:t>
            </w:r>
          </w:p>
        </w:tc>
        <w:tc>
          <w:tcPr>
            <w:tcW w:w="134" w:type="pct"/>
            <w:tcBorders>
              <w:top w:val="single" w:sz="12" w:space="0" w:color="auto"/>
              <w:bottom w:val="single" w:sz="8" w:space="0" w:color="auto"/>
            </w:tcBorders>
            <w:vAlign w:val="center"/>
          </w:tcPr>
          <w:p w14:paraId="09E80028" w14:textId="6A650609" w:rsidR="004F2934" w:rsidRPr="00BE781B" w:rsidRDefault="004F2934" w:rsidP="00842A24">
            <w:pPr>
              <w:spacing w:line="360" w:lineRule="auto"/>
              <w:ind w:firstLineChars="0" w:firstLine="0"/>
              <w:rPr>
                <w:sz w:val="24"/>
                <w:szCs w:val="24"/>
              </w:rPr>
            </w:pPr>
          </w:p>
        </w:tc>
        <w:tc>
          <w:tcPr>
            <w:tcW w:w="1133" w:type="pct"/>
            <w:tcBorders>
              <w:top w:val="single" w:sz="12" w:space="0" w:color="auto"/>
              <w:bottom w:val="single" w:sz="8" w:space="0" w:color="auto"/>
            </w:tcBorders>
            <w:vAlign w:val="center"/>
          </w:tcPr>
          <w:p w14:paraId="245ABCA6" w14:textId="77777777" w:rsidR="004F2934" w:rsidRPr="00BE781B" w:rsidRDefault="004F2934" w:rsidP="0068048B">
            <w:pPr>
              <w:spacing w:line="360" w:lineRule="auto"/>
              <w:ind w:firstLineChars="0" w:firstLine="0"/>
              <w:jc w:val="center"/>
              <w:rPr>
                <w:sz w:val="24"/>
                <w:szCs w:val="24"/>
              </w:rPr>
            </w:pPr>
            <w:r w:rsidRPr="004F2934">
              <w:rPr>
                <w:sz w:val="24"/>
                <w:szCs w:val="24"/>
              </w:rPr>
              <w:t>Drug loading ratios</w:t>
            </w:r>
          </w:p>
        </w:tc>
      </w:tr>
      <w:tr w:rsidR="004F2934" w:rsidRPr="00BE781B" w14:paraId="664FED3F" w14:textId="77777777" w:rsidTr="00842A24">
        <w:tc>
          <w:tcPr>
            <w:tcW w:w="774" w:type="pct"/>
            <w:vAlign w:val="center"/>
          </w:tcPr>
          <w:p w14:paraId="757FDEF9" w14:textId="77777777" w:rsidR="004F2934" w:rsidRPr="00BE781B" w:rsidRDefault="004F2934" w:rsidP="0068048B">
            <w:pPr>
              <w:spacing w:line="360" w:lineRule="auto"/>
              <w:ind w:firstLineChars="0" w:firstLine="0"/>
              <w:jc w:val="center"/>
              <w:rPr>
                <w:sz w:val="24"/>
                <w:szCs w:val="24"/>
              </w:rPr>
            </w:pPr>
            <w:r>
              <w:rPr>
                <w:rFonts w:hint="eastAsia"/>
                <w:sz w:val="24"/>
                <w:szCs w:val="24"/>
              </w:rPr>
              <w:t>2.5</w:t>
            </w:r>
          </w:p>
        </w:tc>
        <w:tc>
          <w:tcPr>
            <w:tcW w:w="1171" w:type="pct"/>
            <w:vAlign w:val="center"/>
          </w:tcPr>
          <w:p w14:paraId="4599DB29" w14:textId="77777777" w:rsidR="004F2934" w:rsidRPr="00BE781B" w:rsidRDefault="004F2934" w:rsidP="0068048B">
            <w:pPr>
              <w:spacing w:line="360" w:lineRule="auto"/>
              <w:ind w:firstLineChars="0" w:firstLine="0"/>
              <w:jc w:val="center"/>
              <w:rPr>
                <w:sz w:val="24"/>
                <w:szCs w:val="24"/>
              </w:rPr>
            </w:pPr>
            <w:r>
              <w:rPr>
                <w:rFonts w:hint="eastAsia"/>
                <w:sz w:val="24"/>
                <w:szCs w:val="24"/>
              </w:rPr>
              <w:t>2.656</w:t>
            </w:r>
          </w:p>
        </w:tc>
        <w:tc>
          <w:tcPr>
            <w:tcW w:w="1788" w:type="pct"/>
            <w:vAlign w:val="center"/>
          </w:tcPr>
          <w:p w14:paraId="3A799288" w14:textId="77777777" w:rsidR="004F2934" w:rsidRPr="00BE781B" w:rsidRDefault="004F2934" w:rsidP="0068048B">
            <w:pPr>
              <w:spacing w:line="360" w:lineRule="auto"/>
              <w:ind w:firstLineChars="0" w:firstLine="0"/>
              <w:jc w:val="center"/>
              <w:rPr>
                <w:sz w:val="24"/>
                <w:szCs w:val="24"/>
              </w:rPr>
            </w:pPr>
            <w:r>
              <w:rPr>
                <w:rFonts w:hint="eastAsia"/>
                <w:sz w:val="24"/>
                <w:szCs w:val="24"/>
              </w:rPr>
              <w:t>0.9413:1</w:t>
            </w:r>
          </w:p>
        </w:tc>
        <w:tc>
          <w:tcPr>
            <w:tcW w:w="134" w:type="pct"/>
            <w:vAlign w:val="center"/>
          </w:tcPr>
          <w:p w14:paraId="64F72EB1" w14:textId="01ADC9BF" w:rsidR="004F2934" w:rsidRPr="00BE781B" w:rsidRDefault="004F2934" w:rsidP="0068048B">
            <w:pPr>
              <w:spacing w:line="360" w:lineRule="auto"/>
              <w:ind w:firstLineChars="0" w:firstLine="0"/>
              <w:jc w:val="center"/>
              <w:rPr>
                <w:sz w:val="24"/>
                <w:szCs w:val="24"/>
              </w:rPr>
            </w:pPr>
          </w:p>
        </w:tc>
        <w:tc>
          <w:tcPr>
            <w:tcW w:w="1133" w:type="pct"/>
            <w:vAlign w:val="center"/>
          </w:tcPr>
          <w:p w14:paraId="79C71A7C" w14:textId="0AC5B37B" w:rsidR="004F2934" w:rsidRPr="00BE781B" w:rsidRDefault="00C775B4" w:rsidP="00C775B4">
            <w:pPr>
              <w:spacing w:line="360" w:lineRule="auto"/>
              <w:ind w:firstLineChars="0" w:firstLine="0"/>
              <w:jc w:val="center"/>
              <w:rPr>
                <w:sz w:val="24"/>
                <w:szCs w:val="24"/>
              </w:rPr>
            </w:pPr>
            <w:r>
              <w:rPr>
                <w:rFonts w:hint="eastAsia"/>
                <w:sz w:val="24"/>
                <w:szCs w:val="24"/>
              </w:rPr>
              <w:t>4.40%</w:t>
            </w:r>
          </w:p>
        </w:tc>
      </w:tr>
      <w:tr w:rsidR="004F2934" w:rsidRPr="00BE781B" w14:paraId="0CEDB1CB" w14:textId="77777777" w:rsidTr="00842A24">
        <w:tc>
          <w:tcPr>
            <w:tcW w:w="774" w:type="pct"/>
            <w:vAlign w:val="center"/>
          </w:tcPr>
          <w:p w14:paraId="234D80CD" w14:textId="77777777" w:rsidR="004F2934" w:rsidRPr="00BE781B" w:rsidRDefault="004F2934" w:rsidP="0068048B">
            <w:pPr>
              <w:spacing w:line="360" w:lineRule="auto"/>
              <w:ind w:firstLineChars="0" w:firstLine="0"/>
              <w:jc w:val="center"/>
              <w:rPr>
                <w:sz w:val="24"/>
                <w:szCs w:val="24"/>
              </w:rPr>
            </w:pPr>
            <w:r>
              <w:rPr>
                <w:rFonts w:hint="eastAsia"/>
                <w:sz w:val="24"/>
                <w:szCs w:val="24"/>
              </w:rPr>
              <w:t>5</w:t>
            </w:r>
          </w:p>
        </w:tc>
        <w:tc>
          <w:tcPr>
            <w:tcW w:w="1171" w:type="pct"/>
            <w:vAlign w:val="center"/>
          </w:tcPr>
          <w:p w14:paraId="6F52F610" w14:textId="77777777" w:rsidR="004F2934" w:rsidRPr="00BE781B" w:rsidRDefault="004F2934" w:rsidP="0068048B">
            <w:pPr>
              <w:spacing w:line="360" w:lineRule="auto"/>
              <w:ind w:firstLineChars="0" w:firstLine="0"/>
              <w:jc w:val="center"/>
              <w:rPr>
                <w:sz w:val="24"/>
                <w:szCs w:val="24"/>
              </w:rPr>
            </w:pPr>
            <w:r>
              <w:rPr>
                <w:rFonts w:hint="eastAsia"/>
                <w:sz w:val="24"/>
                <w:szCs w:val="24"/>
              </w:rPr>
              <w:t>2.656</w:t>
            </w:r>
          </w:p>
        </w:tc>
        <w:tc>
          <w:tcPr>
            <w:tcW w:w="1788" w:type="pct"/>
            <w:vAlign w:val="center"/>
          </w:tcPr>
          <w:p w14:paraId="5CB6A97D" w14:textId="77777777" w:rsidR="004F2934" w:rsidRPr="00BE781B" w:rsidRDefault="004F2934" w:rsidP="0068048B">
            <w:pPr>
              <w:spacing w:line="360" w:lineRule="auto"/>
              <w:ind w:firstLineChars="0" w:firstLine="0"/>
              <w:jc w:val="center"/>
              <w:rPr>
                <w:sz w:val="24"/>
                <w:szCs w:val="24"/>
              </w:rPr>
            </w:pPr>
            <w:r>
              <w:rPr>
                <w:rFonts w:hint="eastAsia"/>
                <w:sz w:val="24"/>
                <w:szCs w:val="24"/>
              </w:rPr>
              <w:t>1.8825:1</w:t>
            </w:r>
          </w:p>
        </w:tc>
        <w:tc>
          <w:tcPr>
            <w:tcW w:w="134" w:type="pct"/>
            <w:vAlign w:val="center"/>
          </w:tcPr>
          <w:p w14:paraId="66910CFB" w14:textId="032153F8" w:rsidR="004F2934" w:rsidRPr="00BE781B" w:rsidRDefault="004F2934" w:rsidP="0068048B">
            <w:pPr>
              <w:spacing w:line="360" w:lineRule="auto"/>
              <w:ind w:firstLineChars="0" w:firstLine="0"/>
              <w:jc w:val="center"/>
              <w:rPr>
                <w:sz w:val="24"/>
                <w:szCs w:val="24"/>
              </w:rPr>
            </w:pPr>
          </w:p>
        </w:tc>
        <w:tc>
          <w:tcPr>
            <w:tcW w:w="1133" w:type="pct"/>
            <w:vAlign w:val="center"/>
          </w:tcPr>
          <w:p w14:paraId="65ABDA97" w14:textId="0C5AC984" w:rsidR="004F2934" w:rsidRPr="00BE781B" w:rsidRDefault="004F2934" w:rsidP="00C775B4">
            <w:pPr>
              <w:spacing w:line="360" w:lineRule="auto"/>
              <w:ind w:firstLineChars="0" w:firstLine="0"/>
              <w:jc w:val="center"/>
              <w:rPr>
                <w:sz w:val="24"/>
                <w:szCs w:val="24"/>
              </w:rPr>
            </w:pPr>
            <w:r>
              <w:rPr>
                <w:rFonts w:hint="eastAsia"/>
                <w:sz w:val="24"/>
                <w:szCs w:val="24"/>
              </w:rPr>
              <w:t>12</w:t>
            </w:r>
            <w:r w:rsidR="00C775B4">
              <w:rPr>
                <w:rFonts w:hint="eastAsia"/>
                <w:sz w:val="24"/>
                <w:szCs w:val="24"/>
              </w:rPr>
              <w:t>.</w:t>
            </w:r>
            <w:r>
              <w:rPr>
                <w:rFonts w:hint="eastAsia"/>
                <w:sz w:val="24"/>
                <w:szCs w:val="24"/>
              </w:rPr>
              <w:t>95</w:t>
            </w:r>
            <w:r w:rsidR="00C775B4">
              <w:rPr>
                <w:rFonts w:hint="eastAsia"/>
                <w:sz w:val="24"/>
                <w:szCs w:val="24"/>
              </w:rPr>
              <w:t>%</w:t>
            </w:r>
          </w:p>
        </w:tc>
      </w:tr>
      <w:tr w:rsidR="004F2934" w:rsidRPr="00BE781B" w14:paraId="4D569022" w14:textId="77777777" w:rsidTr="00842A24">
        <w:tc>
          <w:tcPr>
            <w:tcW w:w="774" w:type="pct"/>
            <w:vAlign w:val="center"/>
          </w:tcPr>
          <w:p w14:paraId="15CA718B" w14:textId="77777777" w:rsidR="004F2934" w:rsidRPr="00BE781B" w:rsidRDefault="004F2934" w:rsidP="0068048B">
            <w:pPr>
              <w:spacing w:line="360" w:lineRule="auto"/>
              <w:ind w:firstLineChars="0" w:firstLine="0"/>
              <w:jc w:val="center"/>
              <w:rPr>
                <w:sz w:val="24"/>
                <w:szCs w:val="24"/>
              </w:rPr>
            </w:pPr>
            <w:r>
              <w:rPr>
                <w:rFonts w:hint="eastAsia"/>
                <w:sz w:val="24"/>
                <w:szCs w:val="24"/>
              </w:rPr>
              <w:t>7.5</w:t>
            </w:r>
          </w:p>
        </w:tc>
        <w:tc>
          <w:tcPr>
            <w:tcW w:w="1171" w:type="pct"/>
            <w:vAlign w:val="center"/>
          </w:tcPr>
          <w:p w14:paraId="1272AF33" w14:textId="77777777" w:rsidR="004F2934" w:rsidRPr="00BE781B" w:rsidRDefault="004F2934" w:rsidP="0068048B">
            <w:pPr>
              <w:spacing w:line="360" w:lineRule="auto"/>
              <w:ind w:firstLineChars="0" w:firstLine="0"/>
              <w:jc w:val="center"/>
              <w:rPr>
                <w:sz w:val="24"/>
                <w:szCs w:val="24"/>
              </w:rPr>
            </w:pPr>
            <w:r>
              <w:rPr>
                <w:rFonts w:hint="eastAsia"/>
                <w:sz w:val="24"/>
                <w:szCs w:val="24"/>
              </w:rPr>
              <w:t>2.656</w:t>
            </w:r>
          </w:p>
        </w:tc>
        <w:tc>
          <w:tcPr>
            <w:tcW w:w="1788" w:type="pct"/>
            <w:vAlign w:val="center"/>
          </w:tcPr>
          <w:p w14:paraId="54B7F8DD" w14:textId="77777777" w:rsidR="004F2934" w:rsidRPr="00BE781B" w:rsidRDefault="004F2934" w:rsidP="0068048B">
            <w:pPr>
              <w:spacing w:line="360" w:lineRule="auto"/>
              <w:ind w:firstLineChars="0" w:firstLine="0"/>
              <w:jc w:val="center"/>
              <w:rPr>
                <w:sz w:val="24"/>
                <w:szCs w:val="24"/>
              </w:rPr>
            </w:pPr>
            <w:r>
              <w:rPr>
                <w:rFonts w:hint="eastAsia"/>
                <w:sz w:val="24"/>
                <w:szCs w:val="24"/>
              </w:rPr>
              <w:t>2.8238:1</w:t>
            </w:r>
          </w:p>
        </w:tc>
        <w:tc>
          <w:tcPr>
            <w:tcW w:w="134" w:type="pct"/>
            <w:vAlign w:val="center"/>
          </w:tcPr>
          <w:p w14:paraId="30D31F1C" w14:textId="309F11AF" w:rsidR="004F2934" w:rsidRPr="00BE781B" w:rsidRDefault="004F2934" w:rsidP="0068048B">
            <w:pPr>
              <w:spacing w:line="360" w:lineRule="auto"/>
              <w:ind w:firstLineChars="0" w:firstLine="0"/>
              <w:jc w:val="center"/>
              <w:rPr>
                <w:sz w:val="24"/>
                <w:szCs w:val="24"/>
              </w:rPr>
            </w:pPr>
          </w:p>
        </w:tc>
        <w:tc>
          <w:tcPr>
            <w:tcW w:w="1133" w:type="pct"/>
            <w:vAlign w:val="center"/>
          </w:tcPr>
          <w:p w14:paraId="2E5D536F" w14:textId="50EDCCE8" w:rsidR="004F2934" w:rsidRPr="00BE781B" w:rsidRDefault="004F2934" w:rsidP="00C775B4">
            <w:pPr>
              <w:spacing w:line="360" w:lineRule="auto"/>
              <w:ind w:firstLineChars="0" w:firstLine="0"/>
              <w:jc w:val="center"/>
              <w:rPr>
                <w:sz w:val="24"/>
                <w:szCs w:val="24"/>
              </w:rPr>
            </w:pPr>
            <w:r>
              <w:rPr>
                <w:rFonts w:hint="eastAsia"/>
                <w:sz w:val="24"/>
                <w:szCs w:val="24"/>
              </w:rPr>
              <w:t>27</w:t>
            </w:r>
            <w:r w:rsidR="00C775B4">
              <w:rPr>
                <w:rFonts w:hint="eastAsia"/>
                <w:sz w:val="24"/>
                <w:szCs w:val="24"/>
              </w:rPr>
              <w:t>.</w:t>
            </w:r>
            <w:r>
              <w:rPr>
                <w:rFonts w:hint="eastAsia"/>
                <w:sz w:val="24"/>
                <w:szCs w:val="24"/>
              </w:rPr>
              <w:t>53</w:t>
            </w:r>
            <w:r w:rsidR="00C775B4">
              <w:rPr>
                <w:rFonts w:hint="eastAsia"/>
                <w:sz w:val="24"/>
                <w:szCs w:val="24"/>
              </w:rPr>
              <w:t>%</w:t>
            </w:r>
          </w:p>
        </w:tc>
      </w:tr>
      <w:tr w:rsidR="004F2934" w:rsidRPr="00BE781B" w14:paraId="3C16701E" w14:textId="77777777" w:rsidTr="00842A24">
        <w:tc>
          <w:tcPr>
            <w:tcW w:w="774" w:type="pct"/>
            <w:tcBorders>
              <w:bottom w:val="single" w:sz="12" w:space="0" w:color="auto"/>
            </w:tcBorders>
            <w:vAlign w:val="center"/>
          </w:tcPr>
          <w:p w14:paraId="0CE434C8" w14:textId="77777777" w:rsidR="004F2934" w:rsidRPr="00BE781B" w:rsidRDefault="004F2934" w:rsidP="0068048B">
            <w:pPr>
              <w:spacing w:line="360" w:lineRule="auto"/>
              <w:ind w:firstLineChars="0" w:firstLine="0"/>
              <w:jc w:val="center"/>
              <w:rPr>
                <w:sz w:val="24"/>
                <w:szCs w:val="24"/>
              </w:rPr>
            </w:pPr>
            <w:r>
              <w:rPr>
                <w:rFonts w:hint="eastAsia"/>
                <w:sz w:val="24"/>
                <w:szCs w:val="24"/>
              </w:rPr>
              <w:t>10</w:t>
            </w:r>
          </w:p>
        </w:tc>
        <w:tc>
          <w:tcPr>
            <w:tcW w:w="1171" w:type="pct"/>
            <w:tcBorders>
              <w:bottom w:val="single" w:sz="12" w:space="0" w:color="auto"/>
            </w:tcBorders>
            <w:vAlign w:val="center"/>
          </w:tcPr>
          <w:p w14:paraId="29C99AA0" w14:textId="77777777" w:rsidR="004F2934" w:rsidRPr="00BE781B" w:rsidRDefault="004F2934" w:rsidP="0068048B">
            <w:pPr>
              <w:spacing w:line="360" w:lineRule="auto"/>
              <w:ind w:firstLineChars="0" w:firstLine="0"/>
              <w:jc w:val="center"/>
              <w:rPr>
                <w:sz w:val="24"/>
                <w:szCs w:val="24"/>
              </w:rPr>
            </w:pPr>
            <w:r>
              <w:rPr>
                <w:rFonts w:hint="eastAsia"/>
                <w:sz w:val="24"/>
                <w:szCs w:val="24"/>
              </w:rPr>
              <w:t>2.656</w:t>
            </w:r>
          </w:p>
        </w:tc>
        <w:tc>
          <w:tcPr>
            <w:tcW w:w="1788" w:type="pct"/>
            <w:tcBorders>
              <w:bottom w:val="single" w:sz="12" w:space="0" w:color="auto"/>
            </w:tcBorders>
            <w:vAlign w:val="center"/>
          </w:tcPr>
          <w:p w14:paraId="363DA7EB" w14:textId="77777777" w:rsidR="004F2934" w:rsidRPr="00BE781B" w:rsidRDefault="004F2934" w:rsidP="0068048B">
            <w:pPr>
              <w:spacing w:line="360" w:lineRule="auto"/>
              <w:ind w:firstLineChars="0" w:firstLine="0"/>
              <w:jc w:val="center"/>
              <w:rPr>
                <w:sz w:val="24"/>
                <w:szCs w:val="24"/>
              </w:rPr>
            </w:pPr>
            <w:r>
              <w:rPr>
                <w:rFonts w:hint="eastAsia"/>
                <w:sz w:val="24"/>
                <w:szCs w:val="24"/>
              </w:rPr>
              <w:t>3.7651:1</w:t>
            </w:r>
          </w:p>
        </w:tc>
        <w:tc>
          <w:tcPr>
            <w:tcW w:w="134" w:type="pct"/>
            <w:tcBorders>
              <w:bottom w:val="single" w:sz="12" w:space="0" w:color="auto"/>
            </w:tcBorders>
            <w:vAlign w:val="center"/>
          </w:tcPr>
          <w:p w14:paraId="765FBA42" w14:textId="19E741C7" w:rsidR="004F2934" w:rsidRPr="00BE781B" w:rsidRDefault="004F2934" w:rsidP="0068048B">
            <w:pPr>
              <w:spacing w:line="360" w:lineRule="auto"/>
              <w:ind w:firstLineChars="0" w:firstLine="0"/>
              <w:jc w:val="center"/>
              <w:rPr>
                <w:sz w:val="24"/>
                <w:szCs w:val="24"/>
              </w:rPr>
            </w:pPr>
          </w:p>
        </w:tc>
        <w:tc>
          <w:tcPr>
            <w:tcW w:w="1133" w:type="pct"/>
            <w:tcBorders>
              <w:bottom w:val="single" w:sz="12" w:space="0" w:color="auto"/>
            </w:tcBorders>
            <w:vAlign w:val="center"/>
          </w:tcPr>
          <w:p w14:paraId="517978A7" w14:textId="66EF6329" w:rsidR="004F2934" w:rsidRPr="00BE781B" w:rsidRDefault="004F2934" w:rsidP="00C775B4">
            <w:pPr>
              <w:spacing w:line="360" w:lineRule="auto"/>
              <w:ind w:firstLineChars="0" w:firstLine="0"/>
              <w:jc w:val="center"/>
              <w:rPr>
                <w:sz w:val="24"/>
                <w:szCs w:val="24"/>
              </w:rPr>
            </w:pPr>
            <w:r>
              <w:rPr>
                <w:rFonts w:hint="eastAsia"/>
                <w:sz w:val="24"/>
                <w:szCs w:val="24"/>
              </w:rPr>
              <w:t>25</w:t>
            </w:r>
            <w:r w:rsidR="00C775B4">
              <w:rPr>
                <w:rFonts w:hint="eastAsia"/>
                <w:sz w:val="24"/>
                <w:szCs w:val="24"/>
              </w:rPr>
              <w:t>.</w:t>
            </w:r>
            <w:r>
              <w:rPr>
                <w:rFonts w:hint="eastAsia"/>
                <w:sz w:val="24"/>
                <w:szCs w:val="24"/>
              </w:rPr>
              <w:t>66</w:t>
            </w:r>
            <w:r w:rsidR="00C775B4">
              <w:rPr>
                <w:rFonts w:hint="eastAsia"/>
                <w:sz w:val="24"/>
                <w:szCs w:val="24"/>
              </w:rPr>
              <w:t>%</w:t>
            </w:r>
          </w:p>
        </w:tc>
      </w:tr>
    </w:tbl>
    <w:p w14:paraId="4CFC54A1" w14:textId="77777777" w:rsidR="002368D1" w:rsidRDefault="002368D1" w:rsidP="002368D1">
      <w:pPr>
        <w:spacing w:line="480" w:lineRule="auto"/>
        <w:ind w:firstLineChars="0" w:firstLine="0"/>
        <w:rPr>
          <w:noProof/>
        </w:rPr>
      </w:pPr>
    </w:p>
    <w:p w14:paraId="5A511280" w14:textId="56105E3E" w:rsidR="003525E8" w:rsidRPr="0032356F" w:rsidRDefault="002368D1" w:rsidP="000C360C">
      <w:pPr>
        <w:spacing w:line="480" w:lineRule="auto"/>
        <w:ind w:firstLineChars="0" w:firstLine="0"/>
        <w:jc w:val="center"/>
        <w:rPr>
          <w:sz w:val="24"/>
          <w:szCs w:val="24"/>
        </w:rPr>
      </w:pPr>
      <w:r>
        <w:rPr>
          <w:noProof/>
        </w:rPr>
        <w:drawing>
          <wp:inline distT="0" distB="0" distL="0" distR="0" wp14:anchorId="76AFF06C" wp14:editId="7DCA8FFD">
            <wp:extent cx="2769628" cy="2313102"/>
            <wp:effectExtent l="0" t="0" r="0" b="0"/>
            <wp:docPr id="16271326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8318" t="9302" r="8605"/>
                    <a:stretch>
                      <a:fillRect/>
                    </a:stretch>
                  </pic:blipFill>
                  <pic:spPr bwMode="auto">
                    <a:xfrm>
                      <a:off x="0" y="0"/>
                      <a:ext cx="2789805" cy="2329953"/>
                    </a:xfrm>
                    <a:prstGeom prst="rect">
                      <a:avLst/>
                    </a:prstGeom>
                    <a:noFill/>
                    <a:ln>
                      <a:noFill/>
                    </a:ln>
                    <a:extLst>
                      <a:ext uri="{53640926-AAD7-44D8-BBD7-CCE9431645EC}">
                        <a14:shadowObscured xmlns:a14="http://schemas.microsoft.com/office/drawing/2010/main"/>
                      </a:ext>
                    </a:extLst>
                  </pic:spPr>
                </pic:pic>
              </a:graphicData>
            </a:graphic>
          </wp:inline>
        </w:drawing>
      </w:r>
    </w:p>
    <w:p w14:paraId="7E15A515" w14:textId="3ED98F4B" w:rsidR="00755185" w:rsidRPr="0022284C" w:rsidRDefault="003525E8" w:rsidP="004979FD">
      <w:pPr>
        <w:spacing w:afterLines="50" w:after="156" w:line="480" w:lineRule="auto"/>
        <w:ind w:firstLineChars="0" w:firstLine="0"/>
        <w:jc w:val="left"/>
        <w:rPr>
          <w:color w:val="000000" w:themeColor="text1"/>
          <w:kern w:val="0"/>
          <w:sz w:val="24"/>
          <w:szCs w:val="24"/>
        </w:rPr>
      </w:pPr>
      <w:r w:rsidRPr="0022284C">
        <w:rPr>
          <w:b/>
          <w:bCs/>
          <w:color w:val="000000" w:themeColor="text1"/>
          <w:sz w:val="24"/>
          <w:szCs w:val="24"/>
        </w:rPr>
        <w:t>Figure S</w:t>
      </w:r>
      <w:r w:rsidRPr="0022284C">
        <w:rPr>
          <w:rFonts w:hint="eastAsia"/>
          <w:b/>
          <w:bCs/>
          <w:color w:val="000000" w:themeColor="text1"/>
          <w:sz w:val="24"/>
          <w:szCs w:val="24"/>
        </w:rPr>
        <w:t>1</w:t>
      </w:r>
      <w:r w:rsidRPr="0022284C">
        <w:rPr>
          <w:b/>
          <w:bCs/>
          <w:color w:val="000000" w:themeColor="text1"/>
          <w:sz w:val="24"/>
          <w:szCs w:val="24"/>
        </w:rPr>
        <w:t>.</w:t>
      </w:r>
      <w:r w:rsidRPr="0022284C">
        <w:rPr>
          <w:color w:val="000000" w:themeColor="text1"/>
          <w:sz w:val="24"/>
          <w:szCs w:val="24"/>
        </w:rPr>
        <w:t xml:space="preserve"> </w:t>
      </w:r>
      <w:r w:rsidR="004979FD" w:rsidRPr="0022284C">
        <w:rPr>
          <w:rFonts w:hint="eastAsia"/>
          <w:color w:val="000000" w:themeColor="text1"/>
          <w:sz w:val="24"/>
          <w:szCs w:val="24"/>
        </w:rPr>
        <w:t>T</w:t>
      </w:r>
      <w:r w:rsidR="00465CF6" w:rsidRPr="0022284C">
        <w:rPr>
          <w:color w:val="000000" w:themeColor="text1"/>
          <w:sz w:val="24"/>
          <w:szCs w:val="24"/>
        </w:rPr>
        <w:t xml:space="preserve">he energy-dispersive X-ray spectroscopy (EDS) analysis of </w:t>
      </w:r>
      <w:r w:rsidR="00DA4223" w:rsidRPr="0022284C">
        <w:rPr>
          <w:color w:val="000000" w:themeColor="text1"/>
          <w:sz w:val="24"/>
          <w:szCs w:val="24"/>
        </w:rPr>
        <w:t>NMN@Cu/CeO₂</w:t>
      </w:r>
      <w:r w:rsidR="00465CF6" w:rsidRPr="0022284C">
        <w:rPr>
          <w:color w:val="000000" w:themeColor="text1"/>
          <w:sz w:val="24"/>
          <w:szCs w:val="24"/>
        </w:rPr>
        <w:t xml:space="preserve"> nanoparticles</w:t>
      </w:r>
      <w:r w:rsidRPr="0022284C">
        <w:rPr>
          <w:color w:val="000000" w:themeColor="text1"/>
          <w:kern w:val="0"/>
          <w:sz w:val="24"/>
          <w:szCs w:val="24"/>
        </w:rPr>
        <w:t>.</w:t>
      </w:r>
    </w:p>
    <w:p w14:paraId="4B57F214" w14:textId="39BC5B4F" w:rsidR="00755185" w:rsidRDefault="00C45274" w:rsidP="00031A9F">
      <w:pPr>
        <w:spacing w:afterLines="50" w:after="156" w:line="480" w:lineRule="auto"/>
        <w:ind w:firstLineChars="0" w:firstLine="0"/>
        <w:jc w:val="center"/>
        <w:rPr>
          <w:kern w:val="0"/>
          <w:sz w:val="24"/>
          <w:szCs w:val="24"/>
        </w:rPr>
      </w:pPr>
      <w:r>
        <w:rPr>
          <w:noProof/>
        </w:rPr>
        <w:lastRenderedPageBreak/>
        <w:drawing>
          <wp:inline distT="0" distB="0" distL="0" distR="0" wp14:anchorId="21A80F79" wp14:editId="7F1AE757">
            <wp:extent cx="4276009" cy="1724853"/>
            <wp:effectExtent l="0" t="0" r="0" b="8890"/>
            <wp:docPr id="1461354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99167" cy="1734194"/>
                    </a:xfrm>
                    <a:prstGeom prst="rect">
                      <a:avLst/>
                    </a:prstGeom>
                    <a:noFill/>
                    <a:ln>
                      <a:noFill/>
                    </a:ln>
                  </pic:spPr>
                </pic:pic>
              </a:graphicData>
            </a:graphic>
          </wp:inline>
        </w:drawing>
      </w:r>
    </w:p>
    <w:p w14:paraId="169A98B8" w14:textId="586CDF7B" w:rsidR="00755185" w:rsidRPr="0022284C" w:rsidRDefault="00755185" w:rsidP="00755185">
      <w:pPr>
        <w:spacing w:afterLines="50" w:after="156" w:line="480" w:lineRule="auto"/>
        <w:ind w:firstLineChars="0" w:firstLine="0"/>
        <w:rPr>
          <w:color w:val="000000" w:themeColor="text1"/>
          <w:kern w:val="0"/>
          <w:sz w:val="24"/>
          <w:szCs w:val="24"/>
        </w:rPr>
      </w:pPr>
      <w:r w:rsidRPr="0022284C">
        <w:rPr>
          <w:b/>
          <w:bCs/>
          <w:color w:val="000000" w:themeColor="text1"/>
          <w:sz w:val="24"/>
          <w:szCs w:val="24"/>
        </w:rPr>
        <w:t>Figure S</w:t>
      </w:r>
      <w:r w:rsidRPr="0022284C">
        <w:rPr>
          <w:rFonts w:hint="eastAsia"/>
          <w:b/>
          <w:bCs/>
          <w:color w:val="000000" w:themeColor="text1"/>
          <w:sz w:val="24"/>
          <w:szCs w:val="24"/>
        </w:rPr>
        <w:t>2</w:t>
      </w:r>
      <w:r w:rsidR="007B236D" w:rsidRPr="0022284C">
        <w:rPr>
          <w:rFonts w:hint="eastAsia"/>
          <w:b/>
          <w:bCs/>
          <w:color w:val="000000" w:themeColor="text1"/>
          <w:sz w:val="24"/>
          <w:szCs w:val="24"/>
        </w:rPr>
        <w:t xml:space="preserve"> </w:t>
      </w:r>
      <w:r w:rsidR="00C45274" w:rsidRPr="0022284C">
        <w:rPr>
          <w:color w:val="000000" w:themeColor="text1"/>
          <w:sz w:val="24"/>
          <w:szCs w:val="24"/>
        </w:rPr>
        <w:t>(</w:t>
      </w:r>
      <w:r w:rsidR="00C45274" w:rsidRPr="0022284C">
        <w:rPr>
          <w:rFonts w:hint="eastAsia"/>
          <w:color w:val="000000" w:themeColor="text1"/>
          <w:sz w:val="24"/>
          <w:szCs w:val="24"/>
        </w:rPr>
        <w:t>A</w:t>
      </w:r>
      <w:r w:rsidR="00C45274" w:rsidRPr="0022284C">
        <w:rPr>
          <w:color w:val="000000" w:themeColor="text1"/>
          <w:sz w:val="24"/>
          <w:szCs w:val="24"/>
        </w:rPr>
        <w:t>) Particle size analysis of NMN@ Cu/CeO</w:t>
      </w:r>
      <w:r w:rsidR="00C45274" w:rsidRPr="0022284C">
        <w:rPr>
          <w:color w:val="000000" w:themeColor="text1"/>
          <w:sz w:val="24"/>
          <w:szCs w:val="24"/>
          <w:vertAlign w:val="subscript"/>
        </w:rPr>
        <w:t>2</w:t>
      </w:r>
      <w:r w:rsidR="00C45274" w:rsidRPr="0022284C">
        <w:rPr>
          <w:color w:val="000000" w:themeColor="text1"/>
          <w:sz w:val="24"/>
          <w:szCs w:val="24"/>
        </w:rPr>
        <w:t xml:space="preserve"> at Day 3. (</w:t>
      </w:r>
      <w:r w:rsidR="00C45274" w:rsidRPr="0022284C">
        <w:rPr>
          <w:rFonts w:hint="eastAsia"/>
          <w:color w:val="000000" w:themeColor="text1"/>
          <w:sz w:val="24"/>
          <w:szCs w:val="24"/>
        </w:rPr>
        <w:t>B</w:t>
      </w:r>
      <w:r w:rsidR="00C45274" w:rsidRPr="0022284C">
        <w:rPr>
          <w:color w:val="000000" w:themeColor="text1"/>
          <w:sz w:val="24"/>
          <w:szCs w:val="24"/>
        </w:rPr>
        <w:t>) Particle size analysis of NMN@ Cu/CeO</w:t>
      </w:r>
      <w:r w:rsidR="00C45274" w:rsidRPr="0022284C">
        <w:rPr>
          <w:color w:val="000000" w:themeColor="text1"/>
          <w:sz w:val="24"/>
          <w:szCs w:val="24"/>
          <w:vertAlign w:val="subscript"/>
        </w:rPr>
        <w:t>2</w:t>
      </w:r>
      <w:r w:rsidR="00C45274" w:rsidRPr="0022284C">
        <w:rPr>
          <w:color w:val="000000" w:themeColor="text1"/>
          <w:sz w:val="24"/>
          <w:szCs w:val="24"/>
        </w:rPr>
        <w:t xml:space="preserve"> at Day 7</w:t>
      </w:r>
      <w:r w:rsidR="007B236D" w:rsidRPr="0022284C">
        <w:rPr>
          <w:color w:val="000000" w:themeColor="text1"/>
          <w:sz w:val="24"/>
          <w:szCs w:val="24"/>
        </w:rPr>
        <w:t>.</w:t>
      </w:r>
    </w:p>
    <w:p w14:paraId="6090B71E" w14:textId="2FC59E55" w:rsidR="00976088" w:rsidRPr="0032356F" w:rsidRDefault="00465CF6" w:rsidP="004979FD">
      <w:pPr>
        <w:spacing w:afterLines="50" w:after="156" w:line="480" w:lineRule="auto"/>
        <w:ind w:firstLineChars="0" w:firstLine="0"/>
        <w:jc w:val="center"/>
        <w:rPr>
          <w:kern w:val="0"/>
          <w:sz w:val="24"/>
          <w:szCs w:val="24"/>
        </w:rPr>
      </w:pPr>
      <w:r w:rsidRPr="004D0ADF">
        <w:rPr>
          <w:noProof/>
        </w:rPr>
        <w:drawing>
          <wp:inline distT="0" distB="0" distL="0" distR="0" wp14:anchorId="19E3A622" wp14:editId="4F42F06B">
            <wp:extent cx="2502414" cy="1652280"/>
            <wp:effectExtent l="0" t="0" r="0" b="5080"/>
            <wp:docPr id="6820878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rotWithShape="1">
                    <a:blip r:embed="rId9">
                      <a:extLst>
                        <a:ext uri="{28A0092B-C50C-407E-A947-70E740481C1C}">
                          <a14:useLocalDpi xmlns:a14="http://schemas.microsoft.com/office/drawing/2010/main" val="0"/>
                        </a:ext>
                      </a:extLst>
                    </a:blip>
                    <a:srcRect l="6872" t="9610" r="9288" b="12998"/>
                    <a:stretch/>
                  </pic:blipFill>
                  <pic:spPr bwMode="auto">
                    <a:xfrm>
                      <a:off x="0" y="0"/>
                      <a:ext cx="2511527" cy="1658297"/>
                    </a:xfrm>
                    <a:prstGeom prst="rect">
                      <a:avLst/>
                    </a:prstGeom>
                    <a:noFill/>
                    <a:ln>
                      <a:noFill/>
                    </a:ln>
                    <a:extLst>
                      <a:ext uri="{53640926-AAD7-44D8-BBD7-CCE9431645EC}">
                        <a14:shadowObscured xmlns:a14="http://schemas.microsoft.com/office/drawing/2010/main"/>
                      </a:ext>
                    </a:extLst>
                  </pic:spPr>
                </pic:pic>
              </a:graphicData>
            </a:graphic>
          </wp:inline>
        </w:drawing>
      </w:r>
    </w:p>
    <w:p w14:paraId="75EDB94D" w14:textId="3B5AFAE0" w:rsidR="00976088" w:rsidRPr="00E00A1F" w:rsidRDefault="00976088" w:rsidP="00E00A1F">
      <w:pPr>
        <w:widowControl/>
        <w:spacing w:after="240" w:line="480" w:lineRule="auto"/>
        <w:ind w:firstLineChars="0" w:firstLine="0"/>
        <w:rPr>
          <w:kern w:val="0"/>
          <w:sz w:val="24"/>
          <w:szCs w:val="24"/>
        </w:rPr>
      </w:pPr>
      <w:r w:rsidRPr="0032356F">
        <w:rPr>
          <w:b/>
          <w:kern w:val="0"/>
          <w:sz w:val="24"/>
          <w:szCs w:val="24"/>
          <w:lang w:eastAsia="en-US"/>
        </w:rPr>
        <w:t xml:space="preserve">Figure </w:t>
      </w:r>
      <w:r w:rsidRPr="0032356F">
        <w:rPr>
          <w:b/>
          <w:kern w:val="0"/>
          <w:sz w:val="24"/>
          <w:szCs w:val="24"/>
        </w:rPr>
        <w:t>S</w:t>
      </w:r>
      <w:r w:rsidR="00755185">
        <w:rPr>
          <w:rFonts w:hint="eastAsia"/>
          <w:b/>
          <w:kern w:val="0"/>
          <w:sz w:val="24"/>
          <w:szCs w:val="24"/>
        </w:rPr>
        <w:t>3</w:t>
      </w:r>
      <w:r w:rsidRPr="0032356F">
        <w:rPr>
          <w:b/>
          <w:kern w:val="0"/>
          <w:sz w:val="24"/>
          <w:szCs w:val="24"/>
          <w:lang w:eastAsia="en-US"/>
        </w:rPr>
        <w:t xml:space="preserve">. </w:t>
      </w:r>
      <w:r w:rsidR="00465CF6" w:rsidRPr="00465CF6">
        <w:rPr>
          <w:kern w:val="0"/>
          <w:sz w:val="24"/>
          <w:szCs w:val="24"/>
        </w:rPr>
        <w:t xml:space="preserve">Dispersion stability of </w:t>
      </w:r>
      <w:r w:rsidR="00DA4223" w:rsidRPr="009211FB">
        <w:rPr>
          <w:sz w:val="24"/>
          <w:szCs w:val="24"/>
        </w:rPr>
        <w:t>NMN@Cu/CeO₂</w:t>
      </w:r>
      <w:r w:rsidR="00465CF6" w:rsidRPr="00465CF6">
        <w:rPr>
          <w:kern w:val="0"/>
          <w:sz w:val="24"/>
          <w:szCs w:val="24"/>
        </w:rPr>
        <w:t xml:space="preserve"> in PBS, 0.9% NaCl, FBS, and DMEM.</w:t>
      </w:r>
    </w:p>
    <w:p w14:paraId="67B48ACA" w14:textId="4B0B3D91" w:rsidR="00362942" w:rsidRDefault="00B326BC" w:rsidP="00B326BC">
      <w:pPr>
        <w:spacing w:line="360" w:lineRule="auto"/>
        <w:ind w:firstLineChars="0" w:firstLine="0"/>
        <w:jc w:val="center"/>
        <w:rPr>
          <w:sz w:val="24"/>
          <w:szCs w:val="24"/>
        </w:rPr>
      </w:pPr>
      <w:r>
        <w:rPr>
          <w:noProof/>
        </w:rPr>
        <w:drawing>
          <wp:inline distT="0" distB="0" distL="0" distR="0" wp14:anchorId="41C4F0CF" wp14:editId="4B14FC2B">
            <wp:extent cx="2901636" cy="2021111"/>
            <wp:effectExtent l="0" t="0" r="0" b="0"/>
            <wp:docPr id="14372711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8327" cy="2032737"/>
                    </a:xfrm>
                    <a:prstGeom prst="rect">
                      <a:avLst/>
                    </a:prstGeom>
                    <a:noFill/>
                    <a:ln>
                      <a:noFill/>
                    </a:ln>
                  </pic:spPr>
                </pic:pic>
              </a:graphicData>
            </a:graphic>
          </wp:inline>
        </w:drawing>
      </w:r>
    </w:p>
    <w:p w14:paraId="143D5349" w14:textId="2C5739EB" w:rsidR="00362942" w:rsidRPr="004979FD" w:rsidRDefault="00362942" w:rsidP="001D4E02">
      <w:pPr>
        <w:spacing w:line="360" w:lineRule="auto"/>
        <w:ind w:firstLineChars="0" w:firstLine="0"/>
        <w:rPr>
          <w:color w:val="000000" w:themeColor="text1"/>
          <w:sz w:val="24"/>
          <w:szCs w:val="24"/>
        </w:rPr>
      </w:pPr>
      <w:r w:rsidRPr="004979FD">
        <w:rPr>
          <w:b/>
          <w:bCs/>
          <w:color w:val="000000" w:themeColor="text1"/>
          <w:sz w:val="24"/>
          <w:szCs w:val="24"/>
        </w:rPr>
        <w:t xml:space="preserve">Figure </w:t>
      </w:r>
      <w:r w:rsidRPr="004979FD">
        <w:rPr>
          <w:rFonts w:hint="eastAsia"/>
          <w:b/>
          <w:bCs/>
          <w:color w:val="000000" w:themeColor="text1"/>
          <w:sz w:val="24"/>
          <w:szCs w:val="24"/>
        </w:rPr>
        <w:t>S</w:t>
      </w:r>
      <w:r w:rsidR="00E00A1F">
        <w:rPr>
          <w:rFonts w:hint="eastAsia"/>
          <w:b/>
          <w:bCs/>
          <w:color w:val="000000" w:themeColor="text1"/>
          <w:sz w:val="24"/>
          <w:szCs w:val="24"/>
        </w:rPr>
        <w:t>4</w:t>
      </w:r>
      <w:r w:rsidRPr="004979FD">
        <w:rPr>
          <w:b/>
          <w:bCs/>
          <w:color w:val="000000" w:themeColor="text1"/>
          <w:sz w:val="24"/>
          <w:szCs w:val="24"/>
        </w:rPr>
        <w:t>.</w:t>
      </w:r>
      <w:r w:rsidRPr="004979FD">
        <w:rPr>
          <w:rFonts w:hint="eastAsia"/>
          <w:color w:val="000000" w:themeColor="text1"/>
          <w:sz w:val="24"/>
          <w:szCs w:val="24"/>
        </w:rPr>
        <w:t xml:space="preserve"> </w:t>
      </w:r>
      <w:r w:rsidR="004979FD" w:rsidRPr="004979FD">
        <w:rPr>
          <w:color w:val="000000" w:themeColor="text1"/>
          <w:sz w:val="24"/>
          <w:szCs w:val="24"/>
        </w:rPr>
        <w:t xml:space="preserve">Standard calibration curve of NMN for determining its loading efficiency in PEI-Cu/CeO₂ nanoparticles (denoted as </w:t>
      </w:r>
      <w:r w:rsidR="00DA4223" w:rsidRPr="009211FB">
        <w:rPr>
          <w:sz w:val="24"/>
          <w:szCs w:val="24"/>
        </w:rPr>
        <w:t>NMN@Cu/CeO₂</w:t>
      </w:r>
      <w:r w:rsidR="004979FD" w:rsidRPr="004979FD">
        <w:rPr>
          <w:color w:val="000000" w:themeColor="text1"/>
          <w:sz w:val="24"/>
          <w:szCs w:val="24"/>
        </w:rPr>
        <w:t>)</w:t>
      </w:r>
      <w:r w:rsidR="00D22F0A" w:rsidRPr="004979FD">
        <w:rPr>
          <w:color w:val="000000" w:themeColor="text1"/>
          <w:kern w:val="0"/>
          <w:sz w:val="24"/>
          <w:szCs w:val="24"/>
        </w:rPr>
        <w:t>.</w:t>
      </w:r>
    </w:p>
    <w:p w14:paraId="1EA6243E" w14:textId="77777777" w:rsidR="00F47CB1" w:rsidRDefault="00F47CB1" w:rsidP="00B22481">
      <w:pPr>
        <w:spacing w:line="360" w:lineRule="auto"/>
        <w:ind w:firstLineChars="0" w:firstLine="0"/>
        <w:jc w:val="center"/>
        <w:rPr>
          <w:noProof/>
        </w:rPr>
      </w:pPr>
    </w:p>
    <w:p w14:paraId="63223567" w14:textId="35587C52" w:rsidR="00801095" w:rsidRDefault="00F47CB1" w:rsidP="00B22481">
      <w:pPr>
        <w:spacing w:line="360" w:lineRule="auto"/>
        <w:ind w:firstLineChars="0" w:firstLine="0"/>
        <w:jc w:val="center"/>
        <w:rPr>
          <w:sz w:val="24"/>
          <w:szCs w:val="24"/>
        </w:rPr>
      </w:pPr>
      <w:r>
        <w:rPr>
          <w:noProof/>
        </w:rPr>
        <w:lastRenderedPageBreak/>
        <w:drawing>
          <wp:inline distT="0" distB="0" distL="0" distR="0" wp14:anchorId="1A3B9274" wp14:editId="229101F4">
            <wp:extent cx="2648235" cy="1928429"/>
            <wp:effectExtent l="0" t="0" r="0" b="0"/>
            <wp:docPr id="2386250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158" t="6178" r="7339" b="2570"/>
                    <a:stretch>
                      <a:fillRect/>
                    </a:stretch>
                  </pic:blipFill>
                  <pic:spPr bwMode="auto">
                    <a:xfrm>
                      <a:off x="0" y="0"/>
                      <a:ext cx="2664628" cy="1940367"/>
                    </a:xfrm>
                    <a:prstGeom prst="rect">
                      <a:avLst/>
                    </a:prstGeom>
                    <a:noFill/>
                    <a:ln>
                      <a:noFill/>
                    </a:ln>
                    <a:extLst>
                      <a:ext uri="{53640926-AAD7-44D8-BBD7-CCE9431645EC}">
                        <a14:shadowObscured xmlns:a14="http://schemas.microsoft.com/office/drawing/2010/main"/>
                      </a:ext>
                    </a:extLst>
                  </pic:spPr>
                </pic:pic>
              </a:graphicData>
            </a:graphic>
          </wp:inline>
        </w:drawing>
      </w:r>
    </w:p>
    <w:p w14:paraId="3267A6F5" w14:textId="5D3ED5EF" w:rsidR="00801095" w:rsidRDefault="00801095" w:rsidP="00801095">
      <w:pPr>
        <w:spacing w:line="360" w:lineRule="auto"/>
        <w:ind w:firstLineChars="0" w:firstLine="0"/>
        <w:rPr>
          <w:bCs/>
          <w:color w:val="000000" w:themeColor="text1"/>
          <w:kern w:val="0"/>
          <w:sz w:val="24"/>
          <w:szCs w:val="28"/>
          <w:lang w:eastAsia="en-US"/>
        </w:rPr>
      </w:pPr>
      <w:r w:rsidRPr="001D4E02">
        <w:rPr>
          <w:b/>
          <w:color w:val="000000" w:themeColor="text1"/>
          <w:kern w:val="0"/>
          <w:sz w:val="24"/>
          <w:szCs w:val="28"/>
          <w:lang w:eastAsia="en-US"/>
        </w:rPr>
        <w:t>Figure</w:t>
      </w:r>
      <w:r w:rsidRPr="001D4E02">
        <w:rPr>
          <w:color w:val="000000" w:themeColor="text1"/>
          <w:kern w:val="0"/>
          <w:sz w:val="24"/>
          <w:szCs w:val="28"/>
          <w:lang w:eastAsia="en-US"/>
        </w:rPr>
        <w:t xml:space="preserve"> </w:t>
      </w:r>
      <w:r w:rsidRPr="001D4E02">
        <w:rPr>
          <w:rFonts w:hint="eastAsia"/>
          <w:b/>
          <w:color w:val="000000" w:themeColor="text1"/>
          <w:kern w:val="0"/>
          <w:sz w:val="24"/>
          <w:szCs w:val="28"/>
        </w:rPr>
        <w:t>S</w:t>
      </w:r>
      <w:r w:rsidR="00E00A1F">
        <w:rPr>
          <w:rFonts w:hint="eastAsia"/>
          <w:b/>
          <w:color w:val="000000" w:themeColor="text1"/>
          <w:kern w:val="0"/>
          <w:sz w:val="24"/>
          <w:szCs w:val="28"/>
        </w:rPr>
        <w:t>5</w:t>
      </w:r>
      <w:r w:rsidRPr="001D4E02">
        <w:rPr>
          <w:b/>
          <w:color w:val="000000" w:themeColor="text1"/>
          <w:kern w:val="0"/>
          <w:sz w:val="24"/>
          <w:szCs w:val="28"/>
          <w:lang w:eastAsia="en-US"/>
        </w:rPr>
        <w:t>.</w:t>
      </w:r>
      <w:r w:rsidRPr="001D4E02">
        <w:rPr>
          <w:bCs/>
          <w:color w:val="000000" w:themeColor="text1"/>
          <w:kern w:val="0"/>
          <w:sz w:val="24"/>
          <w:szCs w:val="28"/>
          <w:lang w:eastAsia="en-US"/>
        </w:rPr>
        <w:t xml:space="preserve"> </w:t>
      </w:r>
      <w:r w:rsidR="001D4E02" w:rsidRPr="001D4E02">
        <w:rPr>
          <w:bCs/>
          <w:color w:val="000000" w:themeColor="text1"/>
          <w:kern w:val="0"/>
          <w:sz w:val="24"/>
          <w:szCs w:val="28"/>
          <w:lang w:eastAsia="en-US"/>
        </w:rPr>
        <w:t>UV</w:t>
      </w:r>
      <w:r w:rsidR="001D4E02" w:rsidRPr="001D4E02">
        <w:rPr>
          <w:rFonts w:hint="eastAsia"/>
          <w:bCs/>
          <w:color w:val="000000" w:themeColor="text1"/>
          <w:kern w:val="0"/>
          <w:sz w:val="24"/>
          <w:szCs w:val="28"/>
        </w:rPr>
        <w:t>-</w:t>
      </w:r>
      <w:r w:rsidR="001D4E02" w:rsidRPr="001D4E02">
        <w:rPr>
          <w:bCs/>
          <w:color w:val="000000" w:themeColor="text1"/>
          <w:kern w:val="0"/>
          <w:sz w:val="24"/>
          <w:szCs w:val="28"/>
          <w:lang w:eastAsia="en-US"/>
        </w:rPr>
        <w:t xml:space="preserve">vis absorption spectra of initial NMN solutions (denoted as </w:t>
      </w:r>
      <w:r w:rsidR="00B22481">
        <w:rPr>
          <w:rFonts w:hint="eastAsia"/>
          <w:bCs/>
          <w:color w:val="000000" w:themeColor="text1"/>
          <w:kern w:val="0"/>
          <w:sz w:val="24"/>
          <w:szCs w:val="28"/>
        </w:rPr>
        <w:t>s</w:t>
      </w:r>
      <w:r w:rsidR="00B22481" w:rsidRPr="00B22481">
        <w:rPr>
          <w:bCs/>
          <w:color w:val="000000" w:themeColor="text1"/>
          <w:kern w:val="0"/>
          <w:sz w:val="24"/>
          <w:szCs w:val="28"/>
          <w:lang w:eastAsia="en-US"/>
        </w:rPr>
        <w:t>olid line</w:t>
      </w:r>
      <w:r w:rsidR="00B22481">
        <w:rPr>
          <w:rFonts w:hint="eastAsia"/>
          <w:bCs/>
          <w:color w:val="000000" w:themeColor="text1"/>
          <w:kern w:val="0"/>
          <w:sz w:val="24"/>
          <w:szCs w:val="28"/>
        </w:rPr>
        <w:t>s</w:t>
      </w:r>
      <w:r w:rsidR="001D4E02" w:rsidRPr="001D4E02">
        <w:rPr>
          <w:bCs/>
          <w:color w:val="000000" w:themeColor="text1"/>
          <w:kern w:val="0"/>
          <w:sz w:val="24"/>
          <w:szCs w:val="28"/>
          <w:lang w:eastAsia="en-US"/>
        </w:rPr>
        <w:t xml:space="preserve">) and the corresponding supernatants (denoted as </w:t>
      </w:r>
      <w:r w:rsidR="00B22481" w:rsidRPr="00B22481">
        <w:rPr>
          <w:bCs/>
          <w:color w:val="000000" w:themeColor="text1"/>
          <w:kern w:val="0"/>
          <w:sz w:val="24"/>
          <w:szCs w:val="28"/>
          <w:lang w:eastAsia="en-US"/>
        </w:rPr>
        <w:t>dotted lines</w:t>
      </w:r>
      <w:r w:rsidR="001D4E02" w:rsidRPr="001D4E02">
        <w:rPr>
          <w:bCs/>
          <w:color w:val="000000" w:themeColor="text1"/>
          <w:kern w:val="0"/>
          <w:sz w:val="24"/>
          <w:szCs w:val="28"/>
          <w:lang w:eastAsia="en-US"/>
        </w:rPr>
        <w:t>) after incubation and centrifugation with PEI-Cu/CeO₂ at varying concentrations</w:t>
      </w:r>
      <w:r w:rsidRPr="001D4E02">
        <w:rPr>
          <w:rFonts w:hint="eastAsia"/>
          <w:bCs/>
          <w:color w:val="000000" w:themeColor="text1"/>
          <w:kern w:val="0"/>
          <w:sz w:val="24"/>
          <w:szCs w:val="28"/>
          <w:lang w:eastAsia="en-US"/>
        </w:rPr>
        <w:t>.</w:t>
      </w:r>
    </w:p>
    <w:p w14:paraId="3B6828C3" w14:textId="37B4774B" w:rsidR="00E00A1F" w:rsidRDefault="00E00A1F" w:rsidP="00FC34FE">
      <w:pPr>
        <w:spacing w:line="360" w:lineRule="auto"/>
        <w:ind w:firstLineChars="0" w:firstLine="0"/>
        <w:jc w:val="center"/>
        <w:rPr>
          <w:bCs/>
          <w:color w:val="000000" w:themeColor="text1"/>
          <w:kern w:val="0"/>
          <w:sz w:val="24"/>
          <w:szCs w:val="28"/>
        </w:rPr>
      </w:pPr>
      <w:r w:rsidRPr="004D0ADF">
        <w:rPr>
          <w:noProof/>
        </w:rPr>
        <w:drawing>
          <wp:inline distT="0" distB="0" distL="0" distR="0" wp14:anchorId="215151F0" wp14:editId="1ECC2BEA">
            <wp:extent cx="2612788" cy="1802262"/>
            <wp:effectExtent l="0" t="0" r="0" b="7620"/>
            <wp:docPr id="2307526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367" t="5476" r="8084" b="4265"/>
                    <a:stretch/>
                  </pic:blipFill>
                  <pic:spPr bwMode="auto">
                    <a:xfrm>
                      <a:off x="0" y="0"/>
                      <a:ext cx="2617483" cy="1805500"/>
                    </a:xfrm>
                    <a:prstGeom prst="rect">
                      <a:avLst/>
                    </a:prstGeom>
                    <a:noFill/>
                    <a:ln>
                      <a:noFill/>
                    </a:ln>
                    <a:extLst>
                      <a:ext uri="{53640926-AAD7-44D8-BBD7-CCE9431645EC}">
                        <a14:shadowObscured xmlns:a14="http://schemas.microsoft.com/office/drawing/2010/main"/>
                      </a:ext>
                    </a:extLst>
                  </pic:spPr>
                </pic:pic>
              </a:graphicData>
            </a:graphic>
          </wp:inline>
        </w:drawing>
      </w:r>
    </w:p>
    <w:p w14:paraId="257604BB" w14:textId="6D0E0FB9" w:rsidR="00024163" w:rsidRDefault="00E00A1F" w:rsidP="00240FCD">
      <w:pPr>
        <w:spacing w:afterLines="50" w:after="156" w:line="480" w:lineRule="auto"/>
        <w:ind w:firstLineChars="0" w:firstLine="0"/>
        <w:jc w:val="left"/>
        <w:rPr>
          <w:sz w:val="24"/>
          <w:szCs w:val="24"/>
        </w:rPr>
      </w:pPr>
      <w:r w:rsidRPr="0032356F">
        <w:rPr>
          <w:b/>
          <w:bCs/>
          <w:sz w:val="24"/>
          <w:szCs w:val="24"/>
        </w:rPr>
        <w:t>Figure S</w:t>
      </w:r>
      <w:r>
        <w:rPr>
          <w:rFonts w:hint="eastAsia"/>
          <w:b/>
          <w:bCs/>
          <w:sz w:val="24"/>
          <w:szCs w:val="24"/>
        </w:rPr>
        <w:t>6</w:t>
      </w:r>
      <w:r w:rsidRPr="0032356F">
        <w:rPr>
          <w:b/>
          <w:bCs/>
          <w:sz w:val="24"/>
          <w:szCs w:val="24"/>
        </w:rPr>
        <w:t>.</w:t>
      </w:r>
      <w:r w:rsidRPr="0032356F">
        <w:rPr>
          <w:sz w:val="24"/>
          <w:szCs w:val="24"/>
        </w:rPr>
        <w:t xml:space="preserve"> </w:t>
      </w:r>
      <w:r w:rsidRPr="00465CF6">
        <w:rPr>
          <w:sz w:val="24"/>
          <w:szCs w:val="24"/>
        </w:rPr>
        <w:t xml:space="preserve">The cytotoxicity of the composite nanomaterial </w:t>
      </w:r>
      <w:r w:rsidR="00DA4223" w:rsidRPr="009211FB">
        <w:rPr>
          <w:sz w:val="24"/>
          <w:szCs w:val="24"/>
        </w:rPr>
        <w:t>NMN@Cu/CeO₂</w:t>
      </w:r>
      <w:r w:rsidRPr="00465CF6">
        <w:rPr>
          <w:sz w:val="24"/>
          <w:szCs w:val="24"/>
        </w:rPr>
        <w:t xml:space="preserve"> toward HUVECs</w:t>
      </w:r>
      <w:r w:rsidRPr="0032356F">
        <w:rPr>
          <w:sz w:val="24"/>
          <w:szCs w:val="24"/>
        </w:rPr>
        <w:t>.</w:t>
      </w:r>
    </w:p>
    <w:p w14:paraId="047904CC" w14:textId="24C12769" w:rsidR="007D57D7" w:rsidRDefault="007D57D7" w:rsidP="007D57D7">
      <w:pPr>
        <w:spacing w:afterLines="50" w:after="156" w:line="480" w:lineRule="auto"/>
        <w:ind w:firstLineChars="0" w:firstLine="0"/>
        <w:jc w:val="center"/>
        <w:rPr>
          <w:sz w:val="24"/>
          <w:szCs w:val="24"/>
        </w:rPr>
      </w:pPr>
      <w:r>
        <w:rPr>
          <w:noProof/>
        </w:rPr>
        <w:lastRenderedPageBreak/>
        <w:drawing>
          <wp:inline distT="0" distB="0" distL="0" distR="0" wp14:anchorId="31253F35" wp14:editId="0CE86890">
            <wp:extent cx="4698853" cy="3406923"/>
            <wp:effectExtent l="0" t="0" r="6985" b="3175"/>
            <wp:docPr id="153157133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32935" cy="3431634"/>
                    </a:xfrm>
                    <a:prstGeom prst="rect">
                      <a:avLst/>
                    </a:prstGeom>
                    <a:noFill/>
                    <a:ln>
                      <a:noFill/>
                    </a:ln>
                  </pic:spPr>
                </pic:pic>
              </a:graphicData>
            </a:graphic>
          </wp:inline>
        </w:drawing>
      </w:r>
    </w:p>
    <w:p w14:paraId="15FCF8E0" w14:textId="5E983279" w:rsidR="007D57D7" w:rsidRPr="0022284C" w:rsidRDefault="007D57D7" w:rsidP="007D57D7">
      <w:pPr>
        <w:spacing w:afterLines="50" w:after="156" w:line="480" w:lineRule="auto"/>
        <w:ind w:firstLineChars="0" w:firstLine="0"/>
        <w:rPr>
          <w:color w:val="000000" w:themeColor="text1"/>
          <w:sz w:val="24"/>
          <w:szCs w:val="24"/>
        </w:rPr>
      </w:pPr>
      <w:r w:rsidRPr="0022284C">
        <w:rPr>
          <w:b/>
          <w:bCs/>
          <w:color w:val="000000" w:themeColor="text1"/>
          <w:sz w:val="24"/>
          <w:szCs w:val="24"/>
        </w:rPr>
        <w:t>Figure S</w:t>
      </w:r>
      <w:r w:rsidRPr="0022284C">
        <w:rPr>
          <w:rFonts w:hint="eastAsia"/>
          <w:b/>
          <w:bCs/>
          <w:color w:val="000000" w:themeColor="text1"/>
          <w:sz w:val="24"/>
          <w:szCs w:val="24"/>
        </w:rPr>
        <w:t>7</w:t>
      </w:r>
      <w:r w:rsidRPr="0022284C">
        <w:rPr>
          <w:b/>
          <w:bCs/>
          <w:color w:val="000000" w:themeColor="text1"/>
          <w:sz w:val="24"/>
          <w:szCs w:val="24"/>
        </w:rPr>
        <w:t>.</w:t>
      </w:r>
      <w:r w:rsidRPr="0022284C">
        <w:rPr>
          <w:rFonts w:hint="eastAsia"/>
          <w:b/>
          <w:bCs/>
          <w:color w:val="000000" w:themeColor="text1"/>
          <w:sz w:val="24"/>
          <w:szCs w:val="24"/>
        </w:rPr>
        <w:t xml:space="preserve"> </w:t>
      </w:r>
      <w:r w:rsidRPr="0022284C">
        <w:rPr>
          <w:rFonts w:hint="eastAsia"/>
          <w:color w:val="000000" w:themeColor="text1"/>
          <w:sz w:val="24"/>
          <w:szCs w:val="24"/>
        </w:rPr>
        <w:t>(A)</w:t>
      </w:r>
      <w:r w:rsidRPr="0022284C">
        <w:rPr>
          <w:color w:val="000000" w:themeColor="text1"/>
          <w:sz w:val="24"/>
          <w:szCs w:val="24"/>
        </w:rPr>
        <w:t xml:space="preserve"> </w:t>
      </w:r>
      <w:r w:rsidRPr="0022284C">
        <w:rPr>
          <w:rFonts w:hint="eastAsia"/>
          <w:color w:val="000000" w:themeColor="text1"/>
          <w:sz w:val="24"/>
          <w:szCs w:val="24"/>
        </w:rPr>
        <w:t>Analysis of the Michaelis-Menten kinetics of SOD enzyme. (B)</w:t>
      </w:r>
      <w:r w:rsidRPr="0022284C">
        <w:rPr>
          <w:color w:val="000000" w:themeColor="text1"/>
          <w:sz w:val="24"/>
          <w:szCs w:val="24"/>
        </w:rPr>
        <w:t xml:space="preserve"> Lineweaver-Burk plotting to investigate the </w:t>
      </w:r>
      <w:r w:rsidRPr="0022284C">
        <w:rPr>
          <w:rFonts w:hint="eastAsia"/>
          <w:color w:val="000000" w:themeColor="text1"/>
          <w:sz w:val="24"/>
          <w:szCs w:val="24"/>
        </w:rPr>
        <w:t>SOD</w:t>
      </w:r>
      <w:r w:rsidRPr="0022284C">
        <w:rPr>
          <w:color w:val="000000" w:themeColor="text1"/>
          <w:sz w:val="24"/>
          <w:szCs w:val="24"/>
        </w:rPr>
        <w:t>-mimic activity of</w:t>
      </w:r>
      <w:r w:rsidRPr="0022284C">
        <w:rPr>
          <w:rFonts w:hint="eastAsia"/>
          <w:color w:val="000000" w:themeColor="text1"/>
          <w:sz w:val="24"/>
          <w:szCs w:val="24"/>
        </w:rPr>
        <w:t xml:space="preserve"> </w:t>
      </w:r>
      <w:r w:rsidRPr="0022284C">
        <w:rPr>
          <w:color w:val="000000" w:themeColor="text1"/>
          <w:sz w:val="24"/>
          <w:szCs w:val="24"/>
        </w:rPr>
        <w:t xml:space="preserve">NMN@Cu/CeO₂ on the condition of using </w:t>
      </w:r>
      <w:r w:rsidRPr="0022284C">
        <w:rPr>
          <w:rFonts w:hint="eastAsia"/>
          <w:color w:val="000000" w:themeColor="text1"/>
          <w:sz w:val="24"/>
          <w:szCs w:val="24"/>
        </w:rPr>
        <w:t>Riboflavin</w:t>
      </w:r>
      <w:r w:rsidRPr="0022284C">
        <w:rPr>
          <w:color w:val="000000" w:themeColor="text1"/>
          <w:sz w:val="24"/>
          <w:szCs w:val="24"/>
        </w:rPr>
        <w:t> as the substrate.</w:t>
      </w:r>
      <w:r w:rsidRPr="0022284C">
        <w:rPr>
          <w:rFonts w:hint="eastAsia"/>
          <w:color w:val="000000" w:themeColor="text1"/>
          <w:sz w:val="24"/>
          <w:szCs w:val="24"/>
        </w:rPr>
        <w:t xml:space="preserve"> (C) Analysis of the Michaelis-Menten kinetics of CAT enzyme.  (D) </w:t>
      </w:r>
      <w:r w:rsidRPr="0022284C">
        <w:rPr>
          <w:color w:val="000000" w:themeColor="text1"/>
          <w:sz w:val="24"/>
          <w:szCs w:val="24"/>
        </w:rPr>
        <w:t xml:space="preserve"> Lineweaver-Burk plotting to investigate the </w:t>
      </w:r>
      <w:r w:rsidRPr="0022284C">
        <w:rPr>
          <w:rFonts w:hint="eastAsia"/>
          <w:color w:val="000000" w:themeColor="text1"/>
          <w:sz w:val="24"/>
          <w:szCs w:val="24"/>
        </w:rPr>
        <w:t>CAT</w:t>
      </w:r>
      <w:r w:rsidRPr="0022284C">
        <w:rPr>
          <w:color w:val="000000" w:themeColor="text1"/>
          <w:sz w:val="24"/>
          <w:szCs w:val="24"/>
        </w:rPr>
        <w:t xml:space="preserve">-mimic activity of NMN@Cu/CeO₂ on the condition of using </w:t>
      </w:r>
      <w:r w:rsidRPr="0022284C">
        <w:rPr>
          <w:rFonts w:hint="eastAsia"/>
          <w:color w:val="000000" w:themeColor="text1"/>
          <w:sz w:val="24"/>
          <w:szCs w:val="24"/>
        </w:rPr>
        <w:t>H</w:t>
      </w:r>
      <w:r w:rsidRPr="0022284C">
        <w:rPr>
          <w:rFonts w:hint="eastAsia"/>
          <w:color w:val="000000" w:themeColor="text1"/>
          <w:sz w:val="24"/>
          <w:szCs w:val="24"/>
          <w:vertAlign w:val="subscript"/>
        </w:rPr>
        <w:t>2</w:t>
      </w:r>
      <w:r w:rsidRPr="0022284C">
        <w:rPr>
          <w:rFonts w:hint="eastAsia"/>
          <w:color w:val="000000" w:themeColor="text1"/>
          <w:sz w:val="24"/>
          <w:szCs w:val="24"/>
        </w:rPr>
        <w:t>O</w:t>
      </w:r>
      <w:r w:rsidRPr="0022284C">
        <w:rPr>
          <w:rFonts w:hint="eastAsia"/>
          <w:color w:val="000000" w:themeColor="text1"/>
          <w:sz w:val="24"/>
          <w:szCs w:val="24"/>
          <w:vertAlign w:val="subscript"/>
        </w:rPr>
        <w:t>2</w:t>
      </w:r>
      <w:r w:rsidRPr="0022284C">
        <w:rPr>
          <w:rFonts w:hint="eastAsia"/>
          <w:color w:val="000000" w:themeColor="text1"/>
          <w:sz w:val="24"/>
          <w:szCs w:val="24"/>
        </w:rPr>
        <w:t xml:space="preserve"> </w:t>
      </w:r>
      <w:r w:rsidRPr="0022284C">
        <w:rPr>
          <w:color w:val="000000" w:themeColor="text1"/>
          <w:sz w:val="24"/>
          <w:szCs w:val="24"/>
        </w:rPr>
        <w:t>as the substrate.</w:t>
      </w:r>
    </w:p>
    <w:p w14:paraId="4CA8DD0E" w14:textId="6E4BFA9F" w:rsidR="00801095" w:rsidRDefault="00137607" w:rsidP="004C021B">
      <w:pPr>
        <w:spacing w:line="360" w:lineRule="auto"/>
        <w:ind w:firstLineChars="0" w:firstLine="0"/>
        <w:jc w:val="center"/>
        <w:rPr>
          <w:sz w:val="24"/>
          <w:szCs w:val="24"/>
        </w:rPr>
      </w:pPr>
      <w:r>
        <w:rPr>
          <w:noProof/>
        </w:rPr>
        <w:drawing>
          <wp:inline distT="0" distB="0" distL="0" distR="0" wp14:anchorId="28227C1D" wp14:editId="3D691754">
            <wp:extent cx="3906570" cy="895333"/>
            <wp:effectExtent l="0" t="0" r="0" b="635"/>
            <wp:docPr id="183014485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63241" cy="931240"/>
                    </a:xfrm>
                    <a:prstGeom prst="rect">
                      <a:avLst/>
                    </a:prstGeom>
                    <a:noFill/>
                    <a:ln>
                      <a:noFill/>
                    </a:ln>
                  </pic:spPr>
                </pic:pic>
              </a:graphicData>
            </a:graphic>
          </wp:inline>
        </w:drawing>
      </w:r>
    </w:p>
    <w:p w14:paraId="52F77CF0" w14:textId="257267C7" w:rsidR="00E02F56" w:rsidRDefault="00801095" w:rsidP="00386241">
      <w:pPr>
        <w:spacing w:line="360" w:lineRule="auto"/>
        <w:ind w:firstLineChars="0" w:firstLine="0"/>
        <w:rPr>
          <w:bCs/>
          <w:kern w:val="0"/>
          <w:sz w:val="24"/>
          <w:szCs w:val="28"/>
        </w:rPr>
      </w:pPr>
      <w:r w:rsidRPr="00735B09">
        <w:rPr>
          <w:b/>
          <w:kern w:val="0"/>
          <w:sz w:val="24"/>
          <w:szCs w:val="28"/>
          <w:lang w:eastAsia="en-US"/>
        </w:rPr>
        <w:t>Figure</w:t>
      </w:r>
      <w:r w:rsidRPr="00735B09">
        <w:rPr>
          <w:kern w:val="0"/>
          <w:sz w:val="24"/>
          <w:szCs w:val="28"/>
          <w:lang w:eastAsia="en-US"/>
        </w:rPr>
        <w:t xml:space="preserve"> </w:t>
      </w:r>
      <w:r w:rsidRPr="00735B09">
        <w:rPr>
          <w:rFonts w:hint="eastAsia"/>
          <w:b/>
          <w:kern w:val="0"/>
          <w:sz w:val="24"/>
          <w:szCs w:val="28"/>
        </w:rPr>
        <w:t>S</w:t>
      </w:r>
      <w:r w:rsidR="00F21F1B">
        <w:rPr>
          <w:rFonts w:hint="eastAsia"/>
          <w:b/>
          <w:kern w:val="0"/>
          <w:sz w:val="24"/>
          <w:szCs w:val="28"/>
        </w:rPr>
        <w:t>8</w:t>
      </w:r>
      <w:r w:rsidRPr="00735B09">
        <w:rPr>
          <w:b/>
          <w:kern w:val="0"/>
          <w:sz w:val="24"/>
          <w:szCs w:val="28"/>
          <w:lang w:eastAsia="en-US"/>
        </w:rPr>
        <w:t>.</w:t>
      </w:r>
      <w:r w:rsidRPr="00735B09">
        <w:rPr>
          <w:bCs/>
          <w:kern w:val="0"/>
          <w:sz w:val="24"/>
          <w:szCs w:val="28"/>
          <w:lang w:eastAsia="en-US"/>
        </w:rPr>
        <w:t xml:space="preserve"> </w:t>
      </w:r>
      <w:r w:rsidR="00735B09" w:rsidRPr="00735B09">
        <w:rPr>
          <w:bCs/>
          <w:kern w:val="0"/>
          <w:sz w:val="24"/>
          <w:szCs w:val="28"/>
          <w:lang w:eastAsia="en-US"/>
        </w:rPr>
        <w:t xml:space="preserve">Color changes of </w:t>
      </w:r>
      <w:r w:rsidR="00DA4223" w:rsidRPr="009211FB">
        <w:rPr>
          <w:sz w:val="24"/>
          <w:szCs w:val="24"/>
        </w:rPr>
        <w:t>NMN@Cu/CeO₂</w:t>
      </w:r>
      <w:r w:rsidR="00735B09" w:rsidRPr="00735B09">
        <w:rPr>
          <w:bCs/>
          <w:kern w:val="0"/>
          <w:sz w:val="24"/>
          <w:szCs w:val="28"/>
          <w:lang w:eastAsia="en-US"/>
        </w:rPr>
        <w:t xml:space="preserve"> solution after H₂O₂ treatment and over several weeks of storage</w:t>
      </w:r>
      <w:r w:rsidRPr="00735B09">
        <w:rPr>
          <w:rFonts w:hint="eastAsia"/>
          <w:bCs/>
          <w:kern w:val="0"/>
          <w:sz w:val="24"/>
          <w:szCs w:val="28"/>
          <w:lang w:eastAsia="en-US"/>
        </w:rPr>
        <w:t>.</w:t>
      </w:r>
    </w:p>
    <w:p w14:paraId="6B6B86F6" w14:textId="31B4FD87" w:rsidR="00533B01" w:rsidRDefault="00533B01" w:rsidP="00841C34">
      <w:pPr>
        <w:spacing w:line="360" w:lineRule="auto"/>
        <w:ind w:firstLineChars="0" w:firstLine="0"/>
        <w:jc w:val="center"/>
        <w:rPr>
          <w:bCs/>
          <w:kern w:val="0"/>
          <w:sz w:val="24"/>
          <w:szCs w:val="28"/>
        </w:rPr>
      </w:pPr>
      <w:r>
        <w:rPr>
          <w:noProof/>
        </w:rPr>
        <w:lastRenderedPageBreak/>
        <w:drawing>
          <wp:inline distT="0" distB="0" distL="0" distR="0" wp14:anchorId="09BFA541" wp14:editId="773D31CA">
            <wp:extent cx="4180813" cy="1840746"/>
            <wp:effectExtent l="0" t="0" r="0" b="7620"/>
            <wp:docPr id="12376990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05186" cy="1851477"/>
                    </a:xfrm>
                    <a:prstGeom prst="rect">
                      <a:avLst/>
                    </a:prstGeom>
                    <a:noFill/>
                    <a:ln>
                      <a:noFill/>
                    </a:ln>
                  </pic:spPr>
                </pic:pic>
              </a:graphicData>
            </a:graphic>
          </wp:inline>
        </w:drawing>
      </w:r>
    </w:p>
    <w:p w14:paraId="382796A1" w14:textId="0A346C3B" w:rsidR="00E02F56" w:rsidRDefault="00533B01" w:rsidP="00E02F56">
      <w:pPr>
        <w:spacing w:line="360" w:lineRule="auto"/>
        <w:ind w:firstLineChars="0" w:firstLine="0"/>
        <w:rPr>
          <w:bCs/>
          <w:kern w:val="0"/>
          <w:sz w:val="24"/>
          <w:szCs w:val="24"/>
        </w:rPr>
      </w:pPr>
      <w:r w:rsidRPr="0032356F">
        <w:rPr>
          <w:b/>
          <w:kern w:val="0"/>
          <w:sz w:val="24"/>
          <w:szCs w:val="24"/>
        </w:rPr>
        <w:t>Figure S</w:t>
      </w:r>
      <w:bookmarkStart w:id="7" w:name="_Hlk200355634"/>
      <w:r w:rsidR="005F16CA">
        <w:rPr>
          <w:rFonts w:hint="eastAsia"/>
          <w:b/>
          <w:kern w:val="0"/>
          <w:sz w:val="24"/>
          <w:szCs w:val="24"/>
        </w:rPr>
        <w:t>9</w:t>
      </w:r>
      <w:r>
        <w:rPr>
          <w:rFonts w:hint="eastAsia"/>
          <w:b/>
          <w:kern w:val="0"/>
          <w:sz w:val="24"/>
          <w:szCs w:val="24"/>
        </w:rPr>
        <w:t xml:space="preserve"> </w:t>
      </w:r>
      <w:bookmarkStart w:id="8" w:name="_Hlk207056183"/>
      <w:r w:rsidR="00383634" w:rsidRPr="00386241">
        <w:rPr>
          <w:bCs/>
          <w:kern w:val="0"/>
          <w:sz w:val="24"/>
          <w:szCs w:val="24"/>
          <w:vertAlign w:val="superscript"/>
        </w:rPr>
        <w:t>1</w:t>
      </w:r>
      <w:r w:rsidR="00383634" w:rsidRPr="00383634">
        <w:rPr>
          <w:bCs/>
          <w:kern w:val="0"/>
          <w:sz w:val="24"/>
          <w:szCs w:val="24"/>
        </w:rPr>
        <w:t>H NMR</w:t>
      </w:r>
      <w:bookmarkEnd w:id="7"/>
      <w:bookmarkEnd w:id="8"/>
      <w:r w:rsidR="00383634" w:rsidRPr="00383634">
        <w:rPr>
          <w:bCs/>
          <w:kern w:val="0"/>
          <w:sz w:val="24"/>
          <w:szCs w:val="24"/>
        </w:rPr>
        <w:t xml:space="preserve"> spectra of EPL-PBA (A) and GelMA (B)</w:t>
      </w:r>
      <w:r w:rsidR="00383634">
        <w:rPr>
          <w:rFonts w:hint="eastAsia"/>
          <w:bCs/>
          <w:kern w:val="0"/>
          <w:sz w:val="24"/>
          <w:szCs w:val="24"/>
        </w:rPr>
        <w:t>.</w:t>
      </w:r>
    </w:p>
    <w:p w14:paraId="00078E3E" w14:textId="46A22E33" w:rsidR="00386241" w:rsidRDefault="00970F8A" w:rsidP="00970F8A">
      <w:pPr>
        <w:spacing w:line="360" w:lineRule="auto"/>
        <w:ind w:firstLineChars="0" w:firstLine="0"/>
        <w:jc w:val="center"/>
        <w:rPr>
          <w:bCs/>
          <w:kern w:val="0"/>
          <w:sz w:val="24"/>
          <w:szCs w:val="24"/>
        </w:rPr>
      </w:pPr>
      <w:r>
        <w:rPr>
          <w:noProof/>
        </w:rPr>
        <w:drawing>
          <wp:inline distT="0" distB="0" distL="0" distR="0" wp14:anchorId="34AAF32D" wp14:editId="4023E2ED">
            <wp:extent cx="3698341" cy="1254643"/>
            <wp:effectExtent l="0" t="0" r="0" b="3175"/>
            <wp:docPr id="191931519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1741" cy="1269366"/>
                    </a:xfrm>
                    <a:prstGeom prst="rect">
                      <a:avLst/>
                    </a:prstGeom>
                    <a:noFill/>
                    <a:ln>
                      <a:noFill/>
                    </a:ln>
                  </pic:spPr>
                </pic:pic>
              </a:graphicData>
            </a:graphic>
          </wp:inline>
        </w:drawing>
      </w:r>
    </w:p>
    <w:p w14:paraId="360BD44C" w14:textId="102A8440" w:rsidR="00386241" w:rsidRPr="00383634" w:rsidRDefault="00386241" w:rsidP="00E02F56">
      <w:pPr>
        <w:spacing w:line="360" w:lineRule="auto"/>
        <w:ind w:firstLineChars="0" w:firstLine="0"/>
        <w:rPr>
          <w:bCs/>
          <w:kern w:val="0"/>
          <w:sz w:val="24"/>
          <w:szCs w:val="24"/>
        </w:rPr>
      </w:pPr>
      <w:r w:rsidRPr="0032356F">
        <w:rPr>
          <w:b/>
          <w:kern w:val="0"/>
          <w:sz w:val="24"/>
          <w:szCs w:val="24"/>
        </w:rPr>
        <w:t>Figure S</w:t>
      </w:r>
      <w:r w:rsidR="005F16CA">
        <w:rPr>
          <w:rFonts w:hint="eastAsia"/>
          <w:b/>
          <w:kern w:val="0"/>
          <w:sz w:val="24"/>
          <w:szCs w:val="24"/>
        </w:rPr>
        <w:t>10</w:t>
      </w:r>
      <w:r>
        <w:rPr>
          <w:rFonts w:hint="eastAsia"/>
          <w:b/>
          <w:kern w:val="0"/>
          <w:sz w:val="24"/>
          <w:szCs w:val="24"/>
        </w:rPr>
        <w:t xml:space="preserve"> </w:t>
      </w:r>
      <w:r w:rsidRPr="00F53BD8">
        <w:rPr>
          <w:bCs/>
          <w:kern w:val="0"/>
          <w:sz w:val="24"/>
          <w:szCs w:val="24"/>
          <w:lang w:eastAsia="en-US"/>
        </w:rPr>
        <w:t>Fluorescence images of MNs loaded with RhB (</w:t>
      </w:r>
      <w:r>
        <w:rPr>
          <w:rFonts w:hint="eastAsia"/>
          <w:bCs/>
          <w:kern w:val="0"/>
          <w:sz w:val="24"/>
          <w:szCs w:val="24"/>
        </w:rPr>
        <w:t>L</w:t>
      </w:r>
      <w:r w:rsidR="00732822">
        <w:rPr>
          <w:bCs/>
          <w:kern w:val="0"/>
          <w:sz w:val="24"/>
          <w:szCs w:val="24"/>
        </w:rPr>
        <w:t>e</w:t>
      </w:r>
      <w:r>
        <w:rPr>
          <w:rFonts w:hint="eastAsia"/>
          <w:bCs/>
          <w:kern w:val="0"/>
          <w:sz w:val="24"/>
          <w:szCs w:val="24"/>
        </w:rPr>
        <w:t>ft</w:t>
      </w:r>
      <w:r w:rsidRPr="00F53BD8">
        <w:rPr>
          <w:bCs/>
          <w:kern w:val="0"/>
          <w:sz w:val="24"/>
          <w:szCs w:val="24"/>
          <w:lang w:eastAsia="en-US"/>
        </w:rPr>
        <w:t>) and FITC (</w:t>
      </w:r>
      <w:r>
        <w:rPr>
          <w:rFonts w:hint="eastAsia"/>
          <w:bCs/>
          <w:kern w:val="0"/>
          <w:sz w:val="24"/>
          <w:szCs w:val="24"/>
        </w:rPr>
        <w:t>Right</w:t>
      </w:r>
      <w:r w:rsidRPr="00F53BD8">
        <w:rPr>
          <w:bCs/>
          <w:kern w:val="0"/>
          <w:sz w:val="24"/>
          <w:szCs w:val="24"/>
          <w:lang w:eastAsia="en-US"/>
        </w:rPr>
        <w:t>)</w:t>
      </w:r>
      <w:r>
        <w:rPr>
          <w:rFonts w:hint="eastAsia"/>
          <w:bCs/>
          <w:kern w:val="0"/>
          <w:sz w:val="24"/>
          <w:szCs w:val="24"/>
        </w:rPr>
        <w:t>.</w:t>
      </w:r>
    </w:p>
    <w:p w14:paraId="2CA19E94" w14:textId="26EA9766" w:rsidR="00976088" w:rsidRPr="00383634" w:rsidRDefault="00EE03AB" w:rsidP="009B7BDB">
      <w:pPr>
        <w:spacing w:line="480" w:lineRule="auto"/>
        <w:ind w:firstLineChars="0" w:firstLine="0"/>
        <w:jc w:val="center"/>
        <w:rPr>
          <w:bCs/>
          <w:kern w:val="0"/>
          <w:sz w:val="24"/>
          <w:szCs w:val="24"/>
        </w:rPr>
      </w:pPr>
      <w:r>
        <w:rPr>
          <w:noProof/>
        </w:rPr>
        <w:drawing>
          <wp:inline distT="0" distB="0" distL="0" distR="0" wp14:anchorId="6D6186D5" wp14:editId="7A37D5E0">
            <wp:extent cx="2794503" cy="1994315"/>
            <wp:effectExtent l="0" t="0" r="6350" b="6350"/>
            <wp:docPr id="6125704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13090" cy="2007580"/>
                    </a:xfrm>
                    <a:prstGeom prst="rect">
                      <a:avLst/>
                    </a:prstGeom>
                    <a:noFill/>
                    <a:ln>
                      <a:noFill/>
                    </a:ln>
                  </pic:spPr>
                </pic:pic>
              </a:graphicData>
            </a:graphic>
          </wp:inline>
        </w:drawing>
      </w:r>
    </w:p>
    <w:p w14:paraId="65144BC7" w14:textId="443A243A" w:rsidR="00976088" w:rsidRPr="00CE0846" w:rsidRDefault="00976088" w:rsidP="00CE0846">
      <w:pPr>
        <w:spacing w:afterLines="50" w:after="156" w:line="480" w:lineRule="auto"/>
        <w:ind w:firstLineChars="0" w:firstLine="0"/>
        <w:jc w:val="left"/>
        <w:rPr>
          <w:b/>
          <w:kern w:val="0"/>
          <w:sz w:val="24"/>
          <w:szCs w:val="24"/>
        </w:rPr>
      </w:pPr>
      <w:bookmarkStart w:id="9" w:name="OLE_LINK1"/>
      <w:r w:rsidRPr="0032356F">
        <w:rPr>
          <w:b/>
          <w:kern w:val="0"/>
          <w:sz w:val="24"/>
          <w:szCs w:val="24"/>
        </w:rPr>
        <w:t>Figure S</w:t>
      </w:r>
      <w:bookmarkEnd w:id="9"/>
      <w:r w:rsidR="00E02F56">
        <w:rPr>
          <w:rFonts w:hint="eastAsia"/>
          <w:b/>
          <w:kern w:val="0"/>
          <w:sz w:val="24"/>
          <w:szCs w:val="24"/>
        </w:rPr>
        <w:t>1</w:t>
      </w:r>
      <w:r w:rsidR="005F16CA">
        <w:rPr>
          <w:rFonts w:hint="eastAsia"/>
          <w:b/>
          <w:kern w:val="0"/>
          <w:sz w:val="24"/>
          <w:szCs w:val="24"/>
        </w:rPr>
        <w:t>1</w:t>
      </w:r>
      <w:r w:rsidRPr="0032356F">
        <w:rPr>
          <w:b/>
          <w:kern w:val="0"/>
          <w:sz w:val="24"/>
          <w:szCs w:val="24"/>
        </w:rPr>
        <w:t>.</w:t>
      </w:r>
      <w:r w:rsidRPr="0032356F">
        <w:rPr>
          <w:bCs/>
          <w:kern w:val="0"/>
          <w:sz w:val="24"/>
          <w:szCs w:val="24"/>
        </w:rPr>
        <w:t xml:space="preserve"> </w:t>
      </w:r>
      <w:r w:rsidR="00CE0846" w:rsidRPr="00CE0846">
        <w:rPr>
          <w:bCs/>
          <w:kern w:val="0"/>
          <w:sz w:val="24"/>
          <w:szCs w:val="24"/>
        </w:rPr>
        <w:t xml:space="preserve">Swelling behavior of MN and </w:t>
      </w:r>
      <w:r w:rsidR="00DA4223" w:rsidRPr="009211FB">
        <w:rPr>
          <w:sz w:val="24"/>
          <w:szCs w:val="24"/>
        </w:rPr>
        <w:t>NMN@Cu/CeO₂</w:t>
      </w:r>
      <w:r w:rsidR="00DA4223">
        <w:rPr>
          <w:rFonts w:hint="eastAsia"/>
          <w:sz w:val="24"/>
          <w:szCs w:val="24"/>
        </w:rPr>
        <w:t>-MN</w:t>
      </w:r>
      <w:r w:rsidRPr="0032356F">
        <w:rPr>
          <w:bCs/>
          <w:kern w:val="0"/>
          <w:sz w:val="24"/>
          <w:szCs w:val="24"/>
        </w:rPr>
        <w:t>.</w:t>
      </w:r>
    </w:p>
    <w:p w14:paraId="56ABF35F" w14:textId="72334EBD" w:rsidR="00976088" w:rsidRPr="0032356F" w:rsidRDefault="00D54AE9" w:rsidP="0095101F">
      <w:pPr>
        <w:spacing w:line="480" w:lineRule="auto"/>
        <w:ind w:firstLineChars="0" w:firstLine="0"/>
        <w:jc w:val="center"/>
        <w:rPr>
          <w:sz w:val="24"/>
          <w:szCs w:val="24"/>
        </w:rPr>
      </w:pPr>
      <w:r>
        <w:rPr>
          <w:noProof/>
        </w:rPr>
        <w:drawing>
          <wp:inline distT="0" distB="0" distL="0" distR="0" wp14:anchorId="6DCE4257" wp14:editId="37CF7E48">
            <wp:extent cx="3334871" cy="1937897"/>
            <wp:effectExtent l="0" t="0" r="0" b="5715"/>
            <wp:docPr id="64986334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77822" cy="1962856"/>
                    </a:xfrm>
                    <a:prstGeom prst="rect">
                      <a:avLst/>
                    </a:prstGeom>
                    <a:noFill/>
                    <a:ln>
                      <a:noFill/>
                    </a:ln>
                  </pic:spPr>
                </pic:pic>
              </a:graphicData>
            </a:graphic>
          </wp:inline>
        </w:drawing>
      </w:r>
    </w:p>
    <w:p w14:paraId="1DA47ACD" w14:textId="63B8B050" w:rsidR="00976088" w:rsidRDefault="00976088" w:rsidP="00976088">
      <w:pPr>
        <w:spacing w:afterLines="50" w:after="156" w:line="480" w:lineRule="auto"/>
        <w:ind w:firstLineChars="0" w:firstLine="0"/>
        <w:jc w:val="left"/>
        <w:rPr>
          <w:sz w:val="24"/>
          <w:szCs w:val="24"/>
        </w:rPr>
      </w:pPr>
      <w:r w:rsidRPr="0032356F">
        <w:rPr>
          <w:b/>
          <w:bCs/>
          <w:sz w:val="24"/>
          <w:szCs w:val="24"/>
        </w:rPr>
        <w:lastRenderedPageBreak/>
        <w:t>Figure S</w:t>
      </w:r>
      <w:r w:rsidR="00E02F56">
        <w:rPr>
          <w:rFonts w:hint="eastAsia"/>
          <w:b/>
          <w:bCs/>
          <w:sz w:val="24"/>
          <w:szCs w:val="24"/>
        </w:rPr>
        <w:t>1</w:t>
      </w:r>
      <w:r w:rsidR="005F16CA">
        <w:rPr>
          <w:rFonts w:hint="eastAsia"/>
          <w:b/>
          <w:bCs/>
          <w:sz w:val="24"/>
          <w:szCs w:val="24"/>
        </w:rPr>
        <w:t>2</w:t>
      </w:r>
      <w:r w:rsidRPr="0032356F">
        <w:rPr>
          <w:b/>
          <w:bCs/>
          <w:sz w:val="24"/>
          <w:szCs w:val="24"/>
        </w:rPr>
        <w:t>.</w:t>
      </w:r>
      <w:r w:rsidRPr="0032356F">
        <w:rPr>
          <w:sz w:val="24"/>
          <w:szCs w:val="24"/>
        </w:rPr>
        <w:t xml:space="preserve"> </w:t>
      </w:r>
      <w:r w:rsidR="00CE0846" w:rsidRPr="00CE0846">
        <w:rPr>
          <w:sz w:val="24"/>
          <w:szCs w:val="24"/>
        </w:rPr>
        <w:t>Bright-field images of MN patches after moisture absorption at different time points</w:t>
      </w:r>
      <w:r w:rsidRPr="0032356F">
        <w:rPr>
          <w:sz w:val="24"/>
          <w:szCs w:val="24"/>
        </w:rPr>
        <w:t>.</w:t>
      </w:r>
    </w:p>
    <w:p w14:paraId="469CFA9A" w14:textId="51434025" w:rsidR="00351635" w:rsidRDefault="00C727E5" w:rsidP="0095101F">
      <w:pPr>
        <w:spacing w:afterLines="50" w:after="156" w:line="480" w:lineRule="auto"/>
        <w:ind w:firstLineChars="0" w:firstLine="0"/>
        <w:jc w:val="center"/>
        <w:rPr>
          <w:sz w:val="24"/>
          <w:szCs w:val="24"/>
        </w:rPr>
      </w:pPr>
      <w:r>
        <w:rPr>
          <w:noProof/>
        </w:rPr>
        <w:drawing>
          <wp:inline distT="0" distB="0" distL="0" distR="0" wp14:anchorId="17155F62" wp14:editId="4C1B9D28">
            <wp:extent cx="3773838" cy="1251585"/>
            <wp:effectExtent l="0" t="0" r="0" b="5715"/>
            <wp:docPr id="20545844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8554"/>
                    <a:stretch>
                      <a:fillRect/>
                    </a:stretch>
                  </pic:blipFill>
                  <pic:spPr bwMode="auto">
                    <a:xfrm>
                      <a:off x="0" y="0"/>
                      <a:ext cx="3773838" cy="1251585"/>
                    </a:xfrm>
                    <a:prstGeom prst="rect">
                      <a:avLst/>
                    </a:prstGeom>
                    <a:noFill/>
                    <a:ln>
                      <a:noFill/>
                    </a:ln>
                    <a:extLst>
                      <a:ext uri="{53640926-AAD7-44D8-BBD7-CCE9431645EC}">
                        <a14:shadowObscured xmlns:a14="http://schemas.microsoft.com/office/drawing/2010/main"/>
                      </a:ext>
                    </a:extLst>
                  </pic:spPr>
                </pic:pic>
              </a:graphicData>
            </a:graphic>
          </wp:inline>
        </w:drawing>
      </w:r>
    </w:p>
    <w:p w14:paraId="3844CAE9" w14:textId="3BF0A4DF" w:rsidR="00351635" w:rsidRPr="009F7A16" w:rsidRDefault="00351635" w:rsidP="00351635">
      <w:pPr>
        <w:widowControl/>
        <w:spacing w:after="240" w:line="480" w:lineRule="auto"/>
        <w:ind w:firstLineChars="0" w:firstLine="0"/>
        <w:rPr>
          <w:kern w:val="0"/>
          <w:sz w:val="24"/>
          <w:szCs w:val="24"/>
        </w:rPr>
      </w:pPr>
      <w:r w:rsidRPr="0032356F">
        <w:rPr>
          <w:b/>
          <w:kern w:val="0"/>
          <w:sz w:val="24"/>
          <w:szCs w:val="24"/>
          <w:lang w:eastAsia="en-US"/>
        </w:rPr>
        <w:t xml:space="preserve">Figure </w:t>
      </w:r>
      <w:r w:rsidRPr="0032356F">
        <w:rPr>
          <w:rFonts w:hint="eastAsia"/>
          <w:b/>
          <w:kern w:val="0"/>
          <w:sz w:val="24"/>
          <w:szCs w:val="24"/>
        </w:rPr>
        <w:t>S</w:t>
      </w:r>
      <w:r>
        <w:rPr>
          <w:rFonts w:hint="eastAsia"/>
          <w:b/>
          <w:kern w:val="0"/>
          <w:sz w:val="24"/>
          <w:szCs w:val="24"/>
        </w:rPr>
        <w:t>1</w:t>
      </w:r>
      <w:r w:rsidR="005F16CA">
        <w:rPr>
          <w:rFonts w:hint="eastAsia"/>
          <w:b/>
          <w:kern w:val="0"/>
          <w:sz w:val="24"/>
          <w:szCs w:val="24"/>
        </w:rPr>
        <w:t>3</w:t>
      </w:r>
      <w:r w:rsidRPr="0032356F">
        <w:rPr>
          <w:b/>
          <w:kern w:val="0"/>
          <w:sz w:val="24"/>
          <w:szCs w:val="24"/>
        </w:rPr>
        <w:t>.</w:t>
      </w:r>
      <w:r w:rsidRPr="0032356F">
        <w:rPr>
          <w:b/>
          <w:kern w:val="0"/>
          <w:sz w:val="24"/>
          <w:szCs w:val="24"/>
          <w:lang w:eastAsia="en-US"/>
        </w:rPr>
        <w:t xml:space="preserve"> </w:t>
      </w:r>
      <w:r w:rsidRPr="00F53BD8">
        <w:rPr>
          <w:bCs/>
          <w:kern w:val="0"/>
          <w:sz w:val="24"/>
          <w:szCs w:val="24"/>
          <w:lang w:eastAsia="en-US"/>
        </w:rPr>
        <w:t xml:space="preserve">H&amp;E staining images of MNs applied to </w:t>
      </w:r>
      <w:r w:rsidR="00732822">
        <w:rPr>
          <w:bCs/>
          <w:kern w:val="0"/>
          <w:sz w:val="24"/>
          <w:szCs w:val="24"/>
          <w:lang w:eastAsia="en-US"/>
        </w:rPr>
        <w:t xml:space="preserve">the </w:t>
      </w:r>
      <w:r w:rsidRPr="00F53BD8">
        <w:rPr>
          <w:bCs/>
          <w:kern w:val="0"/>
          <w:sz w:val="24"/>
          <w:szCs w:val="24"/>
          <w:lang w:eastAsia="en-US"/>
        </w:rPr>
        <w:t>mouse dorsal skin.</w:t>
      </w:r>
      <w:r w:rsidR="009F7A16" w:rsidRPr="009F7A16">
        <w:t xml:space="preserve"> </w:t>
      </w:r>
      <w:r w:rsidR="009F7A16" w:rsidRPr="009F7A16">
        <w:rPr>
          <w:bCs/>
          <w:kern w:val="0"/>
          <w:sz w:val="24"/>
          <w:szCs w:val="24"/>
          <w:lang w:eastAsia="en-US"/>
        </w:rPr>
        <w:t>The scale bars in</w:t>
      </w:r>
      <w:r w:rsidR="007D764F">
        <w:rPr>
          <w:rFonts w:hint="eastAsia"/>
          <w:bCs/>
          <w:kern w:val="0"/>
          <w:sz w:val="24"/>
          <w:szCs w:val="24"/>
        </w:rPr>
        <w:t xml:space="preserve"> </w:t>
      </w:r>
      <w:r w:rsidR="009F7A16" w:rsidRPr="009F7A16">
        <w:rPr>
          <w:bCs/>
          <w:kern w:val="0"/>
          <w:sz w:val="24"/>
          <w:szCs w:val="24"/>
          <w:lang w:eastAsia="en-US"/>
        </w:rPr>
        <w:t>500 μm</w:t>
      </w:r>
      <w:r w:rsidR="009F7A16">
        <w:rPr>
          <w:rFonts w:hint="eastAsia"/>
          <w:bCs/>
          <w:kern w:val="0"/>
          <w:sz w:val="24"/>
          <w:szCs w:val="24"/>
        </w:rPr>
        <w:t xml:space="preserve"> </w:t>
      </w:r>
      <w:r w:rsidR="009F7A16" w:rsidRPr="009F7A16">
        <w:rPr>
          <w:bCs/>
          <w:kern w:val="0"/>
          <w:sz w:val="24"/>
          <w:szCs w:val="24"/>
          <w:lang w:eastAsia="en-US"/>
        </w:rPr>
        <w:t xml:space="preserve">and </w:t>
      </w:r>
      <w:r w:rsidR="009F7A16">
        <w:rPr>
          <w:rFonts w:hint="eastAsia"/>
          <w:bCs/>
          <w:kern w:val="0"/>
          <w:sz w:val="24"/>
          <w:szCs w:val="24"/>
        </w:rPr>
        <w:t>2</w:t>
      </w:r>
      <w:r w:rsidR="009F7A16" w:rsidRPr="009F7A16">
        <w:rPr>
          <w:bCs/>
          <w:kern w:val="0"/>
          <w:sz w:val="24"/>
          <w:szCs w:val="24"/>
          <w:lang w:eastAsia="en-US"/>
        </w:rPr>
        <w:t>00 μm.</w:t>
      </w:r>
    </w:p>
    <w:p w14:paraId="5E78C19A" w14:textId="3F1B61AC" w:rsidR="00660FF5" w:rsidRDefault="00970F8A" w:rsidP="00970F8A">
      <w:pPr>
        <w:spacing w:afterLines="50" w:after="156" w:line="480" w:lineRule="auto"/>
        <w:ind w:firstLineChars="0" w:firstLine="0"/>
        <w:jc w:val="center"/>
        <w:rPr>
          <w:sz w:val="24"/>
          <w:szCs w:val="24"/>
        </w:rPr>
      </w:pPr>
      <w:r>
        <w:rPr>
          <w:noProof/>
        </w:rPr>
        <w:drawing>
          <wp:inline distT="0" distB="0" distL="0" distR="0" wp14:anchorId="702CC038" wp14:editId="27C3C5EC">
            <wp:extent cx="2831217" cy="2009402"/>
            <wp:effectExtent l="0" t="0" r="7620" b="0"/>
            <wp:docPr id="2504768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49306" cy="2022241"/>
                    </a:xfrm>
                    <a:prstGeom prst="rect">
                      <a:avLst/>
                    </a:prstGeom>
                    <a:noFill/>
                    <a:ln>
                      <a:noFill/>
                    </a:ln>
                  </pic:spPr>
                </pic:pic>
              </a:graphicData>
            </a:graphic>
          </wp:inline>
        </w:drawing>
      </w:r>
    </w:p>
    <w:p w14:paraId="32FEB1B9" w14:textId="120AF5F1" w:rsidR="00722AE4" w:rsidRDefault="00660FF5" w:rsidP="00C753E0">
      <w:pPr>
        <w:spacing w:afterLines="50" w:after="156" w:line="480" w:lineRule="auto"/>
        <w:ind w:firstLineChars="0" w:firstLine="0"/>
        <w:jc w:val="left"/>
        <w:rPr>
          <w:bCs/>
          <w:kern w:val="0"/>
          <w:sz w:val="24"/>
          <w:szCs w:val="24"/>
          <w:lang w:eastAsia="en-US"/>
        </w:rPr>
      </w:pPr>
      <w:r w:rsidRPr="0032356F">
        <w:rPr>
          <w:b/>
          <w:bCs/>
          <w:sz w:val="24"/>
          <w:szCs w:val="24"/>
        </w:rPr>
        <w:t>Figure S</w:t>
      </w:r>
      <w:r>
        <w:rPr>
          <w:rFonts w:hint="eastAsia"/>
          <w:b/>
          <w:bCs/>
          <w:sz w:val="24"/>
          <w:szCs w:val="24"/>
        </w:rPr>
        <w:t>1</w:t>
      </w:r>
      <w:r w:rsidR="005F16CA">
        <w:rPr>
          <w:rFonts w:hint="eastAsia"/>
          <w:b/>
          <w:bCs/>
          <w:sz w:val="24"/>
          <w:szCs w:val="24"/>
        </w:rPr>
        <w:t>4</w:t>
      </w:r>
      <w:r w:rsidRPr="0032356F">
        <w:rPr>
          <w:b/>
          <w:bCs/>
          <w:sz w:val="24"/>
          <w:szCs w:val="24"/>
        </w:rPr>
        <w:t>.</w:t>
      </w:r>
      <w:r w:rsidRPr="0032356F">
        <w:rPr>
          <w:sz w:val="24"/>
          <w:szCs w:val="24"/>
        </w:rPr>
        <w:t xml:space="preserve"> </w:t>
      </w:r>
      <w:bookmarkStart w:id="10" w:name="OLE_LINK3"/>
      <w:r w:rsidR="00C753E0">
        <w:rPr>
          <w:rFonts w:hint="eastAsia"/>
          <w:bCs/>
          <w:kern w:val="0"/>
          <w:sz w:val="24"/>
          <w:szCs w:val="24"/>
        </w:rPr>
        <w:t>c</w:t>
      </w:r>
      <w:r w:rsidR="00C753E0" w:rsidRPr="00F53BD8">
        <w:rPr>
          <w:bCs/>
          <w:kern w:val="0"/>
          <w:sz w:val="24"/>
          <w:szCs w:val="24"/>
          <w:lang w:eastAsia="en-US"/>
        </w:rPr>
        <w:t>umulative release percentage of Rhodamine B from MNs over 144 hours</w:t>
      </w:r>
      <w:r w:rsidR="00C753E0">
        <w:rPr>
          <w:rFonts w:hint="eastAsia"/>
          <w:bCs/>
          <w:kern w:val="0"/>
          <w:sz w:val="24"/>
          <w:szCs w:val="24"/>
        </w:rPr>
        <w:t xml:space="preserve"> </w:t>
      </w:r>
      <w:r w:rsidR="00C753E0" w:rsidRPr="00F53BD8">
        <w:rPr>
          <w:bCs/>
          <w:kern w:val="0"/>
          <w:sz w:val="24"/>
          <w:szCs w:val="24"/>
          <w:lang w:eastAsia="en-US"/>
        </w:rPr>
        <w:t>.</w:t>
      </w:r>
      <w:bookmarkEnd w:id="10"/>
    </w:p>
    <w:p w14:paraId="6F8165A7" w14:textId="6D1AD6C1" w:rsidR="004E014E" w:rsidRDefault="003D26A5" w:rsidP="00970F8A">
      <w:pPr>
        <w:spacing w:afterLines="50" w:after="156" w:line="480" w:lineRule="auto"/>
        <w:ind w:firstLineChars="0" w:firstLine="0"/>
        <w:jc w:val="center"/>
        <w:rPr>
          <w:sz w:val="24"/>
          <w:szCs w:val="24"/>
        </w:rPr>
      </w:pPr>
      <w:r>
        <w:rPr>
          <w:noProof/>
        </w:rPr>
        <w:drawing>
          <wp:inline distT="0" distB="0" distL="0" distR="0" wp14:anchorId="404E2173" wp14:editId="3AF73B27">
            <wp:extent cx="5274310" cy="868680"/>
            <wp:effectExtent l="0" t="0" r="2540" b="7620"/>
            <wp:docPr id="20465626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4310" cy="868680"/>
                    </a:xfrm>
                    <a:prstGeom prst="rect">
                      <a:avLst/>
                    </a:prstGeom>
                    <a:noFill/>
                    <a:ln>
                      <a:noFill/>
                    </a:ln>
                  </pic:spPr>
                </pic:pic>
              </a:graphicData>
            </a:graphic>
          </wp:inline>
        </w:drawing>
      </w:r>
    </w:p>
    <w:p w14:paraId="278FBD4D" w14:textId="6DB3690F" w:rsidR="00481ED4" w:rsidRDefault="004E014E" w:rsidP="00481ED4">
      <w:pPr>
        <w:widowControl/>
        <w:spacing w:after="240" w:line="480" w:lineRule="auto"/>
        <w:ind w:firstLineChars="0" w:firstLine="0"/>
        <w:rPr>
          <w:bCs/>
          <w:kern w:val="0"/>
          <w:sz w:val="24"/>
          <w:szCs w:val="24"/>
        </w:rPr>
      </w:pPr>
      <w:r w:rsidRPr="0032356F">
        <w:rPr>
          <w:b/>
          <w:bCs/>
          <w:sz w:val="24"/>
          <w:szCs w:val="24"/>
        </w:rPr>
        <w:t>Figure S</w:t>
      </w:r>
      <w:r>
        <w:rPr>
          <w:rFonts w:hint="eastAsia"/>
          <w:b/>
          <w:bCs/>
          <w:sz w:val="24"/>
          <w:szCs w:val="24"/>
        </w:rPr>
        <w:t>1</w:t>
      </w:r>
      <w:r w:rsidR="005F16CA">
        <w:rPr>
          <w:rFonts w:hint="eastAsia"/>
          <w:b/>
          <w:bCs/>
          <w:sz w:val="24"/>
          <w:szCs w:val="24"/>
        </w:rPr>
        <w:t>5</w:t>
      </w:r>
      <w:r w:rsidR="00E80582">
        <w:rPr>
          <w:rFonts w:hint="eastAsia"/>
          <w:b/>
          <w:bCs/>
          <w:sz w:val="24"/>
          <w:szCs w:val="24"/>
        </w:rPr>
        <w:t xml:space="preserve"> </w:t>
      </w:r>
      <w:r w:rsidR="00E80582" w:rsidRPr="00184695">
        <w:rPr>
          <w:bCs/>
          <w:kern w:val="0"/>
          <w:sz w:val="24"/>
          <w:szCs w:val="24"/>
        </w:rPr>
        <w:t xml:space="preserve">Co-culture of MNs with </w:t>
      </w:r>
      <w:r w:rsidR="00E80582">
        <w:rPr>
          <w:rFonts w:hint="eastAsia"/>
          <w:bCs/>
          <w:kern w:val="0"/>
          <w:sz w:val="24"/>
          <w:szCs w:val="24"/>
        </w:rPr>
        <w:t>NFB</w:t>
      </w:r>
      <w:r w:rsidR="00E80582" w:rsidRPr="00184695">
        <w:rPr>
          <w:bCs/>
          <w:kern w:val="0"/>
          <w:sz w:val="24"/>
          <w:szCs w:val="24"/>
        </w:rPr>
        <w:t xml:space="preserve">s for 24 hours was followed by live/dead </w:t>
      </w:r>
      <w:r w:rsidR="00481ED4" w:rsidRPr="00184695">
        <w:rPr>
          <w:bCs/>
          <w:kern w:val="0"/>
          <w:sz w:val="24"/>
          <w:szCs w:val="24"/>
        </w:rPr>
        <w:t>cell staining</w:t>
      </w:r>
      <w:r w:rsidR="00481ED4">
        <w:rPr>
          <w:rFonts w:hint="eastAsia"/>
          <w:bCs/>
          <w:kern w:val="0"/>
          <w:sz w:val="24"/>
          <w:szCs w:val="24"/>
        </w:rPr>
        <w:t>.</w:t>
      </w:r>
      <w:r w:rsidR="00481ED4" w:rsidRPr="00834575">
        <w:t xml:space="preserve"> </w:t>
      </w:r>
      <w:r w:rsidR="00481ED4" w:rsidRPr="00834575">
        <w:rPr>
          <w:bCs/>
          <w:kern w:val="0"/>
          <w:sz w:val="24"/>
          <w:szCs w:val="24"/>
        </w:rPr>
        <w:t>The scale bars in 500 μm</w:t>
      </w:r>
      <w:r w:rsidR="00481ED4">
        <w:rPr>
          <w:rFonts w:hint="eastAsia"/>
          <w:bCs/>
          <w:kern w:val="0"/>
          <w:sz w:val="24"/>
          <w:szCs w:val="24"/>
        </w:rPr>
        <w:t>.</w:t>
      </w:r>
    </w:p>
    <w:p w14:paraId="44CFAB07" w14:textId="6FF0FBF3" w:rsidR="00881787" w:rsidRDefault="00881787" w:rsidP="00881787">
      <w:pPr>
        <w:widowControl/>
        <w:spacing w:after="240" w:line="480" w:lineRule="auto"/>
        <w:ind w:firstLineChars="0" w:firstLine="0"/>
        <w:jc w:val="center"/>
        <w:rPr>
          <w:bCs/>
          <w:kern w:val="0"/>
          <w:sz w:val="24"/>
          <w:szCs w:val="24"/>
        </w:rPr>
      </w:pPr>
      <w:r>
        <w:rPr>
          <w:noProof/>
        </w:rPr>
        <w:lastRenderedPageBreak/>
        <w:drawing>
          <wp:inline distT="0" distB="0" distL="0" distR="0" wp14:anchorId="674E1F22" wp14:editId="2CC428E7">
            <wp:extent cx="4739833" cy="2301909"/>
            <wp:effectExtent l="0" t="0" r="3810" b="3175"/>
            <wp:docPr id="61071238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40481" cy="2302224"/>
                    </a:xfrm>
                    <a:prstGeom prst="rect">
                      <a:avLst/>
                    </a:prstGeom>
                    <a:noFill/>
                    <a:ln>
                      <a:noFill/>
                    </a:ln>
                  </pic:spPr>
                </pic:pic>
              </a:graphicData>
            </a:graphic>
          </wp:inline>
        </w:drawing>
      </w:r>
    </w:p>
    <w:p w14:paraId="555C106A" w14:textId="56B6B163" w:rsidR="00290431" w:rsidRPr="0022284C" w:rsidRDefault="00290431" w:rsidP="00CD4DD9">
      <w:pPr>
        <w:spacing w:line="360" w:lineRule="auto"/>
        <w:ind w:firstLineChars="0" w:firstLine="0"/>
        <w:rPr>
          <w:bCs/>
          <w:color w:val="000000" w:themeColor="text1"/>
          <w:kern w:val="0"/>
          <w:sz w:val="24"/>
          <w:szCs w:val="24"/>
        </w:rPr>
      </w:pPr>
      <w:r w:rsidRPr="0022284C">
        <w:rPr>
          <w:b/>
          <w:bCs/>
          <w:color w:val="000000" w:themeColor="text1"/>
          <w:sz w:val="24"/>
          <w:szCs w:val="24"/>
        </w:rPr>
        <w:t>Figure S</w:t>
      </w:r>
      <w:r w:rsidRPr="0022284C">
        <w:rPr>
          <w:rFonts w:hint="eastAsia"/>
          <w:b/>
          <w:bCs/>
          <w:color w:val="000000" w:themeColor="text1"/>
          <w:sz w:val="24"/>
          <w:szCs w:val="24"/>
        </w:rPr>
        <w:t>16</w:t>
      </w:r>
      <w:r w:rsidR="00881787" w:rsidRPr="0022284C">
        <w:rPr>
          <w:rFonts w:hint="eastAsia"/>
          <w:b/>
          <w:bCs/>
          <w:color w:val="000000" w:themeColor="text1"/>
          <w:sz w:val="24"/>
          <w:szCs w:val="24"/>
        </w:rPr>
        <w:t xml:space="preserve"> </w:t>
      </w:r>
      <w:r w:rsidR="00881787" w:rsidRPr="0022284C">
        <w:rPr>
          <w:rFonts w:hint="eastAsia"/>
          <w:bCs/>
          <w:color w:val="000000" w:themeColor="text1"/>
          <w:kern w:val="0"/>
          <w:sz w:val="24"/>
          <w:szCs w:val="24"/>
        </w:rPr>
        <w:t>(A) Quantitative analysis of intracellular NAD</w:t>
      </w:r>
      <w:r w:rsidR="00881787" w:rsidRPr="0022284C">
        <w:rPr>
          <w:rFonts w:hint="eastAsia"/>
          <w:bCs/>
          <w:color w:val="000000" w:themeColor="text1"/>
          <w:kern w:val="0"/>
          <w:sz w:val="24"/>
          <w:szCs w:val="24"/>
          <w:vertAlign w:val="superscript"/>
        </w:rPr>
        <w:t>+</w:t>
      </w:r>
      <w:r w:rsidR="00881787" w:rsidRPr="0022284C">
        <w:rPr>
          <w:rFonts w:hint="eastAsia"/>
          <w:bCs/>
          <w:color w:val="000000" w:themeColor="text1"/>
          <w:kern w:val="0"/>
          <w:sz w:val="24"/>
          <w:szCs w:val="24"/>
        </w:rPr>
        <w:t xml:space="preserve"> levels in cells after co-culture with MNs and HUVECs. (B) Quantitative analysis of intracellular NAD</w:t>
      </w:r>
      <w:r w:rsidR="00881787" w:rsidRPr="0022284C">
        <w:rPr>
          <w:rFonts w:hint="eastAsia"/>
          <w:bCs/>
          <w:color w:val="000000" w:themeColor="text1"/>
          <w:kern w:val="0"/>
          <w:sz w:val="24"/>
          <w:szCs w:val="24"/>
          <w:vertAlign w:val="superscript"/>
        </w:rPr>
        <w:t>+</w:t>
      </w:r>
      <w:r w:rsidR="00881787" w:rsidRPr="0022284C">
        <w:rPr>
          <w:rFonts w:hint="eastAsia"/>
          <w:bCs/>
          <w:color w:val="000000" w:themeColor="text1"/>
          <w:kern w:val="0"/>
          <w:sz w:val="24"/>
          <w:szCs w:val="24"/>
        </w:rPr>
        <w:t xml:space="preserve"> levels in cells after co-culture with MNs and NFBs. *P &lt; 0.05, **P &lt; 0.01, ***P &lt; 0.001, ****P &lt; 0.0001.</w:t>
      </w:r>
    </w:p>
    <w:p w14:paraId="4C87487C" w14:textId="7659C1A5" w:rsidR="00D0556B" w:rsidRDefault="00802F39" w:rsidP="00481ED4">
      <w:pPr>
        <w:widowControl/>
        <w:spacing w:after="240" w:line="480" w:lineRule="auto"/>
        <w:ind w:firstLineChars="0" w:firstLine="0"/>
        <w:rPr>
          <w:bCs/>
          <w:kern w:val="0"/>
          <w:sz w:val="24"/>
          <w:szCs w:val="24"/>
        </w:rPr>
      </w:pPr>
      <w:r>
        <w:rPr>
          <w:noProof/>
        </w:rPr>
        <w:drawing>
          <wp:inline distT="0" distB="0" distL="0" distR="0" wp14:anchorId="5E7C8748" wp14:editId="11FD0EF1">
            <wp:extent cx="5274310" cy="1195705"/>
            <wp:effectExtent l="0" t="0" r="2540" b="4445"/>
            <wp:docPr id="17507814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4310" cy="1195705"/>
                    </a:xfrm>
                    <a:prstGeom prst="rect">
                      <a:avLst/>
                    </a:prstGeom>
                    <a:noFill/>
                    <a:ln>
                      <a:noFill/>
                    </a:ln>
                  </pic:spPr>
                </pic:pic>
              </a:graphicData>
            </a:graphic>
          </wp:inline>
        </w:drawing>
      </w:r>
    </w:p>
    <w:p w14:paraId="1D2E0377" w14:textId="4B6007D7" w:rsidR="00802F39" w:rsidRDefault="00802F39" w:rsidP="00481ED4">
      <w:pPr>
        <w:widowControl/>
        <w:spacing w:after="240" w:line="480" w:lineRule="auto"/>
        <w:ind w:firstLineChars="0" w:firstLine="0"/>
        <w:rPr>
          <w:bCs/>
          <w:kern w:val="0"/>
          <w:sz w:val="24"/>
          <w:szCs w:val="24"/>
        </w:rPr>
      </w:pPr>
      <w:r w:rsidRPr="0032356F">
        <w:rPr>
          <w:b/>
          <w:bCs/>
          <w:sz w:val="24"/>
          <w:szCs w:val="24"/>
        </w:rPr>
        <w:t>Figure S</w:t>
      </w:r>
      <w:r>
        <w:rPr>
          <w:rFonts w:hint="eastAsia"/>
          <w:b/>
          <w:bCs/>
          <w:sz w:val="24"/>
          <w:szCs w:val="24"/>
        </w:rPr>
        <w:t>1</w:t>
      </w:r>
      <w:r w:rsidR="00290431">
        <w:rPr>
          <w:rFonts w:hint="eastAsia"/>
          <w:b/>
          <w:bCs/>
          <w:sz w:val="24"/>
          <w:szCs w:val="24"/>
        </w:rPr>
        <w:t>7</w:t>
      </w:r>
      <w:r>
        <w:rPr>
          <w:rFonts w:hint="eastAsia"/>
          <w:b/>
          <w:bCs/>
          <w:sz w:val="24"/>
          <w:szCs w:val="24"/>
        </w:rPr>
        <w:t xml:space="preserve"> </w:t>
      </w:r>
      <w:r w:rsidR="009355AF" w:rsidRPr="009355AF">
        <w:rPr>
          <w:rFonts w:hint="eastAsia"/>
          <w:sz w:val="24"/>
          <w:szCs w:val="24"/>
        </w:rPr>
        <w:t xml:space="preserve">(A) </w:t>
      </w:r>
      <w:r w:rsidR="009355AF" w:rsidRPr="001410AB">
        <w:rPr>
          <w:bCs/>
          <w:kern w:val="0"/>
          <w:sz w:val="24"/>
          <w:szCs w:val="24"/>
        </w:rPr>
        <w:t xml:space="preserve">Migration images of </w:t>
      </w:r>
      <w:r w:rsidR="009355AF">
        <w:rPr>
          <w:rFonts w:hint="eastAsia"/>
          <w:bCs/>
          <w:kern w:val="0"/>
          <w:sz w:val="24"/>
          <w:szCs w:val="24"/>
        </w:rPr>
        <w:t>HUVEC</w:t>
      </w:r>
      <w:r w:rsidR="009355AF" w:rsidRPr="001410AB">
        <w:rPr>
          <w:bCs/>
          <w:kern w:val="0"/>
          <w:sz w:val="24"/>
          <w:szCs w:val="24"/>
        </w:rPr>
        <w:t>s after 24 hours of co-culture with MNs.</w:t>
      </w:r>
      <w:r w:rsidR="009355AF" w:rsidRPr="009355AF">
        <w:rPr>
          <w:rFonts w:hint="eastAsia"/>
          <w:b/>
          <w:bCs/>
          <w:sz w:val="24"/>
          <w:szCs w:val="24"/>
        </w:rPr>
        <w:t xml:space="preserve"> </w:t>
      </w:r>
      <w:r w:rsidR="009355AF" w:rsidRPr="009355AF">
        <w:rPr>
          <w:rFonts w:hint="eastAsia"/>
          <w:sz w:val="24"/>
          <w:szCs w:val="24"/>
        </w:rPr>
        <w:t>(B)</w:t>
      </w:r>
      <w:r w:rsidR="009355AF">
        <w:rPr>
          <w:rFonts w:hint="eastAsia"/>
          <w:sz w:val="24"/>
          <w:szCs w:val="24"/>
        </w:rPr>
        <w:t xml:space="preserve"> </w:t>
      </w:r>
      <w:r w:rsidRPr="001410AB">
        <w:rPr>
          <w:bCs/>
          <w:kern w:val="0"/>
          <w:sz w:val="24"/>
          <w:szCs w:val="24"/>
        </w:rPr>
        <w:t>migration rate after 24 hours of co-culture with MNs (n = 3, data represented as mean ± SD).</w:t>
      </w:r>
      <w:r w:rsidRPr="00802F39">
        <w:rPr>
          <w:bCs/>
          <w:kern w:val="0"/>
          <w:sz w:val="24"/>
          <w:szCs w:val="24"/>
        </w:rPr>
        <w:t xml:space="preserve"> </w:t>
      </w:r>
      <w:r w:rsidRPr="001410AB">
        <w:rPr>
          <w:bCs/>
          <w:kern w:val="0"/>
          <w:sz w:val="24"/>
          <w:szCs w:val="24"/>
        </w:rPr>
        <w:t>*</w:t>
      </w:r>
      <w:r w:rsidRPr="001410AB">
        <w:rPr>
          <w:bCs/>
          <w:i/>
          <w:iCs/>
          <w:kern w:val="0"/>
          <w:sz w:val="24"/>
          <w:szCs w:val="24"/>
        </w:rPr>
        <w:t>P</w:t>
      </w:r>
      <w:r w:rsidRPr="001410AB">
        <w:rPr>
          <w:bCs/>
          <w:kern w:val="0"/>
          <w:sz w:val="24"/>
          <w:szCs w:val="24"/>
        </w:rPr>
        <w:t xml:space="preserve"> &lt; 0.05, **</w:t>
      </w:r>
      <w:r w:rsidRPr="001410AB">
        <w:rPr>
          <w:bCs/>
          <w:i/>
          <w:iCs/>
          <w:kern w:val="0"/>
          <w:sz w:val="24"/>
          <w:szCs w:val="24"/>
        </w:rPr>
        <w:t>P</w:t>
      </w:r>
      <w:r w:rsidRPr="001410AB">
        <w:rPr>
          <w:bCs/>
          <w:kern w:val="0"/>
          <w:sz w:val="24"/>
          <w:szCs w:val="24"/>
        </w:rPr>
        <w:t xml:space="preserve"> &lt; 0.01, ***</w:t>
      </w:r>
      <w:r w:rsidRPr="001410AB">
        <w:rPr>
          <w:bCs/>
          <w:i/>
          <w:iCs/>
          <w:kern w:val="0"/>
          <w:sz w:val="24"/>
          <w:szCs w:val="24"/>
        </w:rPr>
        <w:t>P</w:t>
      </w:r>
      <w:r w:rsidRPr="001410AB">
        <w:rPr>
          <w:bCs/>
          <w:kern w:val="0"/>
          <w:sz w:val="24"/>
          <w:szCs w:val="24"/>
        </w:rPr>
        <w:t xml:space="preserve"> &lt; 0.001, ****</w:t>
      </w:r>
      <w:r w:rsidRPr="001410AB">
        <w:rPr>
          <w:bCs/>
          <w:i/>
          <w:iCs/>
          <w:kern w:val="0"/>
          <w:sz w:val="24"/>
          <w:szCs w:val="24"/>
        </w:rPr>
        <w:t xml:space="preserve">P </w:t>
      </w:r>
      <w:r w:rsidRPr="001410AB">
        <w:rPr>
          <w:bCs/>
          <w:kern w:val="0"/>
          <w:sz w:val="24"/>
          <w:szCs w:val="24"/>
        </w:rPr>
        <w:t>&lt; 0.0001.</w:t>
      </w:r>
      <w:r w:rsidRPr="001410AB">
        <w:t xml:space="preserve"> </w:t>
      </w:r>
      <w:r w:rsidRPr="001410AB">
        <w:rPr>
          <w:bCs/>
          <w:kern w:val="0"/>
          <w:sz w:val="24"/>
          <w:szCs w:val="24"/>
        </w:rPr>
        <w:t>The scale bars in 500 μm</w:t>
      </w:r>
      <w:r>
        <w:rPr>
          <w:rFonts w:hint="eastAsia"/>
          <w:bCs/>
          <w:kern w:val="0"/>
          <w:sz w:val="24"/>
          <w:szCs w:val="24"/>
        </w:rPr>
        <w:t>.</w:t>
      </w:r>
    </w:p>
    <w:p w14:paraId="02640B74" w14:textId="5D630B58" w:rsidR="00D0556B" w:rsidRDefault="00EB10FF" w:rsidP="00481ED4">
      <w:pPr>
        <w:widowControl/>
        <w:spacing w:after="240" w:line="480" w:lineRule="auto"/>
        <w:ind w:firstLineChars="0" w:firstLine="0"/>
        <w:rPr>
          <w:bCs/>
          <w:kern w:val="0"/>
          <w:sz w:val="24"/>
          <w:szCs w:val="24"/>
        </w:rPr>
      </w:pPr>
      <w:r>
        <w:rPr>
          <w:noProof/>
        </w:rPr>
        <w:drawing>
          <wp:inline distT="0" distB="0" distL="0" distR="0" wp14:anchorId="7CC35814" wp14:editId="211CBD87">
            <wp:extent cx="5274310" cy="984885"/>
            <wp:effectExtent l="0" t="0" r="2540" b="5715"/>
            <wp:docPr id="46683720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4310" cy="984885"/>
                    </a:xfrm>
                    <a:prstGeom prst="rect">
                      <a:avLst/>
                    </a:prstGeom>
                    <a:noFill/>
                    <a:ln>
                      <a:noFill/>
                    </a:ln>
                  </pic:spPr>
                </pic:pic>
              </a:graphicData>
            </a:graphic>
          </wp:inline>
        </w:drawing>
      </w:r>
    </w:p>
    <w:p w14:paraId="56B3BF63" w14:textId="74BC1526" w:rsidR="00EB10FF" w:rsidRPr="0022284C" w:rsidRDefault="00802F39" w:rsidP="00EB10FF">
      <w:pPr>
        <w:widowControl/>
        <w:spacing w:after="240" w:line="480" w:lineRule="auto"/>
        <w:ind w:firstLineChars="0" w:firstLine="0"/>
        <w:rPr>
          <w:bCs/>
          <w:color w:val="000000" w:themeColor="text1"/>
          <w:kern w:val="0"/>
          <w:sz w:val="24"/>
          <w:szCs w:val="24"/>
        </w:rPr>
      </w:pPr>
      <w:r w:rsidRPr="0022284C">
        <w:rPr>
          <w:b/>
          <w:bCs/>
          <w:color w:val="000000" w:themeColor="text1"/>
          <w:sz w:val="24"/>
          <w:szCs w:val="24"/>
        </w:rPr>
        <w:lastRenderedPageBreak/>
        <w:t>Figure S</w:t>
      </w:r>
      <w:r w:rsidRPr="0022284C">
        <w:rPr>
          <w:rFonts w:hint="eastAsia"/>
          <w:b/>
          <w:bCs/>
          <w:color w:val="000000" w:themeColor="text1"/>
          <w:sz w:val="24"/>
          <w:szCs w:val="24"/>
        </w:rPr>
        <w:t>1</w:t>
      </w:r>
      <w:r w:rsidR="00290431" w:rsidRPr="0022284C">
        <w:rPr>
          <w:rFonts w:hint="eastAsia"/>
          <w:b/>
          <w:bCs/>
          <w:color w:val="000000" w:themeColor="text1"/>
          <w:sz w:val="24"/>
          <w:szCs w:val="24"/>
        </w:rPr>
        <w:t>8</w:t>
      </w:r>
      <w:r w:rsidR="00EB10FF" w:rsidRPr="0022284C">
        <w:rPr>
          <w:rFonts w:hint="eastAsia"/>
          <w:b/>
          <w:bCs/>
          <w:color w:val="000000" w:themeColor="text1"/>
          <w:sz w:val="24"/>
          <w:szCs w:val="24"/>
        </w:rPr>
        <w:t xml:space="preserve"> </w:t>
      </w:r>
      <w:r w:rsidR="00EB10FF" w:rsidRPr="0022284C">
        <w:rPr>
          <w:rFonts w:hint="eastAsia"/>
          <w:bCs/>
          <w:color w:val="000000" w:themeColor="text1"/>
          <w:kern w:val="0"/>
          <w:sz w:val="24"/>
          <w:szCs w:val="24"/>
        </w:rPr>
        <w:t>(A)</w:t>
      </w:r>
      <w:r w:rsidR="00EB10FF" w:rsidRPr="0022284C">
        <w:rPr>
          <w:bCs/>
          <w:color w:val="000000" w:themeColor="text1"/>
          <w:kern w:val="0"/>
          <w:sz w:val="24"/>
          <w:szCs w:val="24"/>
        </w:rPr>
        <w:t xml:space="preserve"> </w:t>
      </w:r>
      <w:r w:rsidR="00EB10FF" w:rsidRPr="0022284C">
        <w:rPr>
          <w:rFonts w:hint="eastAsia"/>
          <w:bCs/>
          <w:color w:val="000000" w:themeColor="text1"/>
          <w:kern w:val="0"/>
          <w:sz w:val="24"/>
          <w:szCs w:val="24"/>
        </w:rPr>
        <w:t>NFB</w:t>
      </w:r>
      <w:r w:rsidR="00DC1B28" w:rsidRPr="0022284C">
        <w:rPr>
          <w:rFonts w:hint="eastAsia"/>
          <w:bCs/>
          <w:color w:val="000000" w:themeColor="text1"/>
          <w:kern w:val="0"/>
          <w:sz w:val="24"/>
          <w:szCs w:val="24"/>
        </w:rPr>
        <w:t>s</w:t>
      </w:r>
      <w:r w:rsidR="00EB10FF" w:rsidRPr="0022284C">
        <w:rPr>
          <w:rFonts w:hint="eastAsia"/>
          <w:bCs/>
          <w:color w:val="000000" w:themeColor="text1"/>
          <w:kern w:val="0"/>
          <w:sz w:val="24"/>
          <w:szCs w:val="24"/>
        </w:rPr>
        <w:t xml:space="preserve"> </w:t>
      </w:r>
      <w:r w:rsidR="00EB10FF" w:rsidRPr="0022284C">
        <w:rPr>
          <w:bCs/>
          <w:color w:val="000000" w:themeColor="text1"/>
          <w:kern w:val="0"/>
          <w:sz w:val="24"/>
          <w:szCs w:val="24"/>
        </w:rPr>
        <w:t>Intracellular O</w:t>
      </w:r>
      <w:r w:rsidR="00EB10FF" w:rsidRPr="0022284C">
        <w:rPr>
          <w:bCs/>
          <w:color w:val="000000" w:themeColor="text1"/>
          <w:kern w:val="0"/>
          <w:sz w:val="24"/>
          <w:szCs w:val="24"/>
          <w:vertAlign w:val="subscript"/>
        </w:rPr>
        <w:t>2</w:t>
      </w:r>
      <w:r w:rsidR="00EB10FF" w:rsidRPr="0022284C">
        <w:rPr>
          <w:bCs/>
          <w:color w:val="000000" w:themeColor="text1"/>
          <w:kern w:val="0"/>
          <w:sz w:val="24"/>
          <w:szCs w:val="24"/>
        </w:rPr>
        <w:t> generation assay was validated by O</w:t>
      </w:r>
      <w:r w:rsidR="00EB10FF" w:rsidRPr="0022284C">
        <w:rPr>
          <w:bCs/>
          <w:color w:val="000000" w:themeColor="text1"/>
          <w:kern w:val="0"/>
          <w:sz w:val="24"/>
          <w:szCs w:val="24"/>
          <w:vertAlign w:val="subscript"/>
        </w:rPr>
        <w:t>2</w:t>
      </w:r>
      <w:r w:rsidR="00EB10FF" w:rsidRPr="0022284C">
        <w:rPr>
          <w:bCs/>
          <w:color w:val="000000" w:themeColor="text1"/>
          <w:kern w:val="0"/>
          <w:sz w:val="24"/>
          <w:szCs w:val="24"/>
        </w:rPr>
        <w:t> probe.</w:t>
      </w:r>
      <w:r w:rsidR="00EB10FF" w:rsidRPr="0022284C">
        <w:rPr>
          <w:rFonts w:hint="eastAsia"/>
          <w:bCs/>
          <w:color w:val="000000" w:themeColor="text1"/>
          <w:kern w:val="0"/>
          <w:sz w:val="24"/>
          <w:szCs w:val="24"/>
        </w:rPr>
        <w:t xml:space="preserve"> (B) </w:t>
      </w:r>
      <w:r w:rsidR="00EB10FF" w:rsidRPr="0022284C">
        <w:rPr>
          <w:bCs/>
          <w:color w:val="000000" w:themeColor="text1"/>
          <w:kern w:val="0"/>
          <w:sz w:val="24"/>
          <w:szCs w:val="24"/>
        </w:rPr>
        <w:t xml:space="preserve">Statistics of </w:t>
      </w:r>
      <w:r w:rsidR="00EB10FF" w:rsidRPr="0022284C">
        <w:rPr>
          <w:rFonts w:hint="eastAsia"/>
          <w:bCs/>
          <w:color w:val="000000" w:themeColor="text1"/>
          <w:kern w:val="0"/>
          <w:sz w:val="24"/>
          <w:szCs w:val="24"/>
        </w:rPr>
        <w:t>NFB</w:t>
      </w:r>
      <w:r w:rsidR="00DC1B28" w:rsidRPr="0022284C">
        <w:rPr>
          <w:rFonts w:hint="eastAsia"/>
          <w:bCs/>
          <w:color w:val="000000" w:themeColor="text1"/>
          <w:kern w:val="0"/>
          <w:sz w:val="24"/>
          <w:szCs w:val="24"/>
        </w:rPr>
        <w:t>s</w:t>
      </w:r>
      <w:r w:rsidR="00EB10FF" w:rsidRPr="0022284C">
        <w:rPr>
          <w:rFonts w:hint="eastAsia"/>
          <w:bCs/>
          <w:color w:val="000000" w:themeColor="text1"/>
          <w:kern w:val="0"/>
          <w:sz w:val="24"/>
          <w:szCs w:val="24"/>
        </w:rPr>
        <w:t xml:space="preserve"> </w:t>
      </w:r>
      <w:r w:rsidR="00EB10FF" w:rsidRPr="0022284C">
        <w:rPr>
          <w:bCs/>
          <w:color w:val="000000" w:themeColor="text1"/>
          <w:kern w:val="0"/>
          <w:sz w:val="24"/>
          <w:szCs w:val="24"/>
        </w:rPr>
        <w:t>intracellular O</w:t>
      </w:r>
      <w:r w:rsidR="00EB10FF" w:rsidRPr="0022284C">
        <w:rPr>
          <w:bCs/>
          <w:color w:val="000000" w:themeColor="text1"/>
          <w:kern w:val="0"/>
          <w:sz w:val="24"/>
          <w:szCs w:val="24"/>
          <w:vertAlign w:val="subscript"/>
        </w:rPr>
        <w:t>2</w:t>
      </w:r>
      <w:r w:rsidR="00EB10FF" w:rsidRPr="0022284C">
        <w:rPr>
          <w:bCs/>
          <w:color w:val="000000" w:themeColor="text1"/>
          <w:kern w:val="0"/>
          <w:sz w:val="24"/>
          <w:szCs w:val="24"/>
        </w:rPr>
        <w:t> production</w:t>
      </w:r>
      <w:r w:rsidR="00EB10FF" w:rsidRPr="0022284C">
        <w:rPr>
          <w:rFonts w:hint="eastAsia"/>
          <w:bCs/>
          <w:color w:val="000000" w:themeColor="text1"/>
          <w:kern w:val="0"/>
          <w:sz w:val="24"/>
          <w:szCs w:val="24"/>
        </w:rPr>
        <w:t>.</w:t>
      </w:r>
      <w:r w:rsidR="00EB10FF" w:rsidRPr="0022284C">
        <w:rPr>
          <w:bCs/>
          <w:color w:val="000000" w:themeColor="text1"/>
          <w:kern w:val="0"/>
          <w:sz w:val="24"/>
          <w:szCs w:val="24"/>
        </w:rPr>
        <w:t xml:space="preserve"> P &lt; 0.05, **P &lt; 0.01, ***P &lt; 0.001, ****P &lt; 0.0001. The scale bars in </w:t>
      </w:r>
      <w:r w:rsidR="00EB10FF" w:rsidRPr="0022284C">
        <w:rPr>
          <w:rFonts w:hint="eastAsia"/>
          <w:bCs/>
          <w:color w:val="000000" w:themeColor="text1"/>
          <w:kern w:val="0"/>
          <w:sz w:val="24"/>
          <w:szCs w:val="24"/>
        </w:rPr>
        <w:t>200</w:t>
      </w:r>
      <w:r w:rsidR="00EB10FF" w:rsidRPr="0022284C">
        <w:rPr>
          <w:bCs/>
          <w:color w:val="000000" w:themeColor="text1"/>
          <w:kern w:val="0"/>
          <w:sz w:val="24"/>
          <w:szCs w:val="24"/>
        </w:rPr>
        <w:t xml:space="preserve"> μm</w:t>
      </w:r>
      <w:r w:rsidR="00EB10FF" w:rsidRPr="0022284C">
        <w:rPr>
          <w:rFonts w:hint="eastAsia"/>
          <w:bCs/>
          <w:color w:val="000000" w:themeColor="text1"/>
          <w:kern w:val="0"/>
          <w:sz w:val="24"/>
          <w:szCs w:val="24"/>
        </w:rPr>
        <w:t>.</w:t>
      </w:r>
    </w:p>
    <w:p w14:paraId="7E99DBF7" w14:textId="4FE9CF19" w:rsidR="00802F39" w:rsidRDefault="007D2466" w:rsidP="007D2466">
      <w:pPr>
        <w:widowControl/>
        <w:spacing w:after="240" w:line="480" w:lineRule="auto"/>
        <w:ind w:firstLineChars="0" w:firstLine="0"/>
        <w:jc w:val="center"/>
        <w:rPr>
          <w:b/>
          <w:bCs/>
          <w:sz w:val="24"/>
          <w:szCs w:val="24"/>
        </w:rPr>
      </w:pPr>
      <w:r>
        <w:rPr>
          <w:noProof/>
        </w:rPr>
        <w:drawing>
          <wp:inline distT="0" distB="0" distL="0" distR="0" wp14:anchorId="35E57BFE" wp14:editId="0055E4D1">
            <wp:extent cx="4393624" cy="2007034"/>
            <wp:effectExtent l="0" t="0" r="6985" b="0"/>
            <wp:docPr id="26936184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18938" cy="2018598"/>
                    </a:xfrm>
                    <a:prstGeom prst="rect">
                      <a:avLst/>
                    </a:prstGeom>
                    <a:noFill/>
                    <a:ln>
                      <a:noFill/>
                    </a:ln>
                  </pic:spPr>
                </pic:pic>
              </a:graphicData>
            </a:graphic>
          </wp:inline>
        </w:drawing>
      </w:r>
    </w:p>
    <w:p w14:paraId="6BED6091" w14:textId="60D7D036" w:rsidR="007D2466" w:rsidRPr="0022284C" w:rsidRDefault="007D2466" w:rsidP="007D2466">
      <w:pPr>
        <w:widowControl/>
        <w:spacing w:after="240" w:line="480" w:lineRule="auto"/>
        <w:ind w:firstLineChars="0" w:firstLine="0"/>
        <w:rPr>
          <w:color w:val="000000" w:themeColor="text1"/>
          <w:sz w:val="24"/>
          <w:szCs w:val="24"/>
        </w:rPr>
      </w:pPr>
      <w:r w:rsidRPr="0022284C">
        <w:rPr>
          <w:b/>
          <w:bCs/>
          <w:color w:val="000000" w:themeColor="text1"/>
          <w:sz w:val="24"/>
          <w:szCs w:val="24"/>
        </w:rPr>
        <w:t>Figure S</w:t>
      </w:r>
      <w:r w:rsidRPr="0022284C">
        <w:rPr>
          <w:rFonts w:hint="eastAsia"/>
          <w:b/>
          <w:bCs/>
          <w:color w:val="000000" w:themeColor="text1"/>
          <w:sz w:val="24"/>
          <w:szCs w:val="24"/>
        </w:rPr>
        <w:t xml:space="preserve">19 </w:t>
      </w:r>
      <w:r w:rsidRPr="0022284C">
        <w:rPr>
          <w:color w:val="000000" w:themeColor="text1"/>
          <w:sz w:val="24"/>
          <w:szCs w:val="24"/>
        </w:rPr>
        <w:t xml:space="preserve"> Quantitative analysis of ATP production in RAW264.7</w:t>
      </w:r>
      <w:r w:rsidRPr="0022284C">
        <w:rPr>
          <w:rFonts w:hint="eastAsia"/>
          <w:color w:val="000000" w:themeColor="text1"/>
          <w:sz w:val="24"/>
          <w:szCs w:val="24"/>
        </w:rPr>
        <w:t xml:space="preserve"> </w:t>
      </w:r>
      <w:r w:rsidRPr="0022284C">
        <w:rPr>
          <w:color w:val="000000" w:themeColor="text1"/>
          <w:sz w:val="24"/>
          <w:szCs w:val="24"/>
        </w:rPr>
        <w:t>(A)</w:t>
      </w:r>
      <w:r w:rsidRPr="0022284C">
        <w:rPr>
          <w:rFonts w:hint="eastAsia"/>
          <w:color w:val="000000" w:themeColor="text1"/>
          <w:sz w:val="24"/>
          <w:szCs w:val="24"/>
        </w:rPr>
        <w:t xml:space="preserve"> and HUVECs</w:t>
      </w:r>
      <w:r w:rsidRPr="0022284C">
        <w:rPr>
          <w:color w:val="000000" w:themeColor="text1"/>
          <w:sz w:val="24"/>
          <w:szCs w:val="24"/>
        </w:rPr>
        <w:t xml:space="preserve"> (B) after different treatments. (n = 3, data represented as mean ± SD). *P &lt; 0.05, **P &lt; 0.01, ***P &lt; 0.001, ****P &lt; 0.0001.</w:t>
      </w:r>
    </w:p>
    <w:p w14:paraId="4C8EF134" w14:textId="46DA61FC" w:rsidR="00406ED8" w:rsidRDefault="00D029E8" w:rsidP="00406ED8">
      <w:pPr>
        <w:spacing w:line="360" w:lineRule="auto"/>
        <w:ind w:firstLineChars="100"/>
        <w:jc w:val="center"/>
        <w:rPr>
          <w:color w:val="FF0000"/>
        </w:rPr>
      </w:pPr>
      <w:r>
        <w:rPr>
          <w:noProof/>
        </w:rPr>
        <w:drawing>
          <wp:inline distT="0" distB="0" distL="0" distR="0" wp14:anchorId="6ABB1898" wp14:editId="1D99ECEB">
            <wp:extent cx="4635661" cy="1958657"/>
            <wp:effectExtent l="0" t="0" r="0" b="3810"/>
            <wp:docPr id="11929109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6036" cy="1963041"/>
                    </a:xfrm>
                    <a:prstGeom prst="rect">
                      <a:avLst/>
                    </a:prstGeom>
                    <a:noFill/>
                    <a:ln>
                      <a:noFill/>
                    </a:ln>
                  </pic:spPr>
                </pic:pic>
              </a:graphicData>
            </a:graphic>
          </wp:inline>
        </w:drawing>
      </w:r>
    </w:p>
    <w:p w14:paraId="22C82F56" w14:textId="028EBC84" w:rsidR="00406ED8" w:rsidRPr="00406ED8" w:rsidRDefault="00406ED8" w:rsidP="00406ED8">
      <w:pPr>
        <w:spacing w:line="360" w:lineRule="auto"/>
        <w:ind w:firstLineChars="0" w:firstLine="0"/>
        <w:rPr>
          <w:sz w:val="24"/>
          <w:szCs w:val="24"/>
        </w:rPr>
      </w:pPr>
      <w:r w:rsidRPr="0022284C">
        <w:rPr>
          <w:rFonts w:hint="eastAsia"/>
          <w:b/>
          <w:bCs/>
          <w:color w:val="000000" w:themeColor="text1"/>
          <w:sz w:val="24"/>
          <w:szCs w:val="24"/>
        </w:rPr>
        <w:t>Figure S20</w:t>
      </w:r>
      <w:r w:rsidRPr="0022284C">
        <w:rPr>
          <w:rFonts w:hint="eastAsia"/>
          <w:color w:val="000000" w:themeColor="text1"/>
        </w:rPr>
        <w:t xml:space="preserve"> </w:t>
      </w:r>
      <w:r w:rsidRPr="0022284C">
        <w:rPr>
          <w:color w:val="000000" w:themeColor="text1"/>
          <w:sz w:val="24"/>
          <w:szCs w:val="24"/>
        </w:rPr>
        <w:t>(</w:t>
      </w:r>
      <w:r w:rsidRPr="0022284C">
        <w:rPr>
          <w:rFonts w:hint="eastAsia"/>
          <w:color w:val="000000" w:themeColor="text1"/>
          <w:sz w:val="24"/>
          <w:szCs w:val="24"/>
        </w:rPr>
        <w:t>A</w:t>
      </w:r>
      <w:r w:rsidRPr="0022284C">
        <w:rPr>
          <w:color w:val="000000" w:themeColor="text1"/>
          <w:sz w:val="24"/>
          <w:szCs w:val="24"/>
        </w:rPr>
        <w:t>) Degradation curves of hydrogel samples in PBS. (</w:t>
      </w:r>
      <w:r w:rsidRPr="0022284C">
        <w:rPr>
          <w:rFonts w:hint="eastAsia"/>
          <w:color w:val="000000" w:themeColor="text1"/>
          <w:sz w:val="24"/>
          <w:szCs w:val="24"/>
        </w:rPr>
        <w:t>B</w:t>
      </w:r>
      <w:r w:rsidRPr="0022284C">
        <w:rPr>
          <w:color w:val="000000" w:themeColor="text1"/>
          <w:sz w:val="24"/>
          <w:szCs w:val="24"/>
        </w:rPr>
        <w:t xml:space="preserve">) Degradation curves of hydrogel samples in PBS containing </w:t>
      </w:r>
      <w:r w:rsidRPr="0022284C">
        <w:rPr>
          <w:rFonts w:hint="eastAsia"/>
          <w:color w:val="000000" w:themeColor="text1"/>
          <w:sz w:val="24"/>
          <w:szCs w:val="24"/>
        </w:rPr>
        <w:t>10</w:t>
      </w:r>
      <w:r w:rsidRPr="0022284C">
        <w:rPr>
          <w:color w:val="000000" w:themeColor="text1"/>
          <w:sz w:val="24"/>
          <w:szCs w:val="24"/>
        </w:rPr>
        <w:t xml:space="preserve"> </w:t>
      </w:r>
      <w:proofErr w:type="spellStart"/>
      <w:r w:rsidRPr="0022284C">
        <w:rPr>
          <w:color w:val="000000" w:themeColor="text1"/>
          <w:sz w:val="24"/>
          <w:szCs w:val="24"/>
        </w:rPr>
        <w:t>μg</w:t>
      </w:r>
      <w:proofErr w:type="spellEnd"/>
      <w:r w:rsidRPr="0022284C">
        <w:rPr>
          <w:color w:val="000000" w:themeColor="text1"/>
          <w:sz w:val="24"/>
          <w:szCs w:val="24"/>
        </w:rPr>
        <w:t xml:space="preserve">/mL </w:t>
      </w:r>
      <w:r w:rsidRPr="0022284C">
        <w:rPr>
          <w:rFonts w:hint="eastAsia"/>
          <w:color w:val="000000" w:themeColor="text1"/>
          <w:sz w:val="24"/>
          <w:szCs w:val="24"/>
        </w:rPr>
        <w:t>Collagenase</w:t>
      </w:r>
      <w:r w:rsidR="009608AE" w:rsidRPr="0022284C">
        <w:rPr>
          <w:rFonts w:hint="eastAsia"/>
          <w:color w:val="000000" w:themeColor="text1"/>
          <w:sz w:val="24"/>
          <w:szCs w:val="24"/>
        </w:rPr>
        <w:t xml:space="preserve">. </w:t>
      </w:r>
      <w:r w:rsidR="009608AE" w:rsidRPr="0022284C">
        <w:rPr>
          <w:color w:val="000000" w:themeColor="text1"/>
          <w:sz w:val="24"/>
          <w:szCs w:val="24"/>
        </w:rPr>
        <w:t>("</w:t>
      </w:r>
      <w:proofErr w:type="spellStart"/>
      <w:r w:rsidR="009608AE" w:rsidRPr="0022284C">
        <w:rPr>
          <w:color w:val="000000" w:themeColor="text1"/>
          <w:sz w:val="24"/>
          <w:szCs w:val="24"/>
        </w:rPr>
        <w:t>Gel</w:t>
      </w:r>
      <w:r w:rsidR="00D029E8" w:rsidRPr="0022284C">
        <w:rPr>
          <w:rFonts w:hint="eastAsia"/>
          <w:color w:val="000000" w:themeColor="text1"/>
          <w:sz w:val="24"/>
          <w:szCs w:val="24"/>
        </w:rPr>
        <w:t>MA</w:t>
      </w:r>
      <w:proofErr w:type="spellEnd"/>
      <w:r w:rsidR="009608AE" w:rsidRPr="0022284C">
        <w:rPr>
          <w:color w:val="000000" w:themeColor="text1"/>
          <w:sz w:val="24"/>
          <w:szCs w:val="24"/>
        </w:rPr>
        <w:t>" refers to the material that constitutes the tip of the MNs)</w:t>
      </w:r>
      <w:r w:rsidRPr="0022284C">
        <w:rPr>
          <w:rFonts w:hint="eastAsia"/>
          <w:color w:val="000000" w:themeColor="text1"/>
          <w:sz w:val="24"/>
          <w:szCs w:val="24"/>
        </w:rPr>
        <w:t>.</w:t>
      </w:r>
      <w:r w:rsidRPr="00406ED8">
        <w:rPr>
          <w:rFonts w:hint="eastAsia"/>
          <w:sz w:val="24"/>
          <w:szCs w:val="24"/>
        </w:rPr>
        <w:t xml:space="preserve"> </w:t>
      </w:r>
    </w:p>
    <w:p w14:paraId="2B5C9376" w14:textId="77777777" w:rsidR="003B5D08" w:rsidRDefault="003B5D08" w:rsidP="00406ED8">
      <w:pPr>
        <w:spacing w:line="360" w:lineRule="auto"/>
        <w:ind w:firstLine="400"/>
        <w:jc w:val="center"/>
        <w:rPr>
          <w:noProof/>
        </w:rPr>
      </w:pPr>
    </w:p>
    <w:p w14:paraId="74CCA8BE" w14:textId="7185BA97" w:rsidR="00406ED8" w:rsidRPr="005D7BF0" w:rsidRDefault="003B5D08" w:rsidP="00406ED8">
      <w:pPr>
        <w:spacing w:line="360" w:lineRule="auto"/>
        <w:ind w:firstLine="400"/>
        <w:jc w:val="center"/>
        <w:rPr>
          <w:color w:val="FF0000"/>
        </w:rPr>
      </w:pPr>
      <w:r>
        <w:rPr>
          <w:noProof/>
        </w:rPr>
        <w:lastRenderedPageBreak/>
        <w:drawing>
          <wp:inline distT="0" distB="0" distL="0" distR="0" wp14:anchorId="72AD7CE1" wp14:editId="743E7648">
            <wp:extent cx="3003630" cy="1809434"/>
            <wp:effectExtent l="0" t="0" r="6350" b="635"/>
            <wp:docPr id="1999934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22303" cy="1820683"/>
                    </a:xfrm>
                    <a:prstGeom prst="rect">
                      <a:avLst/>
                    </a:prstGeom>
                    <a:noFill/>
                    <a:ln>
                      <a:noFill/>
                    </a:ln>
                  </pic:spPr>
                </pic:pic>
              </a:graphicData>
            </a:graphic>
          </wp:inline>
        </w:drawing>
      </w:r>
    </w:p>
    <w:p w14:paraId="1F446504" w14:textId="3A09DC9F" w:rsidR="00837209" w:rsidRPr="003B5D08" w:rsidRDefault="00406ED8" w:rsidP="003B5D08">
      <w:pPr>
        <w:spacing w:line="360" w:lineRule="auto"/>
        <w:ind w:firstLineChars="0" w:firstLine="0"/>
        <w:rPr>
          <w:color w:val="ED7D31" w:themeColor="accent2"/>
          <w:sz w:val="24"/>
          <w:szCs w:val="24"/>
        </w:rPr>
      </w:pPr>
      <w:r w:rsidRPr="0022284C">
        <w:rPr>
          <w:rFonts w:hint="eastAsia"/>
          <w:b/>
          <w:bCs/>
          <w:color w:val="000000" w:themeColor="text1"/>
          <w:sz w:val="24"/>
          <w:szCs w:val="24"/>
        </w:rPr>
        <w:t xml:space="preserve">Figure S21 </w:t>
      </w:r>
      <w:r w:rsidRPr="0022284C">
        <w:rPr>
          <w:color w:val="000000" w:themeColor="text1"/>
          <w:sz w:val="24"/>
          <w:szCs w:val="24"/>
        </w:rPr>
        <w:t xml:space="preserve">H&amp;E staining results of hydrogels after 7 days and 28 days of subcutaneous implantation in mice (black arrow indicates hydrogel). Scale bar, </w:t>
      </w:r>
      <w:r w:rsidRPr="0022284C">
        <w:rPr>
          <w:rFonts w:hint="eastAsia"/>
          <w:color w:val="000000" w:themeColor="text1"/>
          <w:sz w:val="24"/>
          <w:szCs w:val="24"/>
        </w:rPr>
        <w:t>2</w:t>
      </w:r>
      <w:r w:rsidRPr="0022284C">
        <w:rPr>
          <w:color w:val="000000" w:themeColor="text1"/>
          <w:sz w:val="24"/>
          <w:szCs w:val="24"/>
        </w:rPr>
        <w:t xml:space="preserve">00 </w:t>
      </w:r>
      <w:proofErr w:type="spellStart"/>
      <w:r w:rsidRPr="0022284C">
        <w:rPr>
          <w:color w:val="000000" w:themeColor="text1"/>
          <w:sz w:val="24"/>
          <w:szCs w:val="24"/>
        </w:rPr>
        <w:t>μm</w:t>
      </w:r>
      <w:proofErr w:type="spellEnd"/>
      <w:r w:rsidRPr="0022284C">
        <w:rPr>
          <w:color w:val="000000" w:themeColor="text1"/>
          <w:sz w:val="24"/>
          <w:szCs w:val="24"/>
        </w:rPr>
        <w:t>.</w:t>
      </w:r>
      <w:r w:rsidR="003B5D08">
        <w:rPr>
          <w:noProof/>
        </w:rPr>
        <w:drawing>
          <wp:inline distT="0" distB="0" distL="0" distR="0" wp14:anchorId="214F8DD8" wp14:editId="3CD8BCD4">
            <wp:extent cx="5274310" cy="1491615"/>
            <wp:effectExtent l="0" t="0" r="2540" b="0"/>
            <wp:docPr id="11386136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74310" cy="1491615"/>
                    </a:xfrm>
                    <a:prstGeom prst="rect">
                      <a:avLst/>
                    </a:prstGeom>
                    <a:noFill/>
                    <a:ln>
                      <a:noFill/>
                    </a:ln>
                  </pic:spPr>
                </pic:pic>
              </a:graphicData>
            </a:graphic>
          </wp:inline>
        </w:drawing>
      </w:r>
    </w:p>
    <w:p w14:paraId="1C475DD4" w14:textId="1655266B" w:rsidR="00802F39" w:rsidRPr="0022284C" w:rsidRDefault="00406ED8" w:rsidP="00F47CB1">
      <w:pPr>
        <w:spacing w:line="360" w:lineRule="auto"/>
        <w:ind w:firstLineChars="0" w:firstLine="0"/>
        <w:rPr>
          <w:color w:val="000000" w:themeColor="text1"/>
        </w:rPr>
      </w:pPr>
      <w:r w:rsidRPr="0022284C">
        <w:rPr>
          <w:rFonts w:hint="eastAsia"/>
          <w:b/>
          <w:bCs/>
          <w:color w:val="000000" w:themeColor="text1"/>
          <w:sz w:val="24"/>
          <w:szCs w:val="24"/>
        </w:rPr>
        <w:t>Figure S22</w:t>
      </w:r>
      <w:r w:rsidRPr="0022284C">
        <w:rPr>
          <w:rFonts w:hint="eastAsia"/>
          <w:color w:val="000000" w:themeColor="text1"/>
          <w:sz w:val="24"/>
          <w:szCs w:val="24"/>
        </w:rPr>
        <w:t xml:space="preserve"> </w:t>
      </w:r>
      <w:r w:rsidRPr="0022284C">
        <w:rPr>
          <w:color w:val="000000" w:themeColor="text1"/>
          <w:sz w:val="24"/>
          <w:szCs w:val="24"/>
        </w:rPr>
        <w:t>H&amp;E</w:t>
      </w:r>
      <w:r w:rsidRPr="0022284C">
        <w:rPr>
          <w:rFonts w:hint="eastAsia"/>
          <w:color w:val="000000" w:themeColor="text1"/>
          <w:sz w:val="24"/>
          <w:szCs w:val="24"/>
        </w:rPr>
        <w:t xml:space="preserve"> </w:t>
      </w:r>
      <w:r w:rsidRPr="0022284C">
        <w:rPr>
          <w:color w:val="000000" w:themeColor="text1"/>
          <w:sz w:val="24"/>
          <w:szCs w:val="24"/>
        </w:rPr>
        <w:t xml:space="preserve">staining images of </w:t>
      </w:r>
      <w:r w:rsidRPr="0022284C">
        <w:rPr>
          <w:rFonts w:hint="eastAsia"/>
          <w:color w:val="000000" w:themeColor="text1"/>
          <w:sz w:val="24"/>
          <w:szCs w:val="24"/>
        </w:rPr>
        <w:t>heart</w:t>
      </w:r>
      <w:r w:rsidRPr="0022284C">
        <w:rPr>
          <w:color w:val="000000" w:themeColor="text1"/>
          <w:sz w:val="24"/>
          <w:szCs w:val="24"/>
        </w:rPr>
        <w:t xml:space="preserve">, </w:t>
      </w:r>
      <w:r w:rsidRPr="0022284C">
        <w:rPr>
          <w:rFonts w:hint="eastAsia"/>
          <w:color w:val="000000" w:themeColor="text1"/>
          <w:sz w:val="24"/>
          <w:szCs w:val="24"/>
        </w:rPr>
        <w:t>liver</w:t>
      </w:r>
      <w:r w:rsidRPr="0022284C">
        <w:rPr>
          <w:color w:val="000000" w:themeColor="text1"/>
          <w:sz w:val="24"/>
          <w:szCs w:val="24"/>
        </w:rPr>
        <w:t>, sple</w:t>
      </w:r>
      <w:r w:rsidRPr="0022284C">
        <w:rPr>
          <w:rFonts w:hint="eastAsia"/>
          <w:color w:val="000000" w:themeColor="text1"/>
          <w:sz w:val="24"/>
          <w:szCs w:val="24"/>
        </w:rPr>
        <w:t>en</w:t>
      </w:r>
      <w:r w:rsidRPr="0022284C">
        <w:rPr>
          <w:color w:val="000000" w:themeColor="text1"/>
          <w:sz w:val="24"/>
          <w:szCs w:val="24"/>
        </w:rPr>
        <w:t xml:space="preserve">, </w:t>
      </w:r>
      <w:r w:rsidRPr="0022284C">
        <w:rPr>
          <w:rFonts w:hint="eastAsia"/>
          <w:color w:val="000000" w:themeColor="text1"/>
          <w:sz w:val="24"/>
          <w:szCs w:val="24"/>
        </w:rPr>
        <w:t>lung</w:t>
      </w:r>
      <w:r w:rsidRPr="0022284C">
        <w:rPr>
          <w:color w:val="000000" w:themeColor="text1"/>
          <w:sz w:val="24"/>
          <w:szCs w:val="24"/>
        </w:rPr>
        <w:t xml:space="preserve">, and </w:t>
      </w:r>
      <w:r w:rsidRPr="0022284C">
        <w:rPr>
          <w:rFonts w:hint="eastAsia"/>
          <w:color w:val="000000" w:themeColor="text1"/>
          <w:sz w:val="24"/>
          <w:szCs w:val="24"/>
        </w:rPr>
        <w:t>kidney</w:t>
      </w:r>
      <w:r w:rsidRPr="0022284C">
        <w:rPr>
          <w:color w:val="000000" w:themeColor="text1"/>
          <w:sz w:val="24"/>
          <w:szCs w:val="24"/>
        </w:rPr>
        <w:t xml:space="preserve"> tissues from mice</w:t>
      </w:r>
      <w:r w:rsidRPr="0022284C">
        <w:rPr>
          <w:rFonts w:hint="eastAsia"/>
          <w:color w:val="000000" w:themeColor="text1"/>
          <w:sz w:val="24"/>
          <w:szCs w:val="24"/>
        </w:rPr>
        <w:t xml:space="preserve">. Scale bar, 200 </w:t>
      </w:r>
      <w:r w:rsidRPr="0022284C">
        <w:rPr>
          <w:color w:val="000000" w:themeColor="text1"/>
          <w:sz w:val="24"/>
          <w:szCs w:val="24"/>
        </w:rPr>
        <w:t>μ</w:t>
      </w:r>
      <w:r w:rsidRPr="0022284C">
        <w:rPr>
          <w:rFonts w:hint="eastAsia"/>
          <w:color w:val="000000" w:themeColor="text1"/>
          <w:sz w:val="24"/>
          <w:szCs w:val="24"/>
        </w:rPr>
        <w:t>m.</w:t>
      </w:r>
    </w:p>
    <w:p w14:paraId="6F563668" w14:textId="168280B1" w:rsidR="00876947" w:rsidRDefault="004058A6" w:rsidP="00D54AE9">
      <w:pPr>
        <w:widowControl/>
        <w:spacing w:after="240" w:line="480" w:lineRule="auto"/>
        <w:ind w:firstLineChars="0" w:firstLine="0"/>
        <w:jc w:val="center"/>
        <w:rPr>
          <w:kern w:val="0"/>
          <w:sz w:val="24"/>
          <w:szCs w:val="24"/>
        </w:rPr>
      </w:pPr>
      <w:r>
        <w:rPr>
          <w:noProof/>
        </w:rPr>
        <w:drawing>
          <wp:inline distT="0" distB="0" distL="0" distR="0" wp14:anchorId="38CD1A8B" wp14:editId="12EFBCD2">
            <wp:extent cx="2286000" cy="2574939"/>
            <wp:effectExtent l="0" t="0" r="0" b="0"/>
            <wp:docPr id="19105521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12617" cy="2604920"/>
                    </a:xfrm>
                    <a:prstGeom prst="rect">
                      <a:avLst/>
                    </a:prstGeom>
                    <a:noFill/>
                    <a:ln>
                      <a:noFill/>
                    </a:ln>
                  </pic:spPr>
                </pic:pic>
              </a:graphicData>
            </a:graphic>
          </wp:inline>
        </w:drawing>
      </w:r>
    </w:p>
    <w:p w14:paraId="722AD7D4" w14:textId="557FB117" w:rsidR="00406ED8" w:rsidRPr="00CD4DD9" w:rsidRDefault="00876947" w:rsidP="00876947">
      <w:pPr>
        <w:widowControl/>
        <w:spacing w:after="240" w:line="480" w:lineRule="auto"/>
        <w:ind w:firstLineChars="0" w:firstLine="0"/>
        <w:rPr>
          <w:sz w:val="24"/>
          <w:szCs w:val="24"/>
        </w:rPr>
      </w:pPr>
      <w:r w:rsidRPr="00D34C64">
        <w:rPr>
          <w:b/>
          <w:bCs/>
          <w:color w:val="000000" w:themeColor="text1"/>
          <w:sz w:val="24"/>
          <w:szCs w:val="24"/>
        </w:rPr>
        <w:t>Figure S</w:t>
      </w:r>
      <w:r w:rsidR="00406ED8" w:rsidRPr="00D34C64">
        <w:rPr>
          <w:rFonts w:hint="eastAsia"/>
          <w:b/>
          <w:bCs/>
          <w:color w:val="000000" w:themeColor="text1"/>
          <w:sz w:val="24"/>
          <w:szCs w:val="24"/>
        </w:rPr>
        <w:t>23</w:t>
      </w:r>
      <w:r>
        <w:rPr>
          <w:rFonts w:hint="eastAsia"/>
          <w:b/>
          <w:bCs/>
          <w:sz w:val="24"/>
          <w:szCs w:val="24"/>
        </w:rPr>
        <w:t xml:space="preserve"> </w:t>
      </w:r>
      <w:r w:rsidRPr="00876947">
        <w:rPr>
          <w:sz w:val="24"/>
          <w:szCs w:val="24"/>
        </w:rPr>
        <w:t xml:space="preserve">The </w:t>
      </w:r>
      <w:r w:rsidR="00AF3FF5">
        <w:rPr>
          <w:rFonts w:hint="eastAsia"/>
          <w:sz w:val="24"/>
          <w:szCs w:val="24"/>
        </w:rPr>
        <w:t>MNs</w:t>
      </w:r>
      <w:r w:rsidRPr="00876947">
        <w:rPr>
          <w:sz w:val="24"/>
          <w:szCs w:val="24"/>
        </w:rPr>
        <w:t xml:space="preserve"> of each group were applied to the epidermal thickness statistics of the wound of diabetic mice on the 14th day.</w:t>
      </w:r>
      <w:r w:rsidR="003702E5" w:rsidRPr="003702E5">
        <w:rPr>
          <w:sz w:val="24"/>
          <w:szCs w:val="24"/>
        </w:rPr>
        <w:t xml:space="preserve"> </w:t>
      </w:r>
      <w:r w:rsidR="003702E5" w:rsidRPr="007D2466">
        <w:rPr>
          <w:sz w:val="24"/>
          <w:szCs w:val="24"/>
        </w:rPr>
        <w:t>*P &lt; 0.05, **P &lt; 0.01, ***P &lt; 0.001, ****P &lt; 0.0001.</w:t>
      </w:r>
    </w:p>
    <w:sectPr w:rsidR="00406ED8" w:rsidRPr="00CD4DD9" w:rsidSect="00BE6FEB">
      <w:headerReference w:type="even" r:id="rId30"/>
      <w:headerReference w:type="default" r:id="rId31"/>
      <w:footerReference w:type="even" r:id="rId32"/>
      <w:footerReference w:type="default" r:id="rId33"/>
      <w:headerReference w:type="first" r:id="rId34"/>
      <w:footerReference w:type="first" r:id="rId35"/>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D13A5" w14:textId="77777777" w:rsidR="006858D4" w:rsidRDefault="006858D4" w:rsidP="002E44EA">
      <w:pPr>
        <w:ind w:firstLine="400"/>
      </w:pPr>
      <w:r>
        <w:separator/>
      </w:r>
    </w:p>
  </w:endnote>
  <w:endnote w:type="continuationSeparator" w:id="0">
    <w:p w14:paraId="6602BDF3" w14:textId="77777777" w:rsidR="006858D4" w:rsidRDefault="006858D4" w:rsidP="002E44EA">
      <w:pPr>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F7741" w14:textId="77777777" w:rsidR="00DF34D7" w:rsidRDefault="00DF34D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078807"/>
      <w:docPartObj>
        <w:docPartGallery w:val="Page Numbers (Bottom of Page)"/>
        <w:docPartUnique/>
      </w:docPartObj>
    </w:sdtPr>
    <w:sdtContent>
      <w:p w14:paraId="7C0B5F3E" w14:textId="6A1503EC" w:rsidR="00B94EDB" w:rsidRDefault="00B94EDB">
        <w:pPr>
          <w:pStyle w:val="a5"/>
          <w:ind w:firstLine="400"/>
          <w:jc w:val="center"/>
        </w:pPr>
        <w:r>
          <w:fldChar w:fldCharType="begin"/>
        </w:r>
        <w:r>
          <w:instrText>PAGE   \* MERGEFORMAT</w:instrText>
        </w:r>
        <w:r>
          <w:fldChar w:fldCharType="separate"/>
        </w:r>
        <w:r>
          <w:rPr>
            <w:lang w:val="zh-CN"/>
          </w:rPr>
          <w:t>2</w:t>
        </w:r>
        <w:r>
          <w:fldChar w:fldCharType="end"/>
        </w:r>
      </w:p>
    </w:sdtContent>
  </w:sdt>
  <w:p w14:paraId="40557ED9" w14:textId="77777777" w:rsidR="00DF34D7" w:rsidRDefault="00DF34D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7E326" w14:textId="77777777" w:rsidR="00DF34D7" w:rsidRDefault="00DF34D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E47EE" w14:textId="77777777" w:rsidR="006858D4" w:rsidRDefault="006858D4" w:rsidP="002E44EA">
      <w:pPr>
        <w:ind w:firstLine="400"/>
      </w:pPr>
      <w:r>
        <w:separator/>
      </w:r>
    </w:p>
  </w:footnote>
  <w:footnote w:type="continuationSeparator" w:id="0">
    <w:p w14:paraId="3222499E" w14:textId="77777777" w:rsidR="006858D4" w:rsidRDefault="006858D4" w:rsidP="002E44EA">
      <w:pPr>
        <w:ind w:firstLine="40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B56C0" w14:textId="77777777" w:rsidR="00DF34D7" w:rsidRDefault="00DF34D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E6EBE" w14:textId="77777777" w:rsidR="00DF34D7" w:rsidRDefault="00DF34D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B763E" w14:textId="77777777" w:rsidR="00DF34D7" w:rsidRDefault="00DF34D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420"/>
  <w:drawingGridHorizontalSpacing w:val="10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7O0NLc0MzIwNDcxNzFQ0lEKTi0uzszPAykwNK4FAAo12lYtAAAA"/>
    <w:docVar w:name="EN.InstantFormat" w:val="&lt;ENInstantFormat&gt;&lt;Enabled&gt;1&lt;/Enabled&gt;&lt;ScanUnformatted&gt;1&lt;/ScanUnformatted&gt;&lt;ScanChanges&gt;1&lt;/ScanChanges&gt;&lt;Suspended&gt;0&lt;/Suspended&gt;&lt;/ENInstantFormat&gt;"/>
    <w:docVar w:name="EN.Layout" w:val="&lt;ENLayout&gt;&lt;Style&gt;National Science Rev&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83A51"/>
    <w:rsid w:val="000011A4"/>
    <w:rsid w:val="00020C5D"/>
    <w:rsid w:val="000213B4"/>
    <w:rsid w:val="00024163"/>
    <w:rsid w:val="0002589D"/>
    <w:rsid w:val="00031A9F"/>
    <w:rsid w:val="00044AFC"/>
    <w:rsid w:val="0004611C"/>
    <w:rsid w:val="000479DC"/>
    <w:rsid w:val="00051A93"/>
    <w:rsid w:val="00073496"/>
    <w:rsid w:val="000833FF"/>
    <w:rsid w:val="00087A5F"/>
    <w:rsid w:val="00093390"/>
    <w:rsid w:val="000A12A4"/>
    <w:rsid w:val="000B10A5"/>
    <w:rsid w:val="000B1335"/>
    <w:rsid w:val="000B1C0F"/>
    <w:rsid w:val="000B367A"/>
    <w:rsid w:val="000B5E15"/>
    <w:rsid w:val="000C13A5"/>
    <w:rsid w:val="000C360C"/>
    <w:rsid w:val="000C38FC"/>
    <w:rsid w:val="000C6AC2"/>
    <w:rsid w:val="000C7970"/>
    <w:rsid w:val="00117960"/>
    <w:rsid w:val="001228EC"/>
    <w:rsid w:val="0012698C"/>
    <w:rsid w:val="00136A06"/>
    <w:rsid w:val="00137607"/>
    <w:rsid w:val="00137AE8"/>
    <w:rsid w:val="00144BB0"/>
    <w:rsid w:val="0014656B"/>
    <w:rsid w:val="001538B7"/>
    <w:rsid w:val="00154226"/>
    <w:rsid w:val="001641E3"/>
    <w:rsid w:val="00177C57"/>
    <w:rsid w:val="00183B75"/>
    <w:rsid w:val="0019717E"/>
    <w:rsid w:val="001A0951"/>
    <w:rsid w:val="001A1907"/>
    <w:rsid w:val="001A51BA"/>
    <w:rsid w:val="001B37F9"/>
    <w:rsid w:val="001C276D"/>
    <w:rsid w:val="001D32B4"/>
    <w:rsid w:val="001D4607"/>
    <w:rsid w:val="001D4E02"/>
    <w:rsid w:val="001E305A"/>
    <w:rsid w:val="001F3FDF"/>
    <w:rsid w:val="001F7C94"/>
    <w:rsid w:val="00206359"/>
    <w:rsid w:val="002065CB"/>
    <w:rsid w:val="0021614E"/>
    <w:rsid w:val="0022284C"/>
    <w:rsid w:val="002368D1"/>
    <w:rsid w:val="00240FCD"/>
    <w:rsid w:val="00243546"/>
    <w:rsid w:val="002447F8"/>
    <w:rsid w:val="00260DEC"/>
    <w:rsid w:val="00270078"/>
    <w:rsid w:val="0028178A"/>
    <w:rsid w:val="00290431"/>
    <w:rsid w:val="00293BD2"/>
    <w:rsid w:val="002A3604"/>
    <w:rsid w:val="002A5212"/>
    <w:rsid w:val="002A61BA"/>
    <w:rsid w:val="002A720A"/>
    <w:rsid w:val="002B1DDA"/>
    <w:rsid w:val="002B5C7B"/>
    <w:rsid w:val="002C050D"/>
    <w:rsid w:val="002C25D0"/>
    <w:rsid w:val="002C710B"/>
    <w:rsid w:val="002D6026"/>
    <w:rsid w:val="002E21C3"/>
    <w:rsid w:val="002E44EA"/>
    <w:rsid w:val="002F23ED"/>
    <w:rsid w:val="002F7FB4"/>
    <w:rsid w:val="00300E3D"/>
    <w:rsid w:val="0031734A"/>
    <w:rsid w:val="00320CAF"/>
    <w:rsid w:val="0032356F"/>
    <w:rsid w:val="0032427C"/>
    <w:rsid w:val="00331E86"/>
    <w:rsid w:val="00333D74"/>
    <w:rsid w:val="00343AEE"/>
    <w:rsid w:val="00347446"/>
    <w:rsid w:val="003504FB"/>
    <w:rsid w:val="00351635"/>
    <w:rsid w:val="003525E8"/>
    <w:rsid w:val="00353FCD"/>
    <w:rsid w:val="00362942"/>
    <w:rsid w:val="0036554E"/>
    <w:rsid w:val="00366862"/>
    <w:rsid w:val="003676F3"/>
    <w:rsid w:val="003702E5"/>
    <w:rsid w:val="00383634"/>
    <w:rsid w:val="00386241"/>
    <w:rsid w:val="003963E0"/>
    <w:rsid w:val="003A2722"/>
    <w:rsid w:val="003B5D08"/>
    <w:rsid w:val="003B679C"/>
    <w:rsid w:val="003C0A08"/>
    <w:rsid w:val="003C5764"/>
    <w:rsid w:val="003C6C07"/>
    <w:rsid w:val="003D26A5"/>
    <w:rsid w:val="003D2CD2"/>
    <w:rsid w:val="003E2C41"/>
    <w:rsid w:val="003E3154"/>
    <w:rsid w:val="0040272B"/>
    <w:rsid w:val="00404CBE"/>
    <w:rsid w:val="004058A6"/>
    <w:rsid w:val="00405CE2"/>
    <w:rsid w:val="00406ED8"/>
    <w:rsid w:val="00420515"/>
    <w:rsid w:val="004223F9"/>
    <w:rsid w:val="00430F6E"/>
    <w:rsid w:val="00431FB9"/>
    <w:rsid w:val="004369D8"/>
    <w:rsid w:val="004417CB"/>
    <w:rsid w:val="00460AFF"/>
    <w:rsid w:val="00465CF6"/>
    <w:rsid w:val="00466CA6"/>
    <w:rsid w:val="00473189"/>
    <w:rsid w:val="00475EBB"/>
    <w:rsid w:val="00481ED4"/>
    <w:rsid w:val="00496969"/>
    <w:rsid w:val="004979FD"/>
    <w:rsid w:val="004A79F4"/>
    <w:rsid w:val="004C021B"/>
    <w:rsid w:val="004C309A"/>
    <w:rsid w:val="004C5CDE"/>
    <w:rsid w:val="004D44B2"/>
    <w:rsid w:val="004D4EA4"/>
    <w:rsid w:val="004E014E"/>
    <w:rsid w:val="004F2934"/>
    <w:rsid w:val="004F67E0"/>
    <w:rsid w:val="00502900"/>
    <w:rsid w:val="00504161"/>
    <w:rsid w:val="00511870"/>
    <w:rsid w:val="00515B3B"/>
    <w:rsid w:val="0052374D"/>
    <w:rsid w:val="005321F7"/>
    <w:rsid w:val="00533B01"/>
    <w:rsid w:val="00533CC1"/>
    <w:rsid w:val="00534DC4"/>
    <w:rsid w:val="00541C96"/>
    <w:rsid w:val="00541FA3"/>
    <w:rsid w:val="005421F1"/>
    <w:rsid w:val="00546C14"/>
    <w:rsid w:val="005648D6"/>
    <w:rsid w:val="00566BC6"/>
    <w:rsid w:val="00574FF5"/>
    <w:rsid w:val="005A1D61"/>
    <w:rsid w:val="005A3095"/>
    <w:rsid w:val="005B5F08"/>
    <w:rsid w:val="005C232E"/>
    <w:rsid w:val="005C3E2C"/>
    <w:rsid w:val="005C5004"/>
    <w:rsid w:val="005D5D80"/>
    <w:rsid w:val="005D72F0"/>
    <w:rsid w:val="005F081F"/>
    <w:rsid w:val="005F16CA"/>
    <w:rsid w:val="005F34A4"/>
    <w:rsid w:val="005F7017"/>
    <w:rsid w:val="00615B87"/>
    <w:rsid w:val="00626A54"/>
    <w:rsid w:val="00643A87"/>
    <w:rsid w:val="0064592F"/>
    <w:rsid w:val="006554BE"/>
    <w:rsid w:val="00660FF5"/>
    <w:rsid w:val="00661922"/>
    <w:rsid w:val="00685833"/>
    <w:rsid w:val="006858D4"/>
    <w:rsid w:val="00693692"/>
    <w:rsid w:val="00696347"/>
    <w:rsid w:val="00696836"/>
    <w:rsid w:val="006A117C"/>
    <w:rsid w:val="006B0D9C"/>
    <w:rsid w:val="006B22B8"/>
    <w:rsid w:val="006B72E8"/>
    <w:rsid w:val="006D75BE"/>
    <w:rsid w:val="006E0DA2"/>
    <w:rsid w:val="006E529E"/>
    <w:rsid w:val="00703250"/>
    <w:rsid w:val="00703C31"/>
    <w:rsid w:val="00712E22"/>
    <w:rsid w:val="007161BF"/>
    <w:rsid w:val="00717329"/>
    <w:rsid w:val="0072177C"/>
    <w:rsid w:val="007223E5"/>
    <w:rsid w:val="007229E2"/>
    <w:rsid w:val="00722AE4"/>
    <w:rsid w:val="00726844"/>
    <w:rsid w:val="00732822"/>
    <w:rsid w:val="00733BA1"/>
    <w:rsid w:val="00735B09"/>
    <w:rsid w:val="0074550E"/>
    <w:rsid w:val="00755185"/>
    <w:rsid w:val="00757190"/>
    <w:rsid w:val="0076780D"/>
    <w:rsid w:val="00774184"/>
    <w:rsid w:val="00797EB3"/>
    <w:rsid w:val="007A751B"/>
    <w:rsid w:val="007A759D"/>
    <w:rsid w:val="007A7F92"/>
    <w:rsid w:val="007B236D"/>
    <w:rsid w:val="007C4CE0"/>
    <w:rsid w:val="007D0357"/>
    <w:rsid w:val="007D2466"/>
    <w:rsid w:val="007D3D97"/>
    <w:rsid w:val="007D57D7"/>
    <w:rsid w:val="007D764F"/>
    <w:rsid w:val="007D7F0A"/>
    <w:rsid w:val="007E1AE0"/>
    <w:rsid w:val="007E5EA6"/>
    <w:rsid w:val="007F7043"/>
    <w:rsid w:val="00801095"/>
    <w:rsid w:val="008029C0"/>
    <w:rsid w:val="00802F39"/>
    <w:rsid w:val="0080358D"/>
    <w:rsid w:val="008061A0"/>
    <w:rsid w:val="00814E08"/>
    <w:rsid w:val="008223DE"/>
    <w:rsid w:val="008327F5"/>
    <w:rsid w:val="00834575"/>
    <w:rsid w:val="00837209"/>
    <w:rsid w:val="00841C34"/>
    <w:rsid w:val="00842A24"/>
    <w:rsid w:val="008447A0"/>
    <w:rsid w:val="00856F8F"/>
    <w:rsid w:val="008668E5"/>
    <w:rsid w:val="00876947"/>
    <w:rsid w:val="00876CD6"/>
    <w:rsid w:val="00880701"/>
    <w:rsid w:val="00881787"/>
    <w:rsid w:val="00892A50"/>
    <w:rsid w:val="008A3E9E"/>
    <w:rsid w:val="008B1DA3"/>
    <w:rsid w:val="008C0826"/>
    <w:rsid w:val="008E012B"/>
    <w:rsid w:val="008E704F"/>
    <w:rsid w:val="008F71E3"/>
    <w:rsid w:val="00901D9F"/>
    <w:rsid w:val="009034C1"/>
    <w:rsid w:val="00907F97"/>
    <w:rsid w:val="009101B2"/>
    <w:rsid w:val="00911C77"/>
    <w:rsid w:val="0092343C"/>
    <w:rsid w:val="00927C08"/>
    <w:rsid w:val="00932872"/>
    <w:rsid w:val="00932FEC"/>
    <w:rsid w:val="009355AF"/>
    <w:rsid w:val="00944AEB"/>
    <w:rsid w:val="00945AE3"/>
    <w:rsid w:val="0094681A"/>
    <w:rsid w:val="00946D54"/>
    <w:rsid w:val="0095101F"/>
    <w:rsid w:val="0095168D"/>
    <w:rsid w:val="00951D51"/>
    <w:rsid w:val="009608AE"/>
    <w:rsid w:val="00963CA2"/>
    <w:rsid w:val="00970F8A"/>
    <w:rsid w:val="00974C9B"/>
    <w:rsid w:val="00976088"/>
    <w:rsid w:val="00981D58"/>
    <w:rsid w:val="009906DC"/>
    <w:rsid w:val="00990C38"/>
    <w:rsid w:val="00991D8A"/>
    <w:rsid w:val="00995720"/>
    <w:rsid w:val="009B2784"/>
    <w:rsid w:val="009B44D0"/>
    <w:rsid w:val="009B7BDB"/>
    <w:rsid w:val="009C28FF"/>
    <w:rsid w:val="009C429D"/>
    <w:rsid w:val="009C5CA0"/>
    <w:rsid w:val="009D31DC"/>
    <w:rsid w:val="009D58A0"/>
    <w:rsid w:val="009D61D3"/>
    <w:rsid w:val="009E08FD"/>
    <w:rsid w:val="009E3C5D"/>
    <w:rsid w:val="009E4364"/>
    <w:rsid w:val="009E644D"/>
    <w:rsid w:val="009E71A5"/>
    <w:rsid w:val="009F0926"/>
    <w:rsid w:val="009F291D"/>
    <w:rsid w:val="009F3916"/>
    <w:rsid w:val="009F7A16"/>
    <w:rsid w:val="00A00770"/>
    <w:rsid w:val="00A03ADF"/>
    <w:rsid w:val="00A06944"/>
    <w:rsid w:val="00A077A1"/>
    <w:rsid w:val="00A13739"/>
    <w:rsid w:val="00A1762D"/>
    <w:rsid w:val="00A21359"/>
    <w:rsid w:val="00A2329C"/>
    <w:rsid w:val="00A24907"/>
    <w:rsid w:val="00A274C1"/>
    <w:rsid w:val="00A37588"/>
    <w:rsid w:val="00A52C19"/>
    <w:rsid w:val="00A5517B"/>
    <w:rsid w:val="00A570D7"/>
    <w:rsid w:val="00A7105F"/>
    <w:rsid w:val="00A7682E"/>
    <w:rsid w:val="00A77100"/>
    <w:rsid w:val="00A77B03"/>
    <w:rsid w:val="00A82FCA"/>
    <w:rsid w:val="00A93340"/>
    <w:rsid w:val="00A94664"/>
    <w:rsid w:val="00AA557B"/>
    <w:rsid w:val="00AB5CDE"/>
    <w:rsid w:val="00AB7BDB"/>
    <w:rsid w:val="00AD1D5C"/>
    <w:rsid w:val="00AE59BE"/>
    <w:rsid w:val="00AF3FF5"/>
    <w:rsid w:val="00AF5171"/>
    <w:rsid w:val="00B028AD"/>
    <w:rsid w:val="00B02F07"/>
    <w:rsid w:val="00B13D72"/>
    <w:rsid w:val="00B16811"/>
    <w:rsid w:val="00B22481"/>
    <w:rsid w:val="00B2540A"/>
    <w:rsid w:val="00B27B8E"/>
    <w:rsid w:val="00B326BC"/>
    <w:rsid w:val="00B40E60"/>
    <w:rsid w:val="00B44F43"/>
    <w:rsid w:val="00B46BC8"/>
    <w:rsid w:val="00B61232"/>
    <w:rsid w:val="00B66941"/>
    <w:rsid w:val="00B67F85"/>
    <w:rsid w:val="00B7525B"/>
    <w:rsid w:val="00B81E4E"/>
    <w:rsid w:val="00B83B39"/>
    <w:rsid w:val="00B94EDB"/>
    <w:rsid w:val="00B9757C"/>
    <w:rsid w:val="00BB335B"/>
    <w:rsid w:val="00BC09D8"/>
    <w:rsid w:val="00BC6B66"/>
    <w:rsid w:val="00BE492A"/>
    <w:rsid w:val="00BE6FEB"/>
    <w:rsid w:val="00BF5C3C"/>
    <w:rsid w:val="00BF6B93"/>
    <w:rsid w:val="00C11481"/>
    <w:rsid w:val="00C12233"/>
    <w:rsid w:val="00C16096"/>
    <w:rsid w:val="00C200EE"/>
    <w:rsid w:val="00C345B3"/>
    <w:rsid w:val="00C36989"/>
    <w:rsid w:val="00C37DD0"/>
    <w:rsid w:val="00C407BB"/>
    <w:rsid w:val="00C426B0"/>
    <w:rsid w:val="00C45274"/>
    <w:rsid w:val="00C523DD"/>
    <w:rsid w:val="00C604FE"/>
    <w:rsid w:val="00C727E5"/>
    <w:rsid w:val="00C753E0"/>
    <w:rsid w:val="00C775B4"/>
    <w:rsid w:val="00C83A51"/>
    <w:rsid w:val="00C86246"/>
    <w:rsid w:val="00C92B2D"/>
    <w:rsid w:val="00CB6E54"/>
    <w:rsid w:val="00CC07BC"/>
    <w:rsid w:val="00CC1653"/>
    <w:rsid w:val="00CD331E"/>
    <w:rsid w:val="00CD4DD9"/>
    <w:rsid w:val="00CE0846"/>
    <w:rsid w:val="00CE1DFE"/>
    <w:rsid w:val="00CF1375"/>
    <w:rsid w:val="00CF6108"/>
    <w:rsid w:val="00CF723B"/>
    <w:rsid w:val="00CF72CD"/>
    <w:rsid w:val="00D02673"/>
    <w:rsid w:val="00D029E8"/>
    <w:rsid w:val="00D02F4A"/>
    <w:rsid w:val="00D039CC"/>
    <w:rsid w:val="00D0556B"/>
    <w:rsid w:val="00D1294E"/>
    <w:rsid w:val="00D16275"/>
    <w:rsid w:val="00D17C30"/>
    <w:rsid w:val="00D220CD"/>
    <w:rsid w:val="00D22F0A"/>
    <w:rsid w:val="00D24CCC"/>
    <w:rsid w:val="00D33932"/>
    <w:rsid w:val="00D34C64"/>
    <w:rsid w:val="00D356D5"/>
    <w:rsid w:val="00D52996"/>
    <w:rsid w:val="00D53297"/>
    <w:rsid w:val="00D54044"/>
    <w:rsid w:val="00D54AE9"/>
    <w:rsid w:val="00D55049"/>
    <w:rsid w:val="00D5641A"/>
    <w:rsid w:val="00D6154E"/>
    <w:rsid w:val="00D63AD9"/>
    <w:rsid w:val="00D642EC"/>
    <w:rsid w:val="00D70727"/>
    <w:rsid w:val="00D71E57"/>
    <w:rsid w:val="00D83526"/>
    <w:rsid w:val="00D96C99"/>
    <w:rsid w:val="00DA02EB"/>
    <w:rsid w:val="00DA2ADD"/>
    <w:rsid w:val="00DA4223"/>
    <w:rsid w:val="00DB0D48"/>
    <w:rsid w:val="00DB2FBB"/>
    <w:rsid w:val="00DB5263"/>
    <w:rsid w:val="00DB5713"/>
    <w:rsid w:val="00DB63D9"/>
    <w:rsid w:val="00DC1B28"/>
    <w:rsid w:val="00DC1BB0"/>
    <w:rsid w:val="00DC6599"/>
    <w:rsid w:val="00DF34D7"/>
    <w:rsid w:val="00E00A1F"/>
    <w:rsid w:val="00E0181D"/>
    <w:rsid w:val="00E02F56"/>
    <w:rsid w:val="00E044FF"/>
    <w:rsid w:val="00E04908"/>
    <w:rsid w:val="00E05E00"/>
    <w:rsid w:val="00E30834"/>
    <w:rsid w:val="00E341DA"/>
    <w:rsid w:val="00E448D7"/>
    <w:rsid w:val="00E67801"/>
    <w:rsid w:val="00E74CEE"/>
    <w:rsid w:val="00E76AA1"/>
    <w:rsid w:val="00E80535"/>
    <w:rsid w:val="00E80582"/>
    <w:rsid w:val="00E80E6D"/>
    <w:rsid w:val="00E8434E"/>
    <w:rsid w:val="00E84484"/>
    <w:rsid w:val="00E8500B"/>
    <w:rsid w:val="00E9085D"/>
    <w:rsid w:val="00EA7FDA"/>
    <w:rsid w:val="00EB0A82"/>
    <w:rsid w:val="00EB10FF"/>
    <w:rsid w:val="00EC051A"/>
    <w:rsid w:val="00ED1913"/>
    <w:rsid w:val="00ED442E"/>
    <w:rsid w:val="00EE03AB"/>
    <w:rsid w:val="00EE1C34"/>
    <w:rsid w:val="00EE4F3F"/>
    <w:rsid w:val="00EE6A4D"/>
    <w:rsid w:val="00EF022A"/>
    <w:rsid w:val="00EF1D59"/>
    <w:rsid w:val="00EF3E68"/>
    <w:rsid w:val="00EF4D17"/>
    <w:rsid w:val="00F07C53"/>
    <w:rsid w:val="00F14D58"/>
    <w:rsid w:val="00F21F1B"/>
    <w:rsid w:val="00F32FE4"/>
    <w:rsid w:val="00F4159D"/>
    <w:rsid w:val="00F47CB1"/>
    <w:rsid w:val="00F509D4"/>
    <w:rsid w:val="00F54124"/>
    <w:rsid w:val="00F54B76"/>
    <w:rsid w:val="00F62892"/>
    <w:rsid w:val="00F67DCB"/>
    <w:rsid w:val="00F713EC"/>
    <w:rsid w:val="00F724BB"/>
    <w:rsid w:val="00F7315C"/>
    <w:rsid w:val="00F76CB9"/>
    <w:rsid w:val="00F87FB5"/>
    <w:rsid w:val="00F91046"/>
    <w:rsid w:val="00F95F86"/>
    <w:rsid w:val="00F970C3"/>
    <w:rsid w:val="00FA59D1"/>
    <w:rsid w:val="00FA6961"/>
    <w:rsid w:val="00FC34FE"/>
    <w:rsid w:val="00FD6251"/>
    <w:rsid w:val="00FD6D1F"/>
    <w:rsid w:val="00FD76D7"/>
    <w:rsid w:val="00FE2328"/>
    <w:rsid w:val="00FF5D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F0A9E"/>
  <w15:chartTrackingRefBased/>
  <w15:docId w15:val="{CEBD0382-D30C-471D-AD20-FBBEC273A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kern w:val="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44EA"/>
    <w:pPr>
      <w:widowControl w:val="0"/>
      <w:ind w:firstLineChars="200" w:firstLine="20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44EA"/>
    <w:pPr>
      <w:tabs>
        <w:tab w:val="center" w:pos="4153"/>
        <w:tab w:val="right" w:pos="8306"/>
      </w:tabs>
      <w:snapToGrid w:val="0"/>
      <w:ind w:firstLineChars="0" w:firstLine="0"/>
      <w:jc w:val="center"/>
    </w:pPr>
    <w:rPr>
      <w:sz w:val="18"/>
      <w:szCs w:val="18"/>
    </w:rPr>
  </w:style>
  <w:style w:type="character" w:customStyle="1" w:styleId="a4">
    <w:name w:val="页眉 字符"/>
    <w:basedOn w:val="a0"/>
    <w:link w:val="a3"/>
    <w:uiPriority w:val="99"/>
    <w:rsid w:val="002E44EA"/>
    <w:rPr>
      <w:sz w:val="18"/>
      <w:szCs w:val="18"/>
    </w:rPr>
  </w:style>
  <w:style w:type="paragraph" w:styleId="a5">
    <w:name w:val="footer"/>
    <w:basedOn w:val="a"/>
    <w:link w:val="a6"/>
    <w:uiPriority w:val="99"/>
    <w:unhideWhenUsed/>
    <w:rsid w:val="002E44EA"/>
    <w:pPr>
      <w:tabs>
        <w:tab w:val="center" w:pos="4153"/>
        <w:tab w:val="right" w:pos="8306"/>
      </w:tabs>
      <w:snapToGrid w:val="0"/>
      <w:ind w:firstLineChars="0" w:firstLine="0"/>
      <w:jc w:val="left"/>
    </w:pPr>
    <w:rPr>
      <w:sz w:val="18"/>
      <w:szCs w:val="18"/>
    </w:rPr>
  </w:style>
  <w:style w:type="character" w:customStyle="1" w:styleId="a6">
    <w:name w:val="页脚 字符"/>
    <w:basedOn w:val="a0"/>
    <w:link w:val="a5"/>
    <w:uiPriority w:val="99"/>
    <w:rsid w:val="002E44EA"/>
    <w:rPr>
      <w:sz w:val="18"/>
      <w:szCs w:val="18"/>
    </w:rPr>
  </w:style>
  <w:style w:type="character" w:styleId="a7">
    <w:name w:val="Hyperlink"/>
    <w:uiPriority w:val="99"/>
    <w:unhideWhenUsed/>
    <w:qFormat/>
    <w:rsid w:val="00DF34D7"/>
    <w:rPr>
      <w:color w:val="0563C1"/>
      <w:u w:val="single"/>
    </w:rPr>
  </w:style>
  <w:style w:type="paragraph" w:styleId="a8">
    <w:name w:val="Revision"/>
    <w:hidden/>
    <w:uiPriority w:val="99"/>
    <w:semiHidden/>
    <w:rsid w:val="00020C5D"/>
  </w:style>
  <w:style w:type="paragraph" w:styleId="a9">
    <w:name w:val="annotation text"/>
    <w:basedOn w:val="a"/>
    <w:link w:val="aa"/>
    <w:uiPriority w:val="99"/>
    <w:unhideWhenUsed/>
    <w:qFormat/>
    <w:rsid w:val="00AE59BE"/>
    <w:pPr>
      <w:ind w:firstLineChars="0" w:firstLine="0"/>
      <w:jc w:val="left"/>
    </w:pPr>
    <w:rPr>
      <w:sz w:val="21"/>
    </w:rPr>
  </w:style>
  <w:style w:type="character" w:customStyle="1" w:styleId="aa">
    <w:name w:val="批注文字 字符"/>
    <w:basedOn w:val="a0"/>
    <w:link w:val="a9"/>
    <w:uiPriority w:val="99"/>
    <w:qFormat/>
    <w:rsid w:val="00AE59BE"/>
    <w:rPr>
      <w:sz w:val="21"/>
    </w:rPr>
  </w:style>
  <w:style w:type="character" w:styleId="ab">
    <w:name w:val="annotation reference"/>
    <w:uiPriority w:val="99"/>
    <w:unhideWhenUsed/>
    <w:qFormat/>
    <w:rsid w:val="00AE59BE"/>
    <w:rPr>
      <w:sz w:val="21"/>
      <w:szCs w:val="21"/>
    </w:rPr>
  </w:style>
  <w:style w:type="character" w:styleId="ac">
    <w:name w:val="Placeholder Text"/>
    <w:basedOn w:val="a0"/>
    <w:uiPriority w:val="99"/>
    <w:semiHidden/>
    <w:rsid w:val="00D83526"/>
    <w:rPr>
      <w:color w:val="666666"/>
    </w:rPr>
  </w:style>
  <w:style w:type="paragraph" w:customStyle="1" w:styleId="EndNoteBibliographyTitle">
    <w:name w:val="EndNote Bibliography Title"/>
    <w:basedOn w:val="a"/>
    <w:link w:val="EndNoteBibliographyTitle0"/>
    <w:rsid w:val="00353FCD"/>
    <w:pPr>
      <w:jc w:val="center"/>
    </w:pPr>
    <w:rPr>
      <w:noProof/>
    </w:rPr>
  </w:style>
  <w:style w:type="character" w:customStyle="1" w:styleId="EndNoteBibliographyTitle0">
    <w:name w:val="EndNote Bibliography Title 字符"/>
    <w:basedOn w:val="a0"/>
    <w:link w:val="EndNoteBibliographyTitle"/>
    <w:rsid w:val="00353FCD"/>
    <w:rPr>
      <w:noProof/>
    </w:rPr>
  </w:style>
  <w:style w:type="paragraph" w:customStyle="1" w:styleId="EndNoteBibliography">
    <w:name w:val="EndNote Bibliography"/>
    <w:basedOn w:val="a"/>
    <w:link w:val="EndNoteBibliography0"/>
    <w:rsid w:val="00353FCD"/>
    <w:pPr>
      <w:jc w:val="left"/>
    </w:pPr>
    <w:rPr>
      <w:noProof/>
    </w:rPr>
  </w:style>
  <w:style w:type="character" w:customStyle="1" w:styleId="EndNoteBibliography0">
    <w:name w:val="EndNote Bibliography 字符"/>
    <w:basedOn w:val="a0"/>
    <w:link w:val="EndNoteBibliography"/>
    <w:rsid w:val="00353FCD"/>
    <w:rPr>
      <w:noProof/>
    </w:rPr>
  </w:style>
  <w:style w:type="table" w:styleId="ad">
    <w:name w:val="Table Grid"/>
    <w:basedOn w:val="a1"/>
    <w:qFormat/>
    <w:rsid w:val="003C5764"/>
    <w:pPr>
      <w:widowControl w:val="0"/>
      <w:spacing w:line="264" w:lineRule="auto"/>
      <w:ind w:firstLineChars="200" w:firstLine="200"/>
      <w:jc w:val="both"/>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Unresolved Mention"/>
    <w:basedOn w:val="a0"/>
    <w:uiPriority w:val="99"/>
    <w:semiHidden/>
    <w:unhideWhenUsed/>
    <w:rsid w:val="009E644D"/>
    <w:rPr>
      <w:color w:val="605E5C"/>
      <w:shd w:val="clear" w:color="auto" w:fill="E1DFDD"/>
    </w:rPr>
  </w:style>
  <w:style w:type="character" w:styleId="af">
    <w:name w:val="line number"/>
    <w:basedOn w:val="a0"/>
    <w:uiPriority w:val="99"/>
    <w:semiHidden/>
    <w:unhideWhenUsed/>
    <w:rsid w:val="00BE6FEB"/>
  </w:style>
  <w:style w:type="paragraph" w:styleId="af0">
    <w:name w:val="annotation subject"/>
    <w:basedOn w:val="a9"/>
    <w:next w:val="a9"/>
    <w:link w:val="af1"/>
    <w:uiPriority w:val="99"/>
    <w:semiHidden/>
    <w:unhideWhenUsed/>
    <w:rsid w:val="00757190"/>
    <w:pPr>
      <w:ind w:firstLineChars="200" w:firstLine="200"/>
    </w:pPr>
    <w:rPr>
      <w:b/>
      <w:bCs/>
      <w:sz w:val="20"/>
    </w:rPr>
  </w:style>
  <w:style w:type="character" w:customStyle="1" w:styleId="af1">
    <w:name w:val="批注主题 字符"/>
    <w:basedOn w:val="aa"/>
    <w:link w:val="af0"/>
    <w:uiPriority w:val="99"/>
    <w:semiHidden/>
    <w:rsid w:val="00757190"/>
    <w:rPr>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8505421">
      <w:bodyDiv w:val="1"/>
      <w:marLeft w:val="0"/>
      <w:marRight w:val="0"/>
      <w:marTop w:val="0"/>
      <w:marBottom w:val="0"/>
      <w:divBdr>
        <w:top w:val="none" w:sz="0" w:space="0" w:color="auto"/>
        <w:left w:val="none" w:sz="0" w:space="0" w:color="auto"/>
        <w:bottom w:val="none" w:sz="0" w:space="0" w:color="auto"/>
        <w:right w:val="none" w:sz="0" w:space="0" w:color="auto"/>
      </w:divBdr>
    </w:div>
    <w:div w:id="204983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tiff"/><Relationship Id="rId26" Type="http://schemas.openxmlformats.org/officeDocument/2006/relationships/image" Target="media/image20.tiff"/><Relationship Id="rId21" Type="http://schemas.openxmlformats.org/officeDocument/2006/relationships/image" Target="media/image15.tiff"/><Relationship Id="rId34" Type="http://schemas.openxmlformats.org/officeDocument/2006/relationships/header" Target="header3.xml"/><Relationship Id="rId7" Type="http://schemas.openxmlformats.org/officeDocument/2006/relationships/image" Target="media/image1.tiff"/><Relationship Id="rId12" Type="http://schemas.openxmlformats.org/officeDocument/2006/relationships/image" Target="media/image6.png"/><Relationship Id="rId17" Type="http://schemas.openxmlformats.org/officeDocument/2006/relationships/image" Target="media/image11.tiff"/><Relationship Id="rId25" Type="http://schemas.openxmlformats.org/officeDocument/2006/relationships/image" Target="media/image19.png"/><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image" Target="media/image14.tiff"/><Relationship Id="rId29" Type="http://schemas.openxmlformats.org/officeDocument/2006/relationships/image" Target="media/image23.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image" Target="media/image18.tiff"/><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fontTable" Target="fontTable.xml"/><Relationship Id="rId10" Type="http://schemas.openxmlformats.org/officeDocument/2006/relationships/image" Target="media/image4.tiff"/><Relationship Id="rId19" Type="http://schemas.openxmlformats.org/officeDocument/2006/relationships/image" Target="media/image13.tiff"/><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tiff"/><Relationship Id="rId22" Type="http://schemas.openxmlformats.org/officeDocument/2006/relationships/image" Target="media/image16.tiff"/><Relationship Id="rId27" Type="http://schemas.openxmlformats.org/officeDocument/2006/relationships/image" Target="media/image21.jpeg"/><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2.tiff"/><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FF1A5-48C6-4617-8722-6544BD8CA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24</Pages>
  <Words>4271</Words>
  <Characters>24351</Characters>
  <Application>Microsoft Office Word</Application>
  <DocSecurity>0</DocSecurity>
  <Lines>202</Lines>
  <Paragraphs>57</Paragraphs>
  <ScaleCrop>false</ScaleCrop>
  <Company/>
  <LinksUpToDate>false</LinksUpToDate>
  <CharactersWithSpaces>28565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Jinlong Luo</dc:creator>
  <cp:keywords/>
  <dc:description/>
  <cp:lastModifiedBy>yi wang</cp:lastModifiedBy>
  <cp:revision>5</cp:revision>
  <dcterms:created xsi:type="dcterms:W3CDTF">2026-03-02T13:49:00Z</dcterms:created>
  <dcterms:modified xsi:type="dcterms:W3CDTF">2026-04-17T10:19:00Z</dcterms:modified>
</cp:coreProperties>
</file>