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2E1E6" w14:textId="0839A92A" w:rsidR="005E325D" w:rsidRDefault="00EA1AC7" w:rsidP="005E32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1AC7">
        <w:rPr>
          <w:rFonts w:ascii="Times New Roman" w:hAnsi="Times New Roman" w:cs="Times New Roman" w:hint="eastAsia"/>
          <w:b/>
          <w:bCs/>
          <w:sz w:val="24"/>
          <w:szCs w:val="24"/>
        </w:rPr>
        <w:t>Supporting</w:t>
      </w:r>
      <w:r w:rsidR="005E325D" w:rsidRPr="006812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E7797" w:rsidRPr="0068128E">
        <w:rPr>
          <w:rFonts w:ascii="Times New Roman" w:hAnsi="Times New Roman" w:cs="Times New Roman"/>
          <w:b/>
          <w:bCs/>
          <w:sz w:val="24"/>
          <w:szCs w:val="24"/>
        </w:rPr>
        <w:t>information</w:t>
      </w:r>
    </w:p>
    <w:p w14:paraId="398A0965" w14:textId="77777777" w:rsidR="005C4DFB" w:rsidRPr="0068128E" w:rsidRDefault="005C4DFB" w:rsidP="005E32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A9209F" w14:textId="77777777" w:rsidR="0077476F" w:rsidRDefault="0077476F" w:rsidP="0077476F">
      <w:pPr>
        <w:rPr>
          <w:rFonts w:ascii="Times New Roman" w:eastAsiaTheme="majorHAnsi" w:hAnsi="Times New Roman" w:cs="Times New Roman"/>
          <w:b/>
          <w:bCs/>
          <w:spacing w:val="-10"/>
          <w:kern w:val="0"/>
          <w:sz w:val="24"/>
          <w:szCs w:val="24"/>
        </w:rPr>
      </w:pPr>
      <w:r w:rsidRPr="00D0649A">
        <w:rPr>
          <w:rFonts w:ascii="Times New Roman" w:eastAsiaTheme="majorHAnsi" w:hAnsi="Times New Roman" w:cs="Times New Roman"/>
          <w:b/>
          <w:bCs/>
          <w:spacing w:val="-10"/>
          <w:kern w:val="0"/>
          <w:sz w:val="24"/>
          <w:szCs w:val="24"/>
        </w:rPr>
        <w:t>Un</w:t>
      </w:r>
      <w:r>
        <w:rPr>
          <w:rFonts w:ascii="Times New Roman" w:eastAsiaTheme="majorHAnsi" w:hAnsi="Times New Roman" w:cs="Times New Roman" w:hint="eastAsia"/>
          <w:b/>
          <w:bCs/>
          <w:spacing w:val="-10"/>
          <w:kern w:val="0"/>
          <w:sz w:val="24"/>
          <w:szCs w:val="24"/>
        </w:rPr>
        <w:t>l</w:t>
      </w:r>
      <w:r w:rsidRPr="00D0649A">
        <w:rPr>
          <w:rFonts w:ascii="Times New Roman" w:eastAsiaTheme="majorHAnsi" w:hAnsi="Times New Roman" w:cs="Times New Roman"/>
          <w:b/>
          <w:bCs/>
          <w:spacing w:val="-10"/>
          <w:kern w:val="0"/>
          <w:sz w:val="24"/>
          <w:szCs w:val="24"/>
        </w:rPr>
        <w:t xml:space="preserve">ocking Caspase-8 Enables Pt(IV) to Trigger Robust Caspase-3/GSDME-Mediated Pyroptosis via Drug Co-delivery in Chemoresistant Bladder Cancer </w:t>
      </w:r>
    </w:p>
    <w:p w14:paraId="555559F7" w14:textId="77777777" w:rsidR="0077476F" w:rsidRPr="004D6BB2" w:rsidRDefault="0077476F" w:rsidP="0077476F">
      <w:pPr>
        <w:rPr>
          <w:rFonts w:ascii="Times New Roman" w:hAnsi="Times New Roman" w:cs="Times New Roman"/>
          <w:sz w:val="24"/>
          <w:szCs w:val="24"/>
        </w:rPr>
      </w:pPr>
    </w:p>
    <w:p w14:paraId="46692947" w14:textId="77777777" w:rsidR="0077476F" w:rsidRPr="00D0649A" w:rsidRDefault="0077476F" w:rsidP="0077476F">
      <w:pPr>
        <w:rPr>
          <w:rFonts w:ascii="Times New Roman" w:eastAsiaTheme="majorHAnsi" w:hAnsi="Times New Roman" w:cs="Times New Roman"/>
          <w:b/>
          <w:bCs/>
          <w:spacing w:val="-10"/>
          <w:kern w:val="0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</w:rPr>
        <w:t>Jintao Wen</w:t>
      </w: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1,2</w:t>
      </w:r>
      <w:r w:rsidRPr="00D0649A">
        <w:rPr>
          <w:rFonts w:ascii="Times New Roman" w:hAnsi="Times New Roman" w:cs="Times New Roman"/>
          <w:sz w:val="24"/>
          <w:szCs w:val="24"/>
        </w:rPr>
        <w:t>†, Baotong Zhou</w:t>
      </w: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3,4</w:t>
      </w:r>
      <w:r w:rsidRPr="00D0649A">
        <w:rPr>
          <w:rFonts w:ascii="Times New Roman" w:hAnsi="Times New Roman" w:cs="Times New Roman"/>
          <w:sz w:val="24"/>
          <w:szCs w:val="24"/>
        </w:rPr>
        <w:t>†, Hanchen Zhang</w:t>
      </w: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D0649A">
        <w:rPr>
          <w:rFonts w:ascii="Times New Roman" w:hAnsi="Times New Roman" w:cs="Times New Roman"/>
          <w:sz w:val="24"/>
          <w:szCs w:val="24"/>
        </w:rPr>
        <w:t>, Yongbo Tang</w:t>
      </w: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1,2</w:t>
      </w:r>
      <w:r w:rsidRPr="00D0649A">
        <w:rPr>
          <w:rFonts w:ascii="Times New Roman" w:hAnsi="Times New Roman" w:cs="Times New Roman"/>
          <w:sz w:val="24"/>
          <w:szCs w:val="24"/>
        </w:rPr>
        <w:t>, Haiwei Hu</w:t>
      </w: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1,2</w:t>
      </w:r>
      <w:r w:rsidRPr="00D0649A">
        <w:rPr>
          <w:rFonts w:ascii="Times New Roman" w:hAnsi="Times New Roman" w:cs="Times New Roman"/>
          <w:sz w:val="24"/>
          <w:szCs w:val="24"/>
        </w:rPr>
        <w:t>, Haihua Xiao</w:t>
      </w: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D0649A">
        <w:rPr>
          <w:rFonts w:ascii="Times New Roman" w:hAnsi="Times New Roman" w:cs="Times New Roman"/>
          <w:sz w:val="24"/>
          <w:szCs w:val="24"/>
        </w:rPr>
        <w:t>, Bo Ge</w:t>
      </w: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1,2</w:t>
      </w:r>
      <w:r w:rsidRPr="00D0649A">
        <w:rPr>
          <w:rFonts w:ascii="Times New Roman" w:hAnsi="Times New Roman" w:cs="Times New Roman"/>
          <w:sz w:val="24"/>
          <w:szCs w:val="24"/>
        </w:rPr>
        <w:t>*</w:t>
      </w:r>
    </w:p>
    <w:p w14:paraId="4B616CBF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</w:p>
    <w:p w14:paraId="7395C110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</w:rPr>
        <w:t>Affiliations:</w:t>
      </w:r>
    </w:p>
    <w:p w14:paraId="531C6F4F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D0649A">
        <w:rPr>
          <w:rFonts w:ascii="Times New Roman" w:hAnsi="Times New Roman" w:cs="Times New Roman"/>
          <w:sz w:val="24"/>
          <w:szCs w:val="24"/>
        </w:rPr>
        <w:t xml:space="preserve"> Department of Urology, The Second Affiliated Hospital of Guilin Medical University, Guilin 541199, China</w:t>
      </w:r>
    </w:p>
    <w:p w14:paraId="04E70424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0649A">
        <w:rPr>
          <w:rFonts w:ascii="Times New Roman" w:hAnsi="Times New Roman" w:cs="Times New Roman"/>
          <w:sz w:val="24"/>
          <w:szCs w:val="24"/>
        </w:rPr>
        <w:t xml:space="preserve"> Guangxi Key Laboratory of Metabolic Reprogramming and Intelligent Medical Engineering for Chronic Diseases, The Second Affiliated Hospital of Guilin Medical University, Guilin 541199, China</w:t>
      </w:r>
    </w:p>
    <w:p w14:paraId="2D9695C6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bookmarkStart w:id="0" w:name="_Hlk212983747"/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0649A">
        <w:rPr>
          <w:rFonts w:ascii="Times New Roman" w:hAnsi="Times New Roman" w:cs="Times New Roman"/>
          <w:sz w:val="24"/>
          <w:szCs w:val="24"/>
        </w:rPr>
        <w:t xml:space="preserve"> Guangzhou Institutes of Biomedicine and Health, Chinese Academy of Sciences, Guangzhou 510530, China </w:t>
      </w:r>
    </w:p>
    <w:p w14:paraId="04FC855B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D0649A">
        <w:rPr>
          <w:rFonts w:ascii="Times New Roman" w:hAnsi="Times New Roman" w:cs="Times New Roman"/>
          <w:sz w:val="24"/>
          <w:szCs w:val="24"/>
        </w:rPr>
        <w:t xml:space="preserve"> Department of Urology, Shenzhen Following Precision Medical Research Institute, The Third Affiliated Hospital of Shenzhen University, Shenzhen 518000, China</w:t>
      </w:r>
    </w:p>
    <w:bookmarkEnd w:id="0"/>
    <w:p w14:paraId="66949EEA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D0649A">
        <w:rPr>
          <w:rFonts w:ascii="Times New Roman" w:hAnsi="Times New Roman" w:cs="Times New Roman"/>
          <w:sz w:val="24"/>
          <w:szCs w:val="24"/>
        </w:rPr>
        <w:t xml:space="preserve"> Beijing National Laboratory for Molecular Sciences, Laboratory of Polymer Physics and Chemistry, Institute of Chemistry, Chinese Academy of Sciences, Beijing 100190, China</w:t>
      </w:r>
    </w:p>
    <w:p w14:paraId="6EA17350" w14:textId="77777777" w:rsidR="0077476F" w:rsidRDefault="0077476F" w:rsidP="0077476F">
      <w:pPr>
        <w:rPr>
          <w:rFonts w:ascii="Times New Roman" w:hAnsi="Times New Roman" w:cs="Times New Roman"/>
          <w:sz w:val="24"/>
          <w:szCs w:val="24"/>
        </w:rPr>
      </w:pPr>
    </w:p>
    <w:p w14:paraId="42D1AB04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</w:rPr>
        <w:t>Corresponding Authors:</w:t>
      </w:r>
    </w:p>
    <w:p w14:paraId="009A821D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</w:rPr>
        <w:t>*Bo Ge - Department of Urology, The Second Affiliated Hospital of Guilin Medical University, Guilin 541199, China; Email: ge1123@sina.com</w:t>
      </w:r>
    </w:p>
    <w:p w14:paraId="427E34DA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</w:p>
    <w:p w14:paraId="7EBE7060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</w:rPr>
        <w:t>Footnote:</w:t>
      </w:r>
    </w:p>
    <w:p w14:paraId="6AEA0EBB" w14:textId="77777777" w:rsidR="0077476F" w:rsidRPr="00D0649A" w:rsidRDefault="0077476F" w:rsidP="0077476F">
      <w:pPr>
        <w:rPr>
          <w:rFonts w:ascii="Times New Roman" w:hAnsi="Times New Roman" w:cs="Times New Roman"/>
          <w:sz w:val="24"/>
          <w:szCs w:val="24"/>
        </w:rPr>
      </w:pPr>
      <w:r w:rsidRPr="00D0649A">
        <w:rPr>
          <w:rFonts w:ascii="Times New Roman" w:hAnsi="Times New Roman" w:cs="Times New Roman"/>
          <w:sz w:val="24"/>
          <w:szCs w:val="24"/>
        </w:rPr>
        <w:t>† These authors contributed equally to this work.</w:t>
      </w:r>
    </w:p>
    <w:p w14:paraId="332BDD49" w14:textId="133E7C05" w:rsidR="004E5353" w:rsidRPr="0068128E" w:rsidRDefault="004E5353" w:rsidP="005E325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br w:type="page"/>
      </w:r>
    </w:p>
    <w:p w14:paraId="110F03C1" w14:textId="080FBE03" w:rsidR="00532440" w:rsidRPr="0068128E" w:rsidRDefault="00532440" w:rsidP="001A0CA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of Contents</w:t>
      </w:r>
    </w:p>
    <w:p w14:paraId="2D9A3E9E" w14:textId="31E0D93C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>Supporting Materials and Methods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3</w:t>
      </w:r>
    </w:p>
    <w:p w14:paraId="74C3E5DF" w14:textId="7BE5F599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S1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</w:r>
        <w:r>
          <w:rPr>
            <w:rFonts w:ascii="Times New Roman" w:hAnsi="Times New Roman" w:cs="Times New Roman" w:hint="eastAsia"/>
            <w:b/>
            <w:bCs/>
            <w:kern w:val="0"/>
            <w:sz w:val="24"/>
            <w:szCs w:val="24"/>
          </w:rPr>
          <w:t>7</w:t>
        </w:r>
      </w:hyperlink>
    </w:p>
    <w:p w14:paraId="1E79AA40" w14:textId="0C5A180A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2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</w:r>
        <w:r>
          <w:rPr>
            <w:rFonts w:ascii="Times New Roman" w:hAnsi="Times New Roman" w:cs="Times New Roman" w:hint="eastAsia"/>
            <w:b/>
            <w:bCs/>
            <w:kern w:val="0"/>
            <w:sz w:val="24"/>
            <w:szCs w:val="24"/>
          </w:rPr>
          <w:t>8</w:t>
        </w:r>
      </w:hyperlink>
    </w:p>
    <w:p w14:paraId="31561541" w14:textId="58FC0CD4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3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</w:r>
        <w:r>
          <w:rPr>
            <w:rFonts w:ascii="Times New Roman" w:hAnsi="Times New Roman" w:cs="Times New Roman" w:hint="eastAsia"/>
            <w:b/>
            <w:bCs/>
            <w:kern w:val="0"/>
            <w:sz w:val="24"/>
            <w:szCs w:val="24"/>
          </w:rPr>
          <w:t>9</w:t>
        </w:r>
      </w:hyperlink>
    </w:p>
    <w:p w14:paraId="0EBED07C" w14:textId="57D3FF05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4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10</w:t>
      </w:r>
    </w:p>
    <w:p w14:paraId="077B874B" w14:textId="2412B1E1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5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  <w:t>1</w:t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1</w:t>
      </w:r>
    </w:p>
    <w:p w14:paraId="3ED4A74B" w14:textId="29D73DEE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6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  <w:t>1</w:t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2</w:t>
      </w:r>
    </w:p>
    <w:p w14:paraId="09052715" w14:textId="71254B17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7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  <w:t>1</w:t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3</w:t>
      </w:r>
    </w:p>
    <w:p w14:paraId="5F32183A" w14:textId="25A1144E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8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  <w:t>1</w:t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4</w:t>
      </w:r>
    </w:p>
    <w:p w14:paraId="1735E8E7" w14:textId="5B081704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9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  <w:t>1</w:t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5</w:t>
      </w:r>
    </w:p>
    <w:p w14:paraId="2875006B" w14:textId="43E1220A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10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  <w:t>1</w:t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6</w:t>
      </w:r>
    </w:p>
    <w:p w14:paraId="046E6AC4" w14:textId="72397E36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S1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1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  <w:t>1</w:t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7</w:t>
      </w:r>
    </w:p>
    <w:p w14:paraId="75E2CF50" w14:textId="18F94030" w:rsid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Figure S1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2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  <w:t>1</w:t>
        </w:r>
      </w:hyperlink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8</w:t>
      </w:r>
    </w:p>
    <w:p w14:paraId="416EDFED" w14:textId="5CF7661D" w:rsidR="00790B1C" w:rsidRPr="001D0CBB" w:rsidRDefault="001D0CBB" w:rsidP="001D0CBB">
      <w:pPr>
        <w:widowControl/>
        <w:tabs>
          <w:tab w:val="right" w:leader="dot" w:pos="9072"/>
        </w:tabs>
        <w:spacing w:line="520" w:lineRule="exact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Table S1</w:t>
      </w:r>
      <w:r w:rsidRPr="001D0CB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hyperlink w:anchor="_Toc14211_WPSOffice_Level2" w:history="1">
        <w:r w:rsidRPr="001D0CBB">
          <w:rPr>
            <w:rFonts w:ascii="Times New Roman" w:hAnsi="Times New Roman" w:cs="Times New Roman"/>
            <w:b/>
            <w:bCs/>
            <w:kern w:val="0"/>
            <w:sz w:val="24"/>
            <w:szCs w:val="24"/>
          </w:rPr>
          <w:tab/>
          <w:t>1</w:t>
        </w:r>
        <w:r>
          <w:rPr>
            <w:rFonts w:ascii="Times New Roman" w:hAnsi="Times New Roman" w:cs="Times New Roman" w:hint="eastAsia"/>
            <w:b/>
            <w:bCs/>
            <w:kern w:val="0"/>
            <w:sz w:val="24"/>
            <w:szCs w:val="24"/>
          </w:rPr>
          <w:t>9</w:t>
        </w:r>
      </w:hyperlink>
      <w:r w:rsidR="00790B1C" w:rsidRPr="001D0CBB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2CA0A5A" w14:textId="18D6E93F" w:rsidR="00790B1C" w:rsidRPr="0068128E" w:rsidRDefault="00EA1AC7" w:rsidP="00221D0C">
      <w:pPr>
        <w:spacing w:line="48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EA1AC7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Supporting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790B1C" w:rsidRPr="0068128E">
        <w:rPr>
          <w:rFonts w:ascii="Times New Roman" w:hAnsi="Times New Roman" w:cs="Times New Roman"/>
          <w:b/>
          <w:bCs/>
          <w:sz w:val="24"/>
          <w:szCs w:val="24"/>
        </w:rPr>
        <w:t>Methods and Materials</w:t>
      </w:r>
    </w:p>
    <w:p w14:paraId="2687AB5E" w14:textId="4D609842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Materials and Reagents</w:t>
      </w:r>
    </w:p>
    <w:p w14:paraId="3DC5F43D" w14:textId="7777777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>Cisplatin (CisPt) and gemcitabine were purchased from Shandong Boyuan Pharmaceutical Co., Ltd. (Shandong, China). 1,2,4,5-cyclohexanetetracarboxylic dianhydride (HPMDA) was obtained from Shanghai Aladdin Biochemical Technology Co., Ltd. (Shanghai, China). Methoxy poly(ethylene glycol) (mPEG5k-OH, molecular weight: 5000) was sourced from Alfa Aesar (USA). Anhydrous N,N-dimethylformamide (DMF), 3-(4,5-dimethylthiazol-2-yl)-2,5-diphenyltetrazolium bromide (MTT), and hydrogen peroxide (H₂O₂) were procured from Beijing Energy and Chemical Co., Ltd. RPMI-1640 medium, 0.25% trypsin-EDTA, fetal bovine serum (FBS), and penicillin-streptomycin (P/S) were supplied by Gibco (Grand Island, NY, USA). 2-(4-Amidinophenyl)-1H-indole-6-carboxamidine (DAPI) was purchased from Sigma-Aldrich (USA). Aloxistatin (E64d) was acquired from Shanghai Bide Pharmaceutical Technology Co., Ltd. (Shanghai, China).</w:t>
      </w:r>
    </w:p>
    <w:p w14:paraId="66F86F8D" w14:textId="77777777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DC5627" w14:textId="0DBDFD63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Characterization Methods and Instruments</w:t>
      </w:r>
    </w:p>
    <w:p w14:paraId="16E1FF85" w14:textId="7777777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 xml:space="preserve">Chemical shifts (δ) were referenced to tetramethylsilane (TMS, δ 0.00 ppm) using residual proton solvent peaks as internal standards, with data reported in parts per million (ppm). Inductively coupled plasma mass spectrometry (ICP-MS) analysis was performed using an Agilent 7700 spectrometer (Agilent Technologies, USA). Transmission electron microscopy (TEM) images were acquired on an HT-7700 microscope (Hitachi, Japan). Dynamic light scattering (DLS) measurements were conducted with a Malvern Nano Zetasizer ZS90 (Malvern Instruments, UK). Flow cytometry (FCM) analysis was carried out on a CytoFLEX flow cytometer (Beckman Coulter, San Jose, CA, USA). Confocal laser scanning microscopy (CLSM) images were captured using an LSM-880 microscope (Carl Zeiss AG, Germany). Western blot analysis was performed with a multifunctional imaging system (Servicebio, Wuhan, China). </w:t>
      </w:r>
      <w:r w:rsidRPr="0068128E">
        <w:rPr>
          <w:rFonts w:ascii="Times New Roman" w:hAnsi="Times New Roman" w:cs="Times New Roman"/>
          <w:i/>
          <w:iCs/>
          <w:sz w:val="24"/>
          <w:szCs w:val="24"/>
        </w:rPr>
        <w:t>In vivo</w:t>
      </w:r>
      <w:r w:rsidRPr="0068128E">
        <w:rPr>
          <w:rFonts w:ascii="Times New Roman" w:hAnsi="Times New Roman" w:cs="Times New Roman"/>
          <w:sz w:val="24"/>
          <w:szCs w:val="24"/>
        </w:rPr>
        <w:t xml:space="preserve"> fluorescence imaging of mice was conducted using an IVIS Lumina imaging system (PerkinElmer, USA).</w:t>
      </w:r>
    </w:p>
    <w:p w14:paraId="49B6786A" w14:textId="77777777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68058D" w14:textId="0A8D229B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Antibodies and Detection Reagents</w:t>
      </w:r>
    </w:p>
    <w:p w14:paraId="6FA9DA38" w14:textId="7777777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>Rabbit monoclonal antibodies against Vinculin, Caspase-3, Cleaved Caspase-3, GSDMD, and GSDME were purchased from Affinity Biosciences (USA). Polyclonal antibodies targeting Cathepsin H and Caspase-8 were obtained from Proteintech (Wuhan Sanying Biotechnology Co., Ltd., China). Anti-GSDME/GSDMD (N-terminal) antibodies were sourced from Abcam (Cambridge, UK). The Enhanced ATP Assay Kit, Phalloidin, and Annexin V-FITC Apoptosis Detection Kit were procured from Beyotime Biotechnology Co., Ltd. (Shanghai, China).</w:t>
      </w:r>
    </w:p>
    <w:p w14:paraId="62259B0A" w14:textId="77777777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B9C2D8" w14:textId="13518BFA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Flow Cytometry Antibodies and Cytokines</w:t>
      </w:r>
    </w:p>
    <w:p w14:paraId="0C74CE1C" w14:textId="7777777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 xml:space="preserve">Cytokines (IL-4, GM-CSF) and fluorochrome-conjugated antibodies for flow cytometry, including PE-labeled anti-mouse CD11c, FITC-labeled anti-mouse CD80, APC-labeled anti-mouse CD86, PE-labeled anti-mouse F4/80, APC-labeled anti-mouse </w:t>
      </w:r>
      <w:r w:rsidRPr="0068128E">
        <w:rPr>
          <w:rFonts w:ascii="Times New Roman" w:hAnsi="Times New Roman" w:cs="Times New Roman"/>
          <w:sz w:val="24"/>
          <w:szCs w:val="24"/>
        </w:rPr>
        <w:lastRenderedPageBreak/>
        <w:t>CD206, PE-labeled anti-mouse CD3, FITC-labeled anti-mouse CD8, APC-labeled anti-mouse CD4, APC-labeled anti-mouse CD62L, and PerCP/Cyanine5.5-labeled anti-mouse CD44, were purchased from BioLegend (San Diego, CA, USA).</w:t>
      </w:r>
    </w:p>
    <w:p w14:paraId="711672E0" w14:textId="77777777" w:rsidR="00B940B2" w:rsidRPr="0068128E" w:rsidRDefault="00B940B2" w:rsidP="00B940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6E42B3" w14:textId="27F4B026" w:rsidR="00B940B2" w:rsidRPr="0068128E" w:rsidRDefault="00B940B2" w:rsidP="00B940B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Cell Culture and Animals</w:t>
      </w:r>
    </w:p>
    <w:p w14:paraId="5D01C523" w14:textId="77777777" w:rsidR="00B940B2" w:rsidRPr="0068128E" w:rsidRDefault="00B940B2" w:rsidP="00B940B2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>T24 and MB49 cells were cultured in RPMI-1640 and DMEM medium, respectively, supplemented with 10% fetal bovine serum (FBS) and 100 U/mL penicillin-streptomycin, under standard conditions (37°C, 5% CO₂). Four-week-old male C57BL/6 mice were purchased from Vital River Laboratory Animal Technology Co., Ltd. (Beijing, China).</w:t>
      </w:r>
    </w:p>
    <w:p w14:paraId="0B3A490C" w14:textId="77777777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8BCA33" w14:textId="5A4D58A6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Preparation of NP2@Cy5.5</w:t>
      </w:r>
    </w:p>
    <w:p w14:paraId="0CD8AFF7" w14:textId="5957265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>PHHM (10 mg), Cy5.5 (0.25 mg), Pt(IV) (1 mg), and E64d (1 mg) were co-dissolved in 1 mL dimethyl sulfoxide (DMSO) and stirred at room temperature for 10 minutes. The mixture was transferred into a dialysis bag (MWCO: 3,500 Da) and dialyzed against deionized water for 24 hours to remove DMSO. The supernatant was collected to obtain NP2@Cy5.5.</w:t>
      </w:r>
    </w:p>
    <w:p w14:paraId="4B7D91E8" w14:textId="7777777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</w:p>
    <w:p w14:paraId="693A0792" w14:textId="1859F6A7" w:rsidR="00790B1C" w:rsidRPr="0068128E" w:rsidRDefault="00B940B2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NP@Pt(IV)-E64d</w:t>
      </w:r>
      <w:r w:rsidR="00790B1C" w:rsidRPr="0068128E">
        <w:rPr>
          <w:rFonts w:ascii="Times New Roman" w:hAnsi="Times New Roman" w:cs="Times New Roman"/>
          <w:b/>
          <w:bCs/>
          <w:sz w:val="24"/>
          <w:szCs w:val="24"/>
        </w:rPr>
        <w:t>-Induced Apoptosis in Resistant Cells</w:t>
      </w:r>
    </w:p>
    <w:p w14:paraId="72416D83" w14:textId="18FC76E6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 xml:space="preserve">MB49-R cells (3×10⁵ cells/well) were seeded in 12-well plates and treated with CisPt, Pt(IV), </w:t>
      </w:r>
      <w:r w:rsidR="00B940B2" w:rsidRPr="0068128E">
        <w:rPr>
          <w:rFonts w:ascii="Times New Roman" w:hAnsi="Times New Roman" w:cs="Times New Roman"/>
          <w:sz w:val="24"/>
          <w:szCs w:val="24"/>
        </w:rPr>
        <w:t>NP@Pt(IV)</w:t>
      </w:r>
      <w:r w:rsidRPr="0068128E">
        <w:rPr>
          <w:rFonts w:ascii="Times New Roman" w:hAnsi="Times New Roman" w:cs="Times New Roman"/>
          <w:sz w:val="24"/>
          <w:szCs w:val="24"/>
        </w:rPr>
        <w:t xml:space="preserve">, or </w:t>
      </w:r>
      <w:r w:rsidR="00B940B2" w:rsidRPr="0068128E">
        <w:rPr>
          <w:rFonts w:ascii="Times New Roman" w:hAnsi="Times New Roman" w:cs="Times New Roman"/>
          <w:sz w:val="24"/>
          <w:szCs w:val="24"/>
        </w:rPr>
        <w:t>NP@Pt(IV)-E64d</w:t>
      </w:r>
      <w:r w:rsidRPr="0068128E">
        <w:rPr>
          <w:rFonts w:ascii="Times New Roman" w:hAnsi="Times New Roman" w:cs="Times New Roman"/>
          <w:sz w:val="24"/>
          <w:szCs w:val="24"/>
        </w:rPr>
        <w:t xml:space="preserve"> (5 </w:t>
      </w:r>
      <w:r w:rsidRPr="0068128E">
        <w:rPr>
          <w:rFonts w:ascii="Times New Roman" w:eastAsia="等线" w:hAnsi="Times New Roman" w:cs="Times New Roman"/>
          <w:sz w:val="24"/>
          <w:szCs w:val="24"/>
        </w:rPr>
        <w:t>μ</w:t>
      </w:r>
      <w:r w:rsidRPr="0068128E">
        <w:rPr>
          <w:rFonts w:ascii="Times New Roman" w:hAnsi="Times New Roman" w:cs="Times New Roman"/>
          <w:sz w:val="24"/>
          <w:szCs w:val="24"/>
        </w:rPr>
        <w:t>M Pt/E64d) for 72 hours. Cells were harvested, stained with Annexin V-FITC/PI (BD Biosciences) for 15 minutes in the dark, and analyzed by flow cytometry (CytoFLEX, Beckman Coulter). Apoptotic populations were quantified as follows: early apoptosis (Annexin V⁺/PI⁻), late apoptosis (Annexin V⁺/PI⁺), and necrosis (Annexin V⁻/PI⁺).</w:t>
      </w:r>
    </w:p>
    <w:p w14:paraId="531335FF" w14:textId="7777777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</w:p>
    <w:p w14:paraId="58C863C1" w14:textId="0542819E" w:rsidR="000C6B74" w:rsidRPr="0068128E" w:rsidRDefault="000C6B74" w:rsidP="000C6B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Detection of Calreticulin (CRT) Expression (Immunogenic Cell Death Biomarker)</w:t>
      </w:r>
    </w:p>
    <w:p w14:paraId="1AA7D3F5" w14:textId="68EDFAB5" w:rsidR="000C6B74" w:rsidRPr="0068128E" w:rsidRDefault="000C6B74" w:rsidP="000C6B74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>MB49-R cells were seeded in 24-well (8×10⁴ cells/well, CLSM) or 12-well (4</w:t>
      </w:r>
      <w:r w:rsidRPr="0068128E">
        <w:rPr>
          <w:rFonts w:ascii="Times New Roman" w:eastAsia="等线" w:hAnsi="Times New Roman" w:cs="Times New Roman"/>
          <w:sz w:val="24"/>
          <w:szCs w:val="24"/>
        </w:rPr>
        <w:t>×</w:t>
      </w:r>
      <w:r w:rsidRPr="0068128E">
        <w:rPr>
          <w:rFonts w:ascii="Times New Roman" w:hAnsi="Times New Roman" w:cs="Times New Roman"/>
          <w:sz w:val="24"/>
          <w:szCs w:val="24"/>
        </w:rPr>
        <w:t xml:space="preserve">10⁵ cells/well, flow cytometry) plates and treated with PBS, CisPt, Pt(IV), Pt(IV)+E64d, </w:t>
      </w:r>
      <w:r w:rsidR="00B940B2" w:rsidRPr="0068128E">
        <w:rPr>
          <w:rFonts w:ascii="Times New Roman" w:hAnsi="Times New Roman" w:cs="Times New Roman"/>
          <w:sz w:val="24"/>
          <w:szCs w:val="24"/>
        </w:rPr>
        <w:t>NP@Pt(IV)</w:t>
      </w:r>
      <w:r w:rsidRPr="0068128E">
        <w:rPr>
          <w:rFonts w:ascii="Times New Roman" w:hAnsi="Times New Roman" w:cs="Times New Roman"/>
          <w:sz w:val="24"/>
          <w:szCs w:val="24"/>
        </w:rPr>
        <w:t xml:space="preserve">, or </w:t>
      </w:r>
      <w:r w:rsidR="00B940B2" w:rsidRPr="0068128E">
        <w:rPr>
          <w:rFonts w:ascii="Times New Roman" w:hAnsi="Times New Roman" w:cs="Times New Roman"/>
          <w:sz w:val="24"/>
          <w:szCs w:val="24"/>
        </w:rPr>
        <w:t>NP@Pt(IV)-E64d</w:t>
      </w:r>
      <w:r w:rsidRPr="0068128E">
        <w:rPr>
          <w:rFonts w:ascii="Times New Roman" w:hAnsi="Times New Roman" w:cs="Times New Roman"/>
          <w:sz w:val="24"/>
          <w:szCs w:val="24"/>
        </w:rPr>
        <w:t xml:space="preserve"> (5 </w:t>
      </w:r>
      <w:r w:rsidRPr="0068128E">
        <w:rPr>
          <w:rFonts w:ascii="Times New Roman" w:eastAsia="等线" w:hAnsi="Times New Roman" w:cs="Times New Roman"/>
          <w:sz w:val="24"/>
          <w:szCs w:val="24"/>
        </w:rPr>
        <w:t>μ</w:t>
      </w:r>
      <w:r w:rsidRPr="0068128E">
        <w:rPr>
          <w:rFonts w:ascii="Times New Roman" w:hAnsi="Times New Roman" w:cs="Times New Roman"/>
          <w:sz w:val="24"/>
          <w:szCs w:val="24"/>
        </w:rPr>
        <w:t>M Pt/E64d) for 12 hours. CLSM Analysis: Cells were fixed with 4% paraformaldehyde, incubated with anti-CRT primary antibody (1:200, Abcam) for 2 hours (37°C), followed by Alexa Fluor 488-conjugated secondary antibody (1:500, 1 hour, dark). Nuclei were stained with DAPI. CRT surface exposure (green fluorescence) was imaged using an LSM-880 confocal microscope (Zeiss, Germany). Flow Cytometry: Cells were blocked with 1% BSA, stained with anti-CRT antibody (1:200, 1 hour) and Alexa Fluor 488 secondary antibody (1:500, 30 minutes, dark), and analyzed for mean fluorescence intensity (MFI) using a CytoFLEX flow cytometer.</w:t>
      </w:r>
    </w:p>
    <w:p w14:paraId="337B269C" w14:textId="77777777" w:rsidR="000C6B74" w:rsidRPr="0068128E" w:rsidRDefault="000C6B74" w:rsidP="000C6B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5F6D68" w14:textId="289F4B38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HMGB1 Protein Expression (ICD Biomarker)</w:t>
      </w:r>
    </w:p>
    <w:p w14:paraId="04F50C4C" w14:textId="44E955B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 xml:space="preserve">MB49-R cells (8×10⁴ cells/well) in 24-well plates with coverslips were treated with PBS, CisPt, Pt(IV), Pt(IV)+E64d, </w:t>
      </w:r>
      <w:r w:rsidR="00B940B2" w:rsidRPr="0068128E">
        <w:rPr>
          <w:rFonts w:ascii="Times New Roman" w:hAnsi="Times New Roman" w:cs="Times New Roman"/>
          <w:sz w:val="24"/>
          <w:szCs w:val="24"/>
        </w:rPr>
        <w:t>NP@Pt(IV)</w:t>
      </w:r>
      <w:r w:rsidRPr="0068128E">
        <w:rPr>
          <w:rFonts w:ascii="Times New Roman" w:hAnsi="Times New Roman" w:cs="Times New Roman"/>
          <w:sz w:val="24"/>
          <w:szCs w:val="24"/>
        </w:rPr>
        <w:t xml:space="preserve">, or </w:t>
      </w:r>
      <w:r w:rsidR="00B940B2" w:rsidRPr="0068128E">
        <w:rPr>
          <w:rFonts w:ascii="Times New Roman" w:hAnsi="Times New Roman" w:cs="Times New Roman"/>
          <w:sz w:val="24"/>
          <w:szCs w:val="24"/>
        </w:rPr>
        <w:t>NP@Pt(IV)-E64d</w:t>
      </w:r>
      <w:r w:rsidRPr="0068128E">
        <w:rPr>
          <w:rFonts w:ascii="Times New Roman" w:hAnsi="Times New Roman" w:cs="Times New Roman"/>
          <w:sz w:val="24"/>
          <w:szCs w:val="24"/>
        </w:rPr>
        <w:t xml:space="preserve"> (5 </w:t>
      </w:r>
      <w:r w:rsidRPr="0068128E">
        <w:rPr>
          <w:rFonts w:ascii="Times New Roman" w:eastAsia="等线" w:hAnsi="Times New Roman" w:cs="Times New Roman"/>
          <w:sz w:val="24"/>
          <w:szCs w:val="24"/>
        </w:rPr>
        <w:t>μ</w:t>
      </w:r>
      <w:r w:rsidRPr="0068128E">
        <w:rPr>
          <w:rFonts w:ascii="Times New Roman" w:hAnsi="Times New Roman" w:cs="Times New Roman"/>
          <w:sz w:val="24"/>
          <w:szCs w:val="24"/>
        </w:rPr>
        <w:t xml:space="preserve">M Pt/E64d) for 12 hours. Cells were fixed with 4% paraformaldehyde (15 minutes, room temperature), blocked with 1% BSA (30 minutes), and incubated with anti-HMGB1 </w:t>
      </w:r>
      <w:r w:rsidRPr="0068128E">
        <w:rPr>
          <w:rFonts w:ascii="Times New Roman" w:hAnsi="Times New Roman" w:cs="Times New Roman"/>
          <w:sz w:val="24"/>
          <w:szCs w:val="24"/>
        </w:rPr>
        <w:lastRenderedPageBreak/>
        <w:t>primary antibody (1:200, Abcam) overnight at 4°C. After PBS washing, cells were stained with Alexa Fluor 555-conjugated secondary antibody (1:500, 1 hour, dark) and DAPI (nucleus, blue). HMGB1 subcellular localization (red) was visualized using an LSM-800 confocal microscope (Zeiss, Germany). Nuclear-to-cytoplasmic fluorescence intensity ratios were quantified using ImageJ software.</w:t>
      </w:r>
    </w:p>
    <w:p w14:paraId="5171E8A2" w14:textId="77777777" w:rsidR="002028F1" w:rsidRPr="0068128E" w:rsidRDefault="002028F1" w:rsidP="00790B1C">
      <w:pPr>
        <w:rPr>
          <w:rFonts w:ascii="Times New Roman" w:hAnsi="Times New Roman" w:cs="Times New Roman"/>
          <w:sz w:val="24"/>
          <w:szCs w:val="24"/>
        </w:rPr>
      </w:pPr>
    </w:p>
    <w:p w14:paraId="46B0F95B" w14:textId="2F641CB1" w:rsidR="00790B1C" w:rsidRPr="0068128E" w:rsidRDefault="00790B1C" w:rsidP="00790B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PD-L1 Expression Analysis</w:t>
      </w:r>
    </w:p>
    <w:p w14:paraId="0E5AF8A5" w14:textId="7777777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>MB49-R cells (8×10⁴ cells/well) were treated as above. After fixation and blocking, cells were incubated with anti-PD-L1 primary antibody (1:200, Cell Signaling Technology) overnight at 4</w:t>
      </w:r>
      <w:r w:rsidRPr="0068128E">
        <w:rPr>
          <w:rFonts w:ascii="Times New Roman" w:eastAsia="等线" w:hAnsi="Times New Roman" w:cs="Times New Roman"/>
          <w:sz w:val="24"/>
          <w:szCs w:val="24"/>
        </w:rPr>
        <w:t>°</w:t>
      </w:r>
      <w:r w:rsidRPr="0068128E">
        <w:rPr>
          <w:rFonts w:ascii="Times New Roman" w:hAnsi="Times New Roman" w:cs="Times New Roman"/>
          <w:sz w:val="24"/>
          <w:szCs w:val="24"/>
        </w:rPr>
        <w:t>C, followed by Alexa Fluor 555-conjugated secondary antibody (1:500, 1 hour, dark). PD-L1 membrane/cytoplasmic localization (red) and DAPI (blue) were imaged by CLSM. Red fluorescence intensity was quantified using ImageJ to assess PD-L1 expression.</w:t>
      </w:r>
    </w:p>
    <w:p w14:paraId="2C02E4BC" w14:textId="77777777" w:rsidR="00790B1C" w:rsidRPr="0068128E" w:rsidRDefault="00790B1C" w:rsidP="00790B1C">
      <w:pPr>
        <w:rPr>
          <w:rFonts w:ascii="Times New Roman" w:hAnsi="Times New Roman" w:cs="Times New Roman"/>
          <w:sz w:val="24"/>
          <w:szCs w:val="24"/>
        </w:rPr>
      </w:pPr>
    </w:p>
    <w:p w14:paraId="2A182750" w14:textId="0A4B5746" w:rsidR="000C6B74" w:rsidRPr="0068128E" w:rsidRDefault="000C6B74" w:rsidP="000C6B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Vitro</w:t>
      </w:r>
      <w:r w:rsidRPr="0068128E">
        <w:rPr>
          <w:rFonts w:ascii="Times New Roman" w:hAnsi="Times New Roman" w:cs="Times New Roman"/>
          <w:b/>
          <w:bCs/>
          <w:sz w:val="24"/>
          <w:szCs w:val="24"/>
        </w:rPr>
        <w:t xml:space="preserve"> Polarization of Bone Marrow-Derived Macrophages (BMDMs)</w:t>
      </w:r>
    </w:p>
    <w:p w14:paraId="7BA8F995" w14:textId="77777777" w:rsidR="000C6B74" w:rsidRPr="0068128E" w:rsidRDefault="000C6B74" w:rsidP="000C6B74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>Bone marrow cells were cultured in RPMI-1640 medium with 10% FBS and 20 ng/mL M-CSF (Beyotime) for 7 days to generate unpolarized BMDMs. Pretreated MB49-R cells were co-cultured with BMDMs at a 10:1 ratio (tumor cells:BMDMs) for 24 hours. BMDMs were stained with anti-F4/80-PE, anti-CD80-FITC, and anti-CD206-APC antibodies (30 minutes, 4°C, dark). M1 polarization (CD80⁺CD206⁻/F4/80⁺) was analyzed by flow cytometry.</w:t>
      </w:r>
    </w:p>
    <w:p w14:paraId="6D24B361" w14:textId="77777777" w:rsidR="00B940B2" w:rsidRPr="0068128E" w:rsidRDefault="00B940B2" w:rsidP="00B940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232DB2" w14:textId="241C4F8E" w:rsidR="00B940B2" w:rsidRPr="0068128E" w:rsidRDefault="00B940B2" w:rsidP="00B940B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Expansion of Chemoresistant Bladder Cancer Animal Models</w:t>
      </w:r>
    </w:p>
    <w:p w14:paraId="5E9CCC52" w14:textId="77777777" w:rsidR="00B940B2" w:rsidRPr="0068128E" w:rsidRDefault="00B940B2" w:rsidP="00B940B2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>Subcutaneous tumors from GP-R model mice were excised, minced into 2 mm³ fragments in cold PBS, and implanted into the right flank of 5-week-old male C57BL/6 mice (Vital River, Beijing, China). Tumor growth was monitored until volumes reached ~100 mm³ (volume = length × width² / 2), and these expanded models were used for subsequent efficacy and biodistribution studies.</w:t>
      </w:r>
    </w:p>
    <w:p w14:paraId="40574AA5" w14:textId="77777777" w:rsidR="00B940B2" w:rsidRPr="0068128E" w:rsidRDefault="00B940B2" w:rsidP="00B940B2">
      <w:pPr>
        <w:rPr>
          <w:rFonts w:ascii="Times New Roman" w:hAnsi="Times New Roman" w:cs="Times New Roman"/>
          <w:sz w:val="24"/>
          <w:szCs w:val="24"/>
        </w:rPr>
      </w:pPr>
    </w:p>
    <w:p w14:paraId="6FD76226" w14:textId="77777777" w:rsidR="00B940B2" w:rsidRPr="0068128E" w:rsidRDefault="00B940B2" w:rsidP="00B940B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Tumor Growth Inhibition in Chemoresistant Models</w:t>
      </w:r>
    </w:p>
    <w:p w14:paraId="34DD2D36" w14:textId="77777777" w:rsidR="00B940B2" w:rsidRPr="0068128E" w:rsidRDefault="00B940B2" w:rsidP="00B940B2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>Thirty tumor-bearing mice (subcutaneous volume ~100 mm³) were randomized into six groups (n=5): PBS, CisPt (3 mg Pt/kg, i.p.), Pt(IV) (3 mg Pt/kg, i.p.), Pt(IV) + E64d (3 mg Pt/kg + 20 mg/kg, i.p.), NP@Pt(IV) (3 mg Pt/kg, i.v.), and NP@Pt(IV)-E64d (3 mg Pt/kg, i.v.). Tumor dimensions (length/width) and body weights were measured every 2 days. Tumor volume was calculated as (length × width²)/2. The study was terminated at day 22 or upon reaching ethical endpoint volumes.</w:t>
      </w:r>
    </w:p>
    <w:p w14:paraId="5AFA3F70" w14:textId="77777777" w:rsidR="00B12BA8" w:rsidRPr="0068128E" w:rsidRDefault="00B12BA8" w:rsidP="00B12B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DE2DBA" w14:textId="137A50B9" w:rsidR="00B12BA8" w:rsidRPr="0068128E" w:rsidRDefault="00B12BA8" w:rsidP="00B12B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8128E">
        <w:rPr>
          <w:rFonts w:ascii="Times New Roman" w:hAnsi="Times New Roman" w:cs="Times New Roman"/>
          <w:b/>
          <w:bCs/>
          <w:sz w:val="24"/>
          <w:szCs w:val="24"/>
        </w:rPr>
        <w:t>Immunohistochemical (IHC) Analysis of CTSH in Resistant Bladder Tumors</w:t>
      </w:r>
    </w:p>
    <w:p w14:paraId="01A74E5C" w14:textId="15B5C767" w:rsidR="009B60DD" w:rsidRPr="000903EA" w:rsidRDefault="00B12BA8" w:rsidP="000903EA">
      <w:pPr>
        <w:rPr>
          <w:rFonts w:ascii="Times New Roman" w:hAnsi="Times New Roman" w:cs="Times New Roman"/>
          <w:sz w:val="24"/>
          <w:szCs w:val="24"/>
        </w:rPr>
      </w:pPr>
      <w:r w:rsidRPr="0068128E">
        <w:rPr>
          <w:rFonts w:ascii="Times New Roman" w:hAnsi="Times New Roman" w:cs="Times New Roman"/>
          <w:sz w:val="24"/>
          <w:szCs w:val="24"/>
        </w:rPr>
        <w:t xml:space="preserve">Resistant tumor tissues were fixed in 4% neutral-buffered formalin (24–48 hours, 4°C), dehydrated through a graded ethanol series (70%→100%), paraffin-embedded, and sectioned (4 μm). After deparaffinization and rehydration, antigen retrieval was performed in citrate buffer (pH 6.0) via microwave heating (5 minutes high power, 15 minutes medium-low power). Endogenous peroxidase activity was blocked with 3% H₂O₂ (10 minutes), followed by 5% BSA blocking (30 minutes). Sections were </w:t>
      </w:r>
      <w:r w:rsidRPr="0068128E">
        <w:rPr>
          <w:rFonts w:ascii="Times New Roman" w:hAnsi="Times New Roman" w:cs="Times New Roman"/>
          <w:sz w:val="24"/>
          <w:szCs w:val="24"/>
        </w:rPr>
        <w:lastRenderedPageBreak/>
        <w:t>incubated with anti-CTSH antibody (1:200, Proteintech) overnight at 4</w:t>
      </w:r>
      <w:r w:rsidRPr="0068128E">
        <w:rPr>
          <w:rFonts w:ascii="Times New Roman" w:eastAsia="等线" w:hAnsi="Times New Roman" w:cs="Times New Roman"/>
          <w:sz w:val="24"/>
          <w:szCs w:val="24"/>
        </w:rPr>
        <w:t>°</w:t>
      </w:r>
      <w:r w:rsidRPr="0068128E">
        <w:rPr>
          <w:rFonts w:ascii="Times New Roman" w:hAnsi="Times New Roman" w:cs="Times New Roman"/>
          <w:sz w:val="24"/>
          <w:szCs w:val="24"/>
        </w:rPr>
        <w:t>C, then with HRP-conjugated secondary antibody (1:500, 1 hour, room temperature). DAB (0.05% DAB + 0.03% H₂O₂) was used for chromogenic detection, and nuclei were counterstained with Harris hematoxylin. CTSH expression was visualized under a light microscope (Olympus BX53, Japan).</w:t>
      </w:r>
      <w:r w:rsidR="0068004E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0A141F5" w14:textId="4B2A9FE6" w:rsidR="006F66D7" w:rsidRDefault="00AC7072" w:rsidP="009D5F0C">
      <w:pPr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anchor distT="0" distB="0" distL="114300" distR="114300" simplePos="0" relativeHeight="251671552" behindDoc="0" locked="0" layoutInCell="1" allowOverlap="1" wp14:anchorId="631F2DF7" wp14:editId="4D3FB0F9">
            <wp:simplePos x="0" y="0"/>
            <wp:positionH relativeFrom="margin">
              <wp:align>left</wp:align>
            </wp:positionH>
            <wp:positionV relativeFrom="paragraph">
              <wp:posOffset>204</wp:posOffset>
            </wp:positionV>
            <wp:extent cx="5274310" cy="4811395"/>
            <wp:effectExtent l="0" t="0" r="2540" b="8255"/>
            <wp:wrapTopAndBottom/>
            <wp:docPr id="62720053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00535" name="图片 62720053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1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66D7" w:rsidRPr="00800960">
        <w:rPr>
          <w:rFonts w:ascii="Times New Roman" w:hAnsi="Times New Roman" w:cs="Times New Roman"/>
          <w:b/>
          <w:bCs/>
          <w:sz w:val="20"/>
          <w:szCs w:val="20"/>
        </w:rPr>
        <w:t>Figure S1.</w:t>
      </w:r>
      <w:r w:rsidR="006F66D7" w:rsidRPr="00800960">
        <w:rPr>
          <w:rFonts w:ascii="Times New Roman" w:hAnsi="Times New Roman" w:cs="Times New Roman"/>
          <w:sz w:val="20"/>
          <w:szCs w:val="20"/>
        </w:rPr>
        <w:t xml:space="preserve"> Validation of CTSH expression correlation with Treg infiltration and drug resistance in the GP-R model. (a) Scatter plot: CTSH expression association with Treg infiltration. (b) Tumor volume changes in mice across treatment groups (CisPt: 3 mg/kg; Gem: 50 mg/kg; n = 4). (c) Flow cytometry dot plots of apoptosis in MB49 subtype cells. (d) CLSM images of Calcein-AM (green, viable) and PI (red, dead) dual staining in MB49 subtype cells (scale bar: 100 μm). (e) </w:t>
      </w:r>
      <w:r w:rsidR="006F66D7">
        <w:rPr>
          <w:rFonts w:ascii="Times New Roman" w:hAnsi="Times New Roman" w:cs="Times New Roman" w:hint="eastAsia"/>
          <w:sz w:val="20"/>
          <w:szCs w:val="20"/>
        </w:rPr>
        <w:t>Q</w:t>
      </w:r>
      <w:r w:rsidR="006F66D7" w:rsidRPr="00800960">
        <w:rPr>
          <w:rFonts w:ascii="Times New Roman" w:hAnsi="Times New Roman" w:cs="Times New Roman"/>
          <w:sz w:val="20"/>
          <w:szCs w:val="20"/>
        </w:rPr>
        <w:t xml:space="preserve">uantitative flow cytometry analysis of apoptosis in MB49 Subtype cells (n=3). (f) </w:t>
      </w:r>
      <w:r w:rsidR="006F66D7">
        <w:rPr>
          <w:rFonts w:ascii="Times New Roman" w:hAnsi="Times New Roman" w:cs="Times New Roman" w:hint="eastAsia"/>
          <w:sz w:val="20"/>
          <w:szCs w:val="20"/>
        </w:rPr>
        <w:t>Q</w:t>
      </w:r>
      <w:r w:rsidR="006F66D7" w:rsidRPr="00800960">
        <w:rPr>
          <w:rFonts w:ascii="Times New Roman" w:hAnsi="Times New Roman" w:cs="Times New Roman"/>
          <w:sz w:val="20"/>
          <w:szCs w:val="20"/>
        </w:rPr>
        <w:t xml:space="preserve">uantitative analysis of propidium iodide (PI) </w:t>
      </w:r>
      <w:r w:rsidR="006F66D7">
        <w:rPr>
          <w:rFonts w:ascii="Times New Roman" w:hAnsi="Times New Roman" w:cs="Times New Roman" w:hint="eastAsia"/>
          <w:sz w:val="20"/>
          <w:szCs w:val="20"/>
        </w:rPr>
        <w:t>MFI</w:t>
      </w:r>
      <w:r w:rsidR="006F66D7" w:rsidRPr="00800960">
        <w:rPr>
          <w:rFonts w:ascii="Times New Roman" w:hAnsi="Times New Roman" w:cs="Times New Roman"/>
          <w:sz w:val="20"/>
          <w:szCs w:val="20"/>
        </w:rPr>
        <w:t xml:space="preserve"> in MB49 Subtype cells by CLSM (n=3). (g) Western blot (WB) analysis of CTSH expression in T24 subtype cells (Vinculin as loading control).</w:t>
      </w:r>
      <w:r w:rsidR="006F66D7">
        <w:rPr>
          <w:rFonts w:hint="eastAsia"/>
        </w:rPr>
        <w:t xml:space="preserve"> </w:t>
      </w:r>
      <w:r w:rsidR="006F66D7" w:rsidRPr="006F66D7">
        <w:rPr>
          <w:rFonts w:ascii="Times New Roman" w:hAnsi="Times New Roman" w:cs="Times New Roman" w:hint="eastAsia"/>
          <w:sz w:val="20"/>
          <w:szCs w:val="20"/>
        </w:rPr>
        <w:t>CisPt: cisplatin; Gem: gemcitabine. c-d: 5</w:t>
      </w:r>
      <w:r w:rsidR="006F66D7" w:rsidRPr="006F66D7">
        <w:rPr>
          <w:rFonts w:ascii="Times New Roman" w:hAnsi="Times New Roman" w:cs="Times New Roman" w:hint="eastAsia"/>
          <w:sz w:val="20"/>
          <w:szCs w:val="20"/>
        </w:rPr>
        <w:t>μ</w:t>
      </w:r>
      <w:r w:rsidR="006F66D7" w:rsidRPr="006F66D7">
        <w:rPr>
          <w:rFonts w:ascii="Times New Roman" w:hAnsi="Times New Roman" w:cs="Times New Roman" w:hint="eastAsia"/>
          <w:sz w:val="20"/>
          <w:szCs w:val="20"/>
        </w:rPr>
        <w:t>M Cispt + 0.5</w:t>
      </w:r>
      <w:r w:rsidR="006F66D7" w:rsidRPr="006F66D7">
        <w:rPr>
          <w:rFonts w:ascii="Times New Roman" w:hAnsi="Times New Roman" w:cs="Times New Roman" w:hint="eastAsia"/>
          <w:sz w:val="20"/>
          <w:szCs w:val="20"/>
        </w:rPr>
        <w:t>μ</w:t>
      </w:r>
      <w:r w:rsidR="006F66D7" w:rsidRPr="006F66D7">
        <w:rPr>
          <w:rFonts w:ascii="Times New Roman" w:hAnsi="Times New Roman" w:cs="Times New Roman" w:hint="eastAsia"/>
          <w:sz w:val="20"/>
          <w:szCs w:val="20"/>
        </w:rPr>
        <w:t>M Gem, 72h. Statistical significance was analyzed by unpaired two-tailed t-test.</w:t>
      </w:r>
      <w:r w:rsidR="006F66D7">
        <w:rPr>
          <w:rFonts w:ascii="Times New Roman" w:hAnsi="Times New Roman" w:cs="Times New Roman"/>
          <w:sz w:val="20"/>
          <w:szCs w:val="20"/>
        </w:rPr>
        <w:br w:type="page"/>
      </w:r>
    </w:p>
    <w:p w14:paraId="4A303098" w14:textId="4E5B9EC5" w:rsidR="004E5353" w:rsidRPr="000903EA" w:rsidRDefault="000903EA" w:rsidP="000903E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740926FA" wp14:editId="455ACA95">
            <wp:simplePos x="0" y="0"/>
            <wp:positionH relativeFrom="column">
              <wp:posOffset>2969</wp:posOffset>
            </wp:positionH>
            <wp:positionV relativeFrom="paragraph">
              <wp:posOffset>5938</wp:posOffset>
            </wp:positionV>
            <wp:extent cx="5274310" cy="2763520"/>
            <wp:effectExtent l="0" t="0" r="2540" b="0"/>
            <wp:wrapTopAndBottom/>
            <wp:docPr id="1023103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10310" name="图片 1023103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1AC" w:rsidRPr="00800960">
        <w:rPr>
          <w:rFonts w:ascii="Times New Roman" w:hAnsi="Times New Roman" w:cs="Times New Roman"/>
          <w:b/>
          <w:bCs/>
          <w:sz w:val="20"/>
          <w:szCs w:val="20"/>
        </w:rPr>
        <w:t>Figure S2.</w:t>
      </w:r>
      <w:r w:rsidR="009901AC" w:rsidRPr="00800960">
        <w:rPr>
          <w:rFonts w:ascii="Times New Roman" w:hAnsi="Times New Roman" w:cs="Times New Roman"/>
          <w:sz w:val="20"/>
          <w:szCs w:val="20"/>
        </w:rPr>
        <w:t xml:space="preserve"> Evaluation of the synergistic anticancer effects by Pt(IV) + E64d </w:t>
      </w:r>
      <w:r w:rsidR="009901AC" w:rsidRPr="00800960">
        <w:rPr>
          <w:rFonts w:ascii="Times New Roman" w:hAnsi="Times New Roman" w:cs="Times New Roman"/>
          <w:i/>
          <w:iCs/>
          <w:sz w:val="20"/>
          <w:szCs w:val="20"/>
        </w:rPr>
        <w:t>in vitro</w:t>
      </w:r>
      <w:r w:rsidR="009901AC" w:rsidRPr="00800960">
        <w:rPr>
          <w:rFonts w:ascii="Times New Roman" w:hAnsi="Times New Roman" w:cs="Times New Roman"/>
          <w:sz w:val="20"/>
          <w:szCs w:val="20"/>
        </w:rPr>
        <w:t xml:space="preserve">. (a) Semi-quantitative analysis of relative mean PI mean fluorescence intensity (MFI) </w:t>
      </w:r>
      <w:r w:rsidR="009901AC" w:rsidRPr="00800960">
        <w:rPr>
          <w:rFonts w:ascii="Times New Roman" w:hAnsi="Times New Roman" w:cs="Times New Roman" w:hint="eastAsia"/>
          <w:sz w:val="20"/>
          <w:szCs w:val="20"/>
        </w:rPr>
        <w:t xml:space="preserve">and (b) </w:t>
      </w:r>
      <w:r w:rsidR="009901AC" w:rsidRPr="00800960">
        <w:rPr>
          <w:rFonts w:ascii="Times New Roman" w:hAnsi="Times New Roman" w:cs="Times New Roman"/>
          <w:sz w:val="20"/>
          <w:szCs w:val="20"/>
        </w:rPr>
        <w:t>apoptosis rate in MB49-R cells. Data are presented as mean ± SD (n = 3). Statistical significance was analyzed by unpaired two-tailed t-test.</w:t>
      </w:r>
      <w:r w:rsidR="004E5353" w:rsidRPr="00532440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2FB118E" w14:textId="780BDFC9" w:rsidR="00775C06" w:rsidRDefault="00775C06" w:rsidP="00CE224C">
      <w:pPr>
        <w:rPr>
          <w:rFonts w:ascii="Times New Roman" w:hAnsi="Times New Roman" w:cs="Times New Roman"/>
          <w:b/>
          <w:bCs/>
          <w:sz w:val="28"/>
          <w:szCs w:val="28"/>
        </w:rPr>
        <w:sectPr w:rsidR="00775C06" w:rsidSect="000903EA">
          <w:footerReference w:type="default" r:id="rId9"/>
          <w:pgSz w:w="11906" w:h="16838"/>
          <w:pgMar w:top="1440" w:right="1800" w:bottom="1440" w:left="1800" w:header="851" w:footer="992" w:gutter="0"/>
          <w:lnNumType w:countBy="1" w:restart="continuous"/>
          <w:pgNumType w:start="1"/>
          <w:cols w:space="425"/>
          <w:docGrid w:type="lines" w:linePitch="312"/>
        </w:sectPr>
      </w:pPr>
    </w:p>
    <w:p w14:paraId="212179FD" w14:textId="4CD813DE" w:rsidR="00B914A5" w:rsidRPr="000903EA" w:rsidRDefault="00D976C5" w:rsidP="000903EA">
      <w:pPr>
        <w:tabs>
          <w:tab w:val="left" w:pos="907"/>
        </w:tabs>
        <w:rPr>
          <w:rFonts w:ascii="Times New Roman" w:hAnsi="Times New Roman" w:cs="Times New Roman"/>
          <w:sz w:val="20"/>
          <w:szCs w:val="20"/>
        </w:rPr>
      </w:pPr>
      <w:r w:rsidRPr="00CE224C">
        <w:rPr>
          <w:rFonts w:hint="eastAsia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C6BEE82" wp14:editId="14B91A6A">
            <wp:simplePos x="0" y="0"/>
            <wp:positionH relativeFrom="margin">
              <wp:align>left</wp:align>
            </wp:positionH>
            <wp:positionV relativeFrom="paragraph">
              <wp:posOffset>470</wp:posOffset>
            </wp:positionV>
            <wp:extent cx="5273675" cy="4968875"/>
            <wp:effectExtent l="0" t="0" r="3175" b="3175"/>
            <wp:wrapTopAndBottom/>
            <wp:docPr id="13939807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496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4A5" w:rsidRPr="0068128E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Figure </w:t>
      </w:r>
      <w:r w:rsidR="000A327B" w:rsidRPr="0068128E">
        <w:rPr>
          <w:rFonts w:ascii="Times New Roman" w:hAnsi="Times New Roman" w:cs="Times New Roman" w:hint="eastAsia"/>
          <w:b/>
          <w:bCs/>
          <w:sz w:val="20"/>
          <w:szCs w:val="20"/>
        </w:rPr>
        <w:t>S</w:t>
      </w:r>
      <w:r w:rsidR="009901AC">
        <w:rPr>
          <w:rFonts w:ascii="Times New Roman" w:hAnsi="Times New Roman" w:cs="Times New Roman" w:hint="eastAsia"/>
          <w:b/>
          <w:bCs/>
          <w:sz w:val="20"/>
          <w:szCs w:val="20"/>
        </w:rPr>
        <w:t>3</w:t>
      </w:r>
      <w:r w:rsidR="00B914A5" w:rsidRPr="0068128E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="00B914A5" w:rsidRPr="0068128E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B914A5" w:rsidRPr="0068128E">
        <w:rPr>
          <w:rFonts w:ascii="Times New Roman" w:hAnsi="Times New Roman" w:cs="Times New Roman" w:hint="eastAsia"/>
          <w:b/>
          <w:bCs/>
          <w:sz w:val="20"/>
          <w:szCs w:val="20"/>
        </w:rPr>
        <w:t>The 1H-NMR spectrum of PHHM.</w:t>
      </w:r>
    </w:p>
    <w:p w14:paraId="053A4376" w14:textId="5D68C0C0" w:rsidR="009901AC" w:rsidRPr="000903EA" w:rsidRDefault="004057FA" w:rsidP="000903EA">
      <w:pPr>
        <w:rPr>
          <w:rFonts w:hint="eastAsia"/>
          <w:b/>
          <w:bCs/>
          <w:noProof/>
          <w:sz w:val="20"/>
          <w:szCs w:val="20"/>
        </w:rPr>
      </w:pPr>
      <w:r w:rsidRPr="00CE224C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C9B2CF7" wp14:editId="3E42296E">
            <wp:simplePos x="0" y="0"/>
            <wp:positionH relativeFrom="margin">
              <wp:align>left</wp:align>
            </wp:positionH>
            <wp:positionV relativeFrom="paragraph">
              <wp:posOffset>314</wp:posOffset>
            </wp:positionV>
            <wp:extent cx="5255890" cy="4486939"/>
            <wp:effectExtent l="0" t="0" r="2540" b="8890"/>
            <wp:wrapTopAndBottom/>
            <wp:docPr id="963096300" name="图片 2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096300" name="图片 2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0" cy="4486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27B" w:rsidRPr="0068128E">
        <w:rPr>
          <w:rFonts w:ascii="Times New Roman" w:hAnsi="Times New Roman" w:cs="Times New Roman" w:hint="eastAsia"/>
          <w:b/>
          <w:bCs/>
          <w:sz w:val="20"/>
          <w:szCs w:val="20"/>
        </w:rPr>
        <w:t>Figure S</w:t>
      </w:r>
      <w:r w:rsidR="009901AC">
        <w:rPr>
          <w:rFonts w:ascii="Times New Roman" w:hAnsi="Times New Roman" w:cs="Times New Roman" w:hint="eastAsia"/>
          <w:b/>
          <w:bCs/>
          <w:sz w:val="20"/>
          <w:szCs w:val="20"/>
        </w:rPr>
        <w:t>4</w:t>
      </w:r>
      <w:r w:rsidR="000A327B" w:rsidRPr="0068128E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68128E">
        <w:rPr>
          <w:rFonts w:ascii="Times New Roman" w:hAnsi="Times New Roman" w:cs="Times New Roman"/>
          <w:sz w:val="20"/>
          <w:szCs w:val="20"/>
        </w:rPr>
        <w:t xml:space="preserve"> </w:t>
      </w:r>
      <w:r w:rsidRPr="0068128E">
        <w:rPr>
          <w:rFonts w:ascii="Times New Roman" w:hAnsi="Times New Roman" w:cs="Times New Roman"/>
          <w:b/>
          <w:bCs/>
          <w:sz w:val="20"/>
          <w:szCs w:val="20"/>
        </w:rPr>
        <w:t xml:space="preserve">The </w:t>
      </w:r>
      <w:r w:rsidRPr="0068128E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1</w:t>
      </w:r>
      <w:r w:rsidRPr="0068128E">
        <w:rPr>
          <w:rFonts w:ascii="Times New Roman" w:hAnsi="Times New Roman" w:cs="Times New Roman"/>
          <w:b/>
          <w:bCs/>
          <w:sz w:val="20"/>
          <w:szCs w:val="20"/>
        </w:rPr>
        <w:t>H-NMR spectrum of Pt(IV).</w:t>
      </w:r>
      <w:r w:rsidR="00877841" w:rsidRPr="0068128E">
        <w:rPr>
          <w:b/>
          <w:bCs/>
          <w:noProof/>
          <w:sz w:val="20"/>
          <w:szCs w:val="20"/>
        </w:rPr>
        <w:t xml:space="preserve"> </w:t>
      </w:r>
      <w:r w:rsidR="009901AC">
        <w:rPr>
          <w:rFonts w:hint="eastAsia"/>
          <w:noProof/>
          <w:sz w:val="24"/>
          <w:szCs w:val="24"/>
        </w:rPr>
        <w:br w:type="page"/>
      </w:r>
    </w:p>
    <w:p w14:paraId="7C3682F7" w14:textId="4E7BB35C" w:rsidR="009901AC" w:rsidRPr="000903EA" w:rsidRDefault="000B77A3" w:rsidP="000903EA">
      <w:pPr>
        <w:rPr>
          <w:rFonts w:ascii="Times New Roman" w:hAnsi="Times New Roman" w:cs="Times New Roman"/>
          <w:sz w:val="20"/>
          <w:szCs w:val="20"/>
        </w:rPr>
      </w:pPr>
      <w:r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2B650D28" wp14:editId="65424706">
            <wp:simplePos x="0" y="0"/>
            <wp:positionH relativeFrom="margin">
              <wp:align>center</wp:align>
            </wp:positionH>
            <wp:positionV relativeFrom="paragraph">
              <wp:posOffset>380</wp:posOffset>
            </wp:positionV>
            <wp:extent cx="4773881" cy="6888964"/>
            <wp:effectExtent l="0" t="0" r="8255" b="7620"/>
            <wp:wrapTopAndBottom/>
            <wp:docPr id="13971719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171914" name="图片 139717191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73881" cy="6888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1AC" w:rsidRPr="00800960">
        <w:rPr>
          <w:rFonts w:ascii="Times New Roman" w:hAnsi="Times New Roman" w:cs="Times New Roman"/>
          <w:b/>
          <w:bCs/>
          <w:sz w:val="20"/>
          <w:szCs w:val="20"/>
        </w:rPr>
        <w:t>Figure S</w:t>
      </w:r>
      <w:r w:rsidR="009901AC" w:rsidRPr="00800960">
        <w:rPr>
          <w:rFonts w:ascii="Times New Roman" w:hAnsi="Times New Roman" w:cs="Times New Roman" w:hint="eastAsia"/>
          <w:b/>
          <w:bCs/>
          <w:sz w:val="20"/>
          <w:szCs w:val="20"/>
        </w:rPr>
        <w:t>5</w:t>
      </w:r>
      <w:r w:rsidR="009901AC" w:rsidRPr="0080096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9901AC" w:rsidRPr="00800960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9901AC" w:rsidRPr="00800960">
        <w:rPr>
          <w:rFonts w:ascii="Times New Roman" w:hAnsi="Times New Roman" w:cs="Times New Roman"/>
          <w:sz w:val="20"/>
          <w:szCs w:val="20"/>
        </w:rPr>
        <w:t xml:space="preserve">characterization of NP@Pt(IV) and NP@Pt(IV)-E64d nanoparticles. (a) Representative TEM image of NP@Pt(IV) (Scale bar: 100 nm). </w:t>
      </w:r>
      <w:r w:rsidR="00527C48" w:rsidRPr="00527C48">
        <w:rPr>
          <w:rFonts w:ascii="Times New Roman" w:hAnsi="Times New Roman" w:cs="Times New Roman" w:hint="eastAsia"/>
          <w:sz w:val="20"/>
          <w:szCs w:val="20"/>
        </w:rPr>
        <w:t>(</w:t>
      </w:r>
      <w:r w:rsidR="00527C48">
        <w:rPr>
          <w:rFonts w:ascii="Times New Roman" w:hAnsi="Times New Roman" w:cs="Times New Roman" w:hint="eastAsia"/>
          <w:sz w:val="20"/>
          <w:szCs w:val="20"/>
        </w:rPr>
        <w:t>b</w:t>
      </w:r>
      <w:r w:rsidR="00527C48" w:rsidRPr="00527C48">
        <w:rPr>
          <w:rFonts w:ascii="Times New Roman" w:hAnsi="Times New Roman" w:cs="Times New Roman" w:hint="eastAsia"/>
          <w:sz w:val="20"/>
          <w:szCs w:val="20"/>
        </w:rPr>
        <w:t>) Particle size and dispersion stability over 13 days in serum-containing medium.</w:t>
      </w:r>
      <w:r w:rsidR="000903EA" w:rsidRPr="000903EA">
        <w:rPr>
          <w:rFonts w:hint="eastAsia"/>
        </w:rPr>
        <w:t xml:space="preserve"> </w:t>
      </w:r>
      <w:r w:rsidR="000903EA" w:rsidRPr="000903EA">
        <w:rPr>
          <w:rFonts w:ascii="Times New Roman" w:hAnsi="Times New Roman" w:cs="Times New Roman" w:hint="eastAsia"/>
          <w:sz w:val="20"/>
          <w:szCs w:val="20"/>
        </w:rPr>
        <w:t>(</w:t>
      </w:r>
      <w:r w:rsidR="000903EA">
        <w:rPr>
          <w:rFonts w:ascii="Times New Roman" w:hAnsi="Times New Roman" w:cs="Times New Roman" w:hint="eastAsia"/>
          <w:sz w:val="20"/>
          <w:szCs w:val="20"/>
        </w:rPr>
        <w:t>c</w:t>
      </w:r>
      <w:r w:rsidR="000903EA" w:rsidRPr="000903EA">
        <w:rPr>
          <w:rFonts w:ascii="Times New Roman" w:hAnsi="Times New Roman" w:cs="Times New Roman" w:hint="eastAsia"/>
          <w:sz w:val="20"/>
          <w:szCs w:val="20"/>
        </w:rPr>
        <w:t xml:space="preserve">) </w:t>
      </w:r>
      <w:r w:rsidR="000903EA">
        <w:rPr>
          <w:rFonts w:ascii="Times New Roman" w:hAnsi="Times New Roman" w:cs="Times New Roman" w:hint="eastAsia"/>
          <w:sz w:val="20"/>
          <w:szCs w:val="20"/>
        </w:rPr>
        <w:t>E64d</w:t>
      </w:r>
      <w:r w:rsidR="000903EA" w:rsidRPr="000903EA">
        <w:rPr>
          <w:rFonts w:ascii="Times New Roman" w:hAnsi="Times New Roman" w:cs="Times New Roman" w:hint="eastAsia"/>
          <w:sz w:val="20"/>
          <w:szCs w:val="20"/>
        </w:rPr>
        <w:t xml:space="preserve"> release kinetics in 10 mM GSH.</w:t>
      </w:r>
      <w:r w:rsidR="000903EA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9901AC" w:rsidRPr="00800960">
        <w:rPr>
          <w:rFonts w:ascii="Times New Roman" w:hAnsi="Times New Roman" w:cs="Times New Roman"/>
          <w:sz w:val="20"/>
          <w:szCs w:val="20"/>
        </w:rPr>
        <w:t>(</w:t>
      </w:r>
      <w:r w:rsidR="000903EA">
        <w:rPr>
          <w:rFonts w:ascii="Times New Roman" w:hAnsi="Times New Roman" w:cs="Times New Roman" w:hint="eastAsia"/>
          <w:sz w:val="20"/>
          <w:szCs w:val="20"/>
        </w:rPr>
        <w:t>d</w:t>
      </w:r>
      <w:r w:rsidR="009901AC" w:rsidRPr="00800960">
        <w:rPr>
          <w:rFonts w:ascii="Times New Roman" w:hAnsi="Times New Roman" w:cs="Times New Roman"/>
          <w:sz w:val="20"/>
          <w:szCs w:val="20"/>
        </w:rPr>
        <w:t>) Representative CLSM images of MB49-R cells incubated with NP@Pt(IV)-E64d with Cy5.5 for 0, 1, 4, and 7 h (nuclei: DAPI, blue; cytoskeleton: Actin, green; scale bar: 10 μm). (</w:t>
      </w:r>
      <w:r w:rsidR="000903EA">
        <w:rPr>
          <w:rFonts w:ascii="Times New Roman" w:hAnsi="Times New Roman" w:cs="Times New Roman" w:hint="eastAsia"/>
          <w:sz w:val="20"/>
          <w:szCs w:val="20"/>
        </w:rPr>
        <w:t>e</w:t>
      </w:r>
      <w:r w:rsidR="009901AC" w:rsidRPr="00800960">
        <w:rPr>
          <w:rFonts w:ascii="Times New Roman" w:hAnsi="Times New Roman" w:cs="Times New Roman"/>
          <w:sz w:val="20"/>
          <w:szCs w:val="20"/>
        </w:rPr>
        <w:t>) semi-quantifying MFI for NP@Pt(IV)-E64d with Cy5.5 uptake at different time points</w:t>
      </w:r>
      <w:r w:rsidR="009901AC" w:rsidRPr="00800960">
        <w:rPr>
          <w:rFonts w:ascii="Times New Roman" w:hAnsi="Times New Roman" w:cs="Times New Roman" w:hint="eastAsia"/>
          <w:sz w:val="20"/>
          <w:szCs w:val="20"/>
        </w:rPr>
        <w:t xml:space="preserve"> (n=3)</w:t>
      </w:r>
      <w:r w:rsidR="009901AC" w:rsidRPr="00800960">
        <w:rPr>
          <w:rFonts w:ascii="Times New Roman" w:hAnsi="Times New Roman" w:cs="Times New Roman"/>
          <w:sz w:val="20"/>
          <w:szCs w:val="20"/>
        </w:rPr>
        <w:t>.</w:t>
      </w:r>
      <w:r w:rsidR="009901AC" w:rsidRPr="00800960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9901AC" w:rsidRPr="00800960">
        <w:rPr>
          <w:rFonts w:ascii="Times New Roman" w:hAnsi="Times New Roman" w:cs="Times New Roman"/>
          <w:sz w:val="20"/>
          <w:szCs w:val="20"/>
        </w:rPr>
        <w:t>Statistical significance was analyzed by unpaired two-tailed t-test.</w:t>
      </w:r>
      <w:r w:rsidR="009901AC">
        <w:rPr>
          <w:rFonts w:hint="eastAsia"/>
          <w:noProof/>
          <w:sz w:val="24"/>
          <w:szCs w:val="24"/>
        </w:rPr>
        <w:br w:type="page"/>
      </w:r>
    </w:p>
    <w:p w14:paraId="28D7CFD1" w14:textId="77777777" w:rsidR="00606F8F" w:rsidRDefault="00703750" w:rsidP="00FC3B38">
      <w:pPr>
        <w:rPr>
          <w:rFonts w:ascii="Times New Roman" w:hAnsi="Times New Roman" w:cs="Times New Roman"/>
          <w:b/>
          <w:bCs/>
          <w:noProof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</w:rPr>
        <w:lastRenderedPageBreak/>
        <w:drawing>
          <wp:anchor distT="0" distB="0" distL="114300" distR="114300" simplePos="0" relativeHeight="251670528" behindDoc="0" locked="0" layoutInCell="1" allowOverlap="1" wp14:anchorId="3EF77C2D" wp14:editId="469D25B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274310" cy="5758180"/>
            <wp:effectExtent l="0" t="0" r="2540" b="0"/>
            <wp:wrapTopAndBottom/>
            <wp:docPr id="114100364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03649" name="图片 114100364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5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1AC" w:rsidRPr="00800960">
        <w:rPr>
          <w:rFonts w:ascii="Times New Roman" w:hAnsi="Times New Roman" w:cs="Times New Roman"/>
          <w:b/>
          <w:bCs/>
          <w:sz w:val="20"/>
          <w:szCs w:val="20"/>
        </w:rPr>
        <w:t>Figure S</w:t>
      </w:r>
      <w:r w:rsidR="009901AC" w:rsidRPr="00800960">
        <w:rPr>
          <w:rFonts w:ascii="Times New Roman" w:hAnsi="Times New Roman" w:cs="Times New Roman" w:hint="eastAsia"/>
          <w:b/>
          <w:bCs/>
          <w:sz w:val="20"/>
          <w:szCs w:val="20"/>
        </w:rPr>
        <w:t>6</w:t>
      </w:r>
      <w:r w:rsidR="009901AC" w:rsidRPr="0080096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9901AC" w:rsidRPr="00800960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 </w:t>
      </w:r>
      <w:r w:rsidR="009901AC" w:rsidRPr="00800960">
        <w:rPr>
          <w:rFonts w:ascii="Times New Roman" w:hAnsi="Times New Roman" w:cs="Times New Roman"/>
          <w:sz w:val="20"/>
          <w:szCs w:val="20"/>
        </w:rPr>
        <w:t xml:space="preserve">Representative CLSM images of pyroptosis-related protein expression in MB49-R cells under different drug treatments. (a) cleaved caspase-8. (b) GSDMD-N. (c) cleaved caspase-3. (d) GSDME-N. </w:t>
      </w:r>
      <w:r w:rsidR="00653E05" w:rsidRPr="00653E05">
        <w:rPr>
          <w:rFonts w:ascii="Times New Roman" w:hAnsi="Times New Roman" w:cs="Times New Roman" w:hint="eastAsia"/>
          <w:sz w:val="20"/>
          <w:szCs w:val="20"/>
        </w:rPr>
        <w:t>(e-g) Quantification of cleaved caspase-8 (e), GSDMD-N (f), and GSDME-N (g) expression based on MFI from CLSM images</w:t>
      </w:r>
      <w:r w:rsidR="00653E05">
        <w:rPr>
          <w:rFonts w:ascii="Times New Roman" w:hAnsi="Times New Roman" w:cs="Times New Roman" w:hint="eastAsia"/>
          <w:sz w:val="20"/>
          <w:szCs w:val="20"/>
        </w:rPr>
        <w:t xml:space="preserve"> (n = 3)</w:t>
      </w:r>
      <w:r w:rsidR="00653E05" w:rsidRPr="00653E05">
        <w:rPr>
          <w:rFonts w:ascii="Times New Roman" w:hAnsi="Times New Roman" w:cs="Times New Roman" w:hint="eastAsia"/>
          <w:sz w:val="20"/>
          <w:szCs w:val="20"/>
        </w:rPr>
        <w:t>. (h) Quantification of GSDME-N expression by Western blotting. Band intensities were normalized to vinculin.</w:t>
      </w:r>
      <w:r w:rsidR="00FC3B38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9901AC" w:rsidRPr="00800960">
        <w:rPr>
          <w:rFonts w:ascii="Times New Roman" w:hAnsi="Times New Roman" w:cs="Times New Roman"/>
          <w:sz w:val="20"/>
          <w:szCs w:val="20"/>
        </w:rPr>
        <w:t>Data are presented as mean ± SD (n = 3). Statistical significance was analyzed by unpaired two-tailed t-test.</w:t>
      </w:r>
      <w:r w:rsidR="00DC7D9C">
        <w:rPr>
          <w:rFonts w:hint="eastAsia"/>
          <w:noProof/>
          <w:sz w:val="24"/>
          <w:szCs w:val="24"/>
        </w:rPr>
        <w:br w:type="page"/>
      </w:r>
    </w:p>
    <w:p w14:paraId="31FD3C97" w14:textId="33FFEC49" w:rsidR="009901AC" w:rsidRPr="00FC3B38" w:rsidRDefault="00606F8F" w:rsidP="00FC3B3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</w:rPr>
        <w:lastRenderedPageBreak/>
        <w:drawing>
          <wp:anchor distT="0" distB="0" distL="114300" distR="114300" simplePos="0" relativeHeight="251672576" behindDoc="0" locked="0" layoutInCell="1" allowOverlap="1" wp14:anchorId="45FC4702" wp14:editId="7CC984E0">
            <wp:simplePos x="0" y="0"/>
            <wp:positionH relativeFrom="margin">
              <wp:posOffset>-1270</wp:posOffset>
            </wp:positionH>
            <wp:positionV relativeFrom="paragraph">
              <wp:posOffset>127</wp:posOffset>
            </wp:positionV>
            <wp:extent cx="5274310" cy="2055495"/>
            <wp:effectExtent l="0" t="0" r="2540" b="1905"/>
            <wp:wrapTopAndBottom/>
            <wp:docPr id="15105758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575810" name="图片 151057581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0BB" w:rsidRPr="00AC0849">
        <w:rPr>
          <w:rFonts w:ascii="Times New Roman" w:hAnsi="Times New Roman" w:cs="Times New Roman"/>
          <w:b/>
          <w:bCs/>
          <w:sz w:val="20"/>
          <w:szCs w:val="20"/>
        </w:rPr>
        <w:t xml:space="preserve">Figure </w:t>
      </w:r>
      <w:r w:rsidR="001260BB">
        <w:rPr>
          <w:rFonts w:ascii="Times New Roman" w:hAnsi="Times New Roman" w:cs="Times New Roman" w:hint="eastAsia"/>
          <w:b/>
          <w:bCs/>
          <w:sz w:val="20"/>
          <w:szCs w:val="20"/>
        </w:rPr>
        <w:t>S</w:t>
      </w:r>
      <w:r w:rsidR="00FC3B38">
        <w:rPr>
          <w:rFonts w:ascii="Times New Roman" w:hAnsi="Times New Roman" w:cs="Times New Roman" w:hint="eastAsia"/>
          <w:b/>
          <w:bCs/>
          <w:sz w:val="20"/>
          <w:szCs w:val="20"/>
        </w:rPr>
        <w:t>7</w:t>
      </w:r>
      <w:r w:rsidR="001260BB" w:rsidRPr="00AC0849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bookmarkStart w:id="1" w:name="_Hlk215096533"/>
      <w:r w:rsidR="001260BB" w:rsidRPr="00AC0849">
        <w:rPr>
          <w:rFonts w:ascii="Times New Roman" w:hAnsi="Times New Roman" w:cs="Times New Roman"/>
          <w:sz w:val="20"/>
          <w:szCs w:val="20"/>
        </w:rPr>
        <w:t>The release of cytokines</w:t>
      </w:r>
      <w:bookmarkEnd w:id="1"/>
      <w:r w:rsidR="001260BB" w:rsidRPr="00AC0849">
        <w:rPr>
          <w:rFonts w:ascii="Times New Roman" w:hAnsi="Times New Roman" w:cs="Times New Roman"/>
          <w:sz w:val="20"/>
          <w:szCs w:val="20"/>
        </w:rPr>
        <w:t xml:space="preserve"> from NP@Pt(IV)-E64</w:t>
      </w:r>
      <w:r w:rsidR="001260BB">
        <w:rPr>
          <w:rFonts w:ascii="Times New Roman" w:hAnsi="Times New Roman" w:cs="Times New Roman" w:hint="eastAsia"/>
          <w:sz w:val="20"/>
          <w:szCs w:val="20"/>
        </w:rPr>
        <w:t>d</w:t>
      </w:r>
      <w:r w:rsidR="001260BB" w:rsidRPr="00AC0849">
        <w:rPr>
          <w:rFonts w:ascii="Times New Roman" w:hAnsi="Times New Roman" w:cs="Times New Roman"/>
          <w:sz w:val="20"/>
          <w:szCs w:val="20"/>
        </w:rPr>
        <w:t>-triggered pyroptosis remodels the immune landscape.</w:t>
      </w:r>
      <w:r w:rsidR="001260BB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1260BB" w:rsidRPr="001260BB">
        <w:rPr>
          <w:rFonts w:ascii="Times New Roman" w:hAnsi="Times New Roman" w:cs="Times New Roman" w:hint="eastAsia"/>
          <w:sz w:val="20"/>
          <w:szCs w:val="20"/>
        </w:rPr>
        <w:t>(</w:t>
      </w:r>
      <w:r w:rsidR="00FC3B38">
        <w:rPr>
          <w:rFonts w:ascii="Times New Roman" w:hAnsi="Times New Roman" w:cs="Times New Roman" w:hint="eastAsia"/>
          <w:sz w:val="20"/>
          <w:szCs w:val="20"/>
        </w:rPr>
        <w:t>a</w:t>
      </w:r>
      <w:r w:rsidR="001260BB" w:rsidRPr="001260BB">
        <w:rPr>
          <w:rFonts w:ascii="Times New Roman" w:hAnsi="Times New Roman" w:cs="Times New Roman" w:hint="eastAsia"/>
          <w:sz w:val="20"/>
          <w:szCs w:val="20"/>
        </w:rPr>
        <w:t>-</w:t>
      </w:r>
      <w:r w:rsidR="00FC3B38">
        <w:rPr>
          <w:rFonts w:ascii="Times New Roman" w:hAnsi="Times New Roman" w:cs="Times New Roman" w:hint="eastAsia"/>
          <w:sz w:val="20"/>
          <w:szCs w:val="20"/>
        </w:rPr>
        <w:t>c</w:t>
      </w:r>
      <w:r w:rsidR="001260BB" w:rsidRPr="001260BB">
        <w:rPr>
          <w:rFonts w:ascii="Times New Roman" w:hAnsi="Times New Roman" w:cs="Times New Roman" w:hint="eastAsia"/>
          <w:sz w:val="20"/>
          <w:szCs w:val="20"/>
        </w:rPr>
        <w:t xml:space="preserve">) Quantification of </w:t>
      </w:r>
      <w:r w:rsidR="00FC3B38" w:rsidRPr="00FC3B38">
        <w:rPr>
          <w:rFonts w:ascii="Times New Roman" w:hAnsi="Times New Roman" w:cs="Times New Roman"/>
          <w:sz w:val="20"/>
          <w:szCs w:val="20"/>
        </w:rPr>
        <w:t>TNF-α</w:t>
      </w:r>
      <w:r w:rsidR="001260BB" w:rsidRPr="001260BB">
        <w:rPr>
          <w:rFonts w:ascii="Times New Roman" w:hAnsi="Times New Roman" w:cs="Times New Roman" w:hint="eastAsia"/>
          <w:sz w:val="20"/>
          <w:szCs w:val="20"/>
        </w:rPr>
        <w:t xml:space="preserve"> (</w:t>
      </w:r>
      <w:r w:rsidR="00FC3B38">
        <w:rPr>
          <w:rFonts w:ascii="Times New Roman" w:hAnsi="Times New Roman" w:cs="Times New Roman" w:hint="eastAsia"/>
          <w:sz w:val="20"/>
          <w:szCs w:val="20"/>
        </w:rPr>
        <w:t>a</w:t>
      </w:r>
      <w:r w:rsidR="001260BB" w:rsidRPr="001260BB">
        <w:rPr>
          <w:rFonts w:ascii="Times New Roman" w:hAnsi="Times New Roman" w:cs="Times New Roman" w:hint="eastAsia"/>
          <w:sz w:val="20"/>
          <w:szCs w:val="20"/>
        </w:rPr>
        <w:t>), IL-</w:t>
      </w:r>
      <w:r w:rsidR="00FC3B38">
        <w:rPr>
          <w:rFonts w:ascii="Times New Roman" w:hAnsi="Times New Roman" w:cs="Times New Roman" w:hint="eastAsia"/>
          <w:sz w:val="20"/>
          <w:szCs w:val="20"/>
        </w:rPr>
        <w:t>6</w:t>
      </w:r>
      <w:r w:rsidR="001260BB" w:rsidRPr="001260BB">
        <w:rPr>
          <w:rFonts w:ascii="Times New Roman" w:hAnsi="Times New Roman" w:cs="Times New Roman" w:hint="eastAsia"/>
          <w:sz w:val="20"/>
          <w:szCs w:val="20"/>
        </w:rPr>
        <w:t xml:space="preserve"> (</w:t>
      </w:r>
      <w:r w:rsidR="00FC3B38">
        <w:rPr>
          <w:rFonts w:ascii="Times New Roman" w:hAnsi="Times New Roman" w:cs="Times New Roman" w:hint="eastAsia"/>
          <w:sz w:val="20"/>
          <w:szCs w:val="20"/>
        </w:rPr>
        <w:t>b</w:t>
      </w:r>
      <w:r w:rsidR="001260BB" w:rsidRPr="001260BB">
        <w:rPr>
          <w:rFonts w:ascii="Times New Roman" w:hAnsi="Times New Roman" w:cs="Times New Roman" w:hint="eastAsia"/>
          <w:sz w:val="20"/>
          <w:szCs w:val="20"/>
        </w:rPr>
        <w:t xml:space="preserve">), and </w:t>
      </w:r>
      <w:r w:rsidR="001260BB" w:rsidRPr="000D313D">
        <w:rPr>
          <w:rFonts w:ascii="Times New Roman" w:hAnsi="Times New Roman" w:cs="Times New Roman"/>
          <w:sz w:val="20"/>
          <w:szCs w:val="20"/>
        </w:rPr>
        <w:t>I</w:t>
      </w:r>
      <w:r w:rsidR="00FC3B38" w:rsidRPr="000D313D">
        <w:rPr>
          <w:rFonts w:ascii="Times New Roman" w:hAnsi="Times New Roman" w:cs="Times New Roman"/>
          <w:sz w:val="20"/>
          <w:szCs w:val="20"/>
        </w:rPr>
        <w:t>FN-β</w:t>
      </w:r>
      <w:r w:rsidR="001260BB" w:rsidRPr="001260BB">
        <w:rPr>
          <w:rFonts w:ascii="Times New Roman" w:hAnsi="Times New Roman" w:cs="Times New Roman" w:hint="eastAsia"/>
          <w:sz w:val="20"/>
          <w:szCs w:val="20"/>
        </w:rPr>
        <w:t xml:space="preserve"> (</w:t>
      </w:r>
      <w:r w:rsidR="00FC3B38">
        <w:rPr>
          <w:rFonts w:ascii="Times New Roman" w:hAnsi="Times New Roman" w:cs="Times New Roman" w:hint="eastAsia"/>
          <w:sz w:val="20"/>
          <w:szCs w:val="20"/>
        </w:rPr>
        <w:t>c</w:t>
      </w:r>
      <w:r w:rsidR="001260BB" w:rsidRPr="001260BB">
        <w:rPr>
          <w:rFonts w:ascii="Times New Roman" w:hAnsi="Times New Roman" w:cs="Times New Roman" w:hint="eastAsia"/>
          <w:sz w:val="20"/>
          <w:szCs w:val="20"/>
        </w:rPr>
        <w:t>) in the culture supernatant of MB49-R cells after different treatments (n=3).</w:t>
      </w:r>
      <w:r w:rsidR="009901AC">
        <w:rPr>
          <w:rFonts w:hint="eastAsia"/>
          <w:noProof/>
          <w:sz w:val="24"/>
          <w:szCs w:val="24"/>
        </w:rPr>
        <w:br w:type="page"/>
      </w:r>
    </w:p>
    <w:p w14:paraId="13FBE3E1" w14:textId="2DB2C6B1" w:rsidR="009901AC" w:rsidRPr="00922040" w:rsidRDefault="009901AC" w:rsidP="009901AC">
      <w:pPr>
        <w:rPr>
          <w:rFonts w:hint="eastAsia"/>
          <w:noProof/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5BA0B2E6" wp14:editId="657F6B87">
            <wp:simplePos x="0" y="0"/>
            <wp:positionH relativeFrom="margin">
              <wp:align>right</wp:align>
            </wp:positionH>
            <wp:positionV relativeFrom="paragraph">
              <wp:posOffset>602</wp:posOffset>
            </wp:positionV>
            <wp:extent cx="5274310" cy="7289800"/>
            <wp:effectExtent l="0" t="0" r="0" b="6350"/>
            <wp:wrapTopAndBottom/>
            <wp:docPr id="128249276" name="图片 8" descr="城市的夜景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49276" name="图片 8" descr="城市的夜景&#10;&#10;AI 生成的内容可能不正确。"/>
                    <pic:cNvPicPr/>
                  </pic:nvPicPr>
                  <pic:blipFill rotWithShape="1">
                    <a:blip r:embed="rId15"/>
                    <a:srcRect t="518" b="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8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0960">
        <w:rPr>
          <w:rFonts w:ascii="Times New Roman" w:hAnsi="Times New Roman" w:cs="Times New Roman"/>
          <w:b/>
          <w:bCs/>
          <w:sz w:val="20"/>
          <w:szCs w:val="20"/>
        </w:rPr>
        <w:t>Figure S</w:t>
      </w:r>
      <w:r w:rsidR="00FC3B38">
        <w:rPr>
          <w:rFonts w:ascii="Times New Roman" w:hAnsi="Times New Roman" w:cs="Times New Roman" w:hint="eastAsia"/>
          <w:b/>
          <w:bCs/>
          <w:sz w:val="20"/>
          <w:szCs w:val="20"/>
        </w:rPr>
        <w:t>8</w:t>
      </w:r>
      <w:r w:rsidRPr="00800960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Pr="00800960">
        <w:rPr>
          <w:rFonts w:ascii="Times New Roman" w:hAnsi="Times New Roman" w:cs="Times New Roman"/>
          <w:sz w:val="20"/>
          <w:szCs w:val="20"/>
        </w:rPr>
        <w:t>Characterization of DAMPs and PD-L1 expression combined with quantitative analysis of BMDCs and BMDMs. (a-b) CLSM images of CRT (a) and the corresponding quantification (b) in MB49-R cells after different treatments. (c-d)</w:t>
      </w:r>
      <w:r w:rsidR="00922040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800960">
        <w:rPr>
          <w:rFonts w:ascii="Times New Roman" w:hAnsi="Times New Roman" w:cs="Times New Roman"/>
          <w:sz w:val="20"/>
          <w:szCs w:val="20"/>
        </w:rPr>
        <w:t>CLSM images of HMGB1 (c) and the corresponding quantification (d) in MB49-R cells after different treatments. (e-f) CLSM images of PD-L1 (e) and the corresponding quantification (f) in MB49-R cells after different treatments. (g-</w:t>
      </w:r>
      <w:r w:rsidRPr="00800960">
        <w:rPr>
          <w:rFonts w:ascii="Times New Roman" w:hAnsi="Times New Roman" w:cs="Times New Roman" w:hint="eastAsia"/>
          <w:sz w:val="20"/>
          <w:szCs w:val="20"/>
        </w:rPr>
        <w:t>h</w:t>
      </w:r>
      <w:r w:rsidRPr="00800960">
        <w:rPr>
          <w:rFonts w:ascii="Times New Roman" w:hAnsi="Times New Roman" w:cs="Times New Roman"/>
          <w:sz w:val="20"/>
          <w:szCs w:val="20"/>
        </w:rPr>
        <w:t xml:space="preserve">) </w:t>
      </w:r>
      <w:r w:rsidRPr="00800960">
        <w:rPr>
          <w:rFonts w:ascii="Times New Roman" w:hAnsi="Times New Roman" w:cs="Times New Roman" w:hint="eastAsia"/>
          <w:sz w:val="20"/>
          <w:szCs w:val="20"/>
        </w:rPr>
        <w:t>Quantification of (g) mature BMDCs and (h) the M1/M2 macrophage ratio by flow cytometry.</w:t>
      </w:r>
      <w:r w:rsidRPr="00800960">
        <w:rPr>
          <w:rFonts w:ascii="Times New Roman" w:hAnsi="Times New Roman" w:cs="Times New Roman"/>
          <w:sz w:val="20"/>
          <w:szCs w:val="20"/>
        </w:rPr>
        <w:t xml:space="preserve"> Data are presented as mean ± SD (n = 3). Statistical significance was analyzed by unpaired two-tailed t-test.</w:t>
      </w:r>
    </w:p>
    <w:p w14:paraId="616182D9" w14:textId="0207FE00" w:rsidR="0021084C" w:rsidRPr="00FC3B38" w:rsidRDefault="00C3495F" w:rsidP="00FC3B38">
      <w:pPr>
        <w:rPr>
          <w:rFonts w:ascii="Times New Roman" w:hAnsi="Times New Roman" w:cs="Times New Roman"/>
          <w:sz w:val="20"/>
          <w:szCs w:val="20"/>
        </w:rPr>
      </w:pPr>
      <w:r w:rsidRPr="00C43F9F">
        <w:rPr>
          <w:rFonts w:ascii="Times New Roman" w:hAnsi="Times New Roman" w:cs="Times New Roman" w:hint="eastAsia"/>
          <w:b/>
          <w:bCs/>
          <w:sz w:val="20"/>
          <w:szCs w:val="20"/>
        </w:rPr>
        <w:lastRenderedPageBreak/>
        <w:t>Figure S</w:t>
      </w:r>
      <w:r w:rsidR="00F02644">
        <w:rPr>
          <w:rFonts w:ascii="Times New Roman" w:hAnsi="Times New Roman" w:cs="Times New Roman" w:hint="eastAsia"/>
          <w:b/>
          <w:bCs/>
          <w:sz w:val="20"/>
          <w:szCs w:val="20"/>
        </w:rPr>
        <w:t>9</w:t>
      </w:r>
      <w:r w:rsidRPr="00C43F9F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C43F9F">
        <w:rPr>
          <w:rFonts w:ascii="Times New Roman" w:hAnsi="Times New Roman" w:cs="Times New Roman" w:hint="eastAsia"/>
          <w:sz w:val="20"/>
          <w:szCs w:val="20"/>
        </w:rPr>
        <w:t xml:space="preserve"> Serum biochemical analysis of mice after different treatments. The levels of alanine aminotransferase (ALT)</w:t>
      </w:r>
      <w:r>
        <w:rPr>
          <w:rFonts w:ascii="Times New Roman" w:hAnsi="Times New Roman" w:cs="Times New Roman" w:hint="eastAsia"/>
          <w:sz w:val="20"/>
          <w:szCs w:val="20"/>
        </w:rPr>
        <w:t xml:space="preserve"> (a)</w:t>
      </w:r>
      <w:r w:rsidRPr="00C43F9F">
        <w:rPr>
          <w:rFonts w:ascii="Times New Roman" w:hAnsi="Times New Roman" w:cs="Times New Roman" w:hint="eastAsia"/>
          <w:sz w:val="20"/>
          <w:szCs w:val="20"/>
        </w:rPr>
        <w:t>, aspartate aminotransferase (AST)</w:t>
      </w:r>
      <w:r>
        <w:rPr>
          <w:rFonts w:ascii="Times New Roman" w:hAnsi="Times New Roman" w:cs="Times New Roman" w:hint="eastAsia"/>
          <w:sz w:val="20"/>
          <w:szCs w:val="20"/>
        </w:rPr>
        <w:t xml:space="preserve"> (b)</w:t>
      </w:r>
      <w:r w:rsidRPr="00C43F9F">
        <w:rPr>
          <w:rFonts w:ascii="Times New Roman" w:hAnsi="Times New Roman" w:cs="Times New Roman" w:hint="eastAsia"/>
          <w:sz w:val="20"/>
          <w:szCs w:val="20"/>
        </w:rPr>
        <w:t>, creatinine (CRE)</w:t>
      </w:r>
      <w:r>
        <w:rPr>
          <w:rFonts w:ascii="Times New Roman" w:hAnsi="Times New Roman" w:cs="Times New Roman" w:hint="eastAsia"/>
          <w:sz w:val="20"/>
          <w:szCs w:val="20"/>
        </w:rPr>
        <w:t xml:space="preserve"> (c)</w:t>
      </w:r>
      <w:r w:rsidRPr="00C43F9F">
        <w:rPr>
          <w:rFonts w:ascii="Times New Roman" w:hAnsi="Times New Roman" w:cs="Times New Roman" w:hint="eastAsia"/>
          <w:sz w:val="20"/>
          <w:szCs w:val="20"/>
        </w:rPr>
        <w:t xml:space="preserve">, and creatine kinase isoenzyme MB (CK-MB) </w:t>
      </w:r>
      <w:r>
        <w:rPr>
          <w:rFonts w:ascii="Times New Roman" w:hAnsi="Times New Roman" w:cs="Times New Roman" w:hint="eastAsia"/>
          <w:sz w:val="20"/>
          <w:szCs w:val="20"/>
        </w:rPr>
        <w:t xml:space="preserve">(d) </w:t>
      </w:r>
      <w:r w:rsidRPr="00C43F9F">
        <w:rPr>
          <w:rFonts w:ascii="Times New Roman" w:hAnsi="Times New Roman" w:cs="Times New Roman" w:hint="eastAsia"/>
          <w:sz w:val="20"/>
          <w:szCs w:val="20"/>
        </w:rPr>
        <w:t>were measured to evaluate systemic toxicity.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D155D7">
        <w:rPr>
          <w:rFonts w:ascii="Times New Roman" w:hAnsi="Times New Roman" w:cs="Times New Roman" w:hint="eastAsia"/>
          <w:sz w:val="20"/>
          <w:szCs w:val="20"/>
        </w:rPr>
        <w:t xml:space="preserve">Data are presented as mean </w:t>
      </w:r>
      <w:r w:rsidRPr="00D155D7">
        <w:rPr>
          <w:rFonts w:ascii="Times New Roman" w:hAnsi="Times New Roman" w:cs="Times New Roman" w:hint="eastAsia"/>
          <w:sz w:val="20"/>
          <w:szCs w:val="20"/>
        </w:rPr>
        <w:t>±</w:t>
      </w:r>
      <w:r w:rsidRPr="00D155D7">
        <w:rPr>
          <w:rFonts w:ascii="Times New Roman" w:hAnsi="Times New Roman" w:cs="Times New Roman" w:hint="eastAsia"/>
          <w:sz w:val="20"/>
          <w:szCs w:val="20"/>
        </w:rPr>
        <w:t xml:space="preserve"> SD (n = 3). Statistical significance was analyzed by unpaired two-tailed t-test.</w:t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2DD3521F" wp14:editId="28C7FF5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274310" cy="4749800"/>
            <wp:effectExtent l="0" t="0" r="2540" b="0"/>
            <wp:wrapTopAndBottom/>
            <wp:docPr id="212292435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924355" name="图片 21229243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040">
        <w:rPr>
          <w:rFonts w:hint="eastAsia"/>
          <w:noProof/>
          <w:sz w:val="24"/>
          <w:szCs w:val="24"/>
        </w:rPr>
        <w:br w:type="page"/>
      </w:r>
    </w:p>
    <w:p w14:paraId="43C876AD" w14:textId="23AA124A" w:rsidR="00F02644" w:rsidRDefault="0021084C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21084C">
        <w:rPr>
          <w:rFonts w:hint="eastAsia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55E0462F" wp14:editId="0EFB45A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664710" cy="3733800"/>
            <wp:effectExtent l="0" t="0" r="2540" b="0"/>
            <wp:wrapTopAndBottom/>
            <wp:docPr id="11326747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674708" name="图片 113267470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6471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084C">
        <w:rPr>
          <w:rFonts w:ascii="Times New Roman" w:hAnsi="Times New Roman" w:cs="Times New Roman" w:hint="eastAsia"/>
          <w:b/>
          <w:bCs/>
          <w:sz w:val="20"/>
          <w:szCs w:val="20"/>
        </w:rPr>
        <w:t>Figure S</w:t>
      </w:r>
      <w:r w:rsidR="00F02644">
        <w:rPr>
          <w:rFonts w:ascii="Times New Roman" w:hAnsi="Times New Roman" w:cs="Times New Roman" w:hint="eastAsia"/>
          <w:b/>
          <w:bCs/>
          <w:sz w:val="20"/>
          <w:szCs w:val="20"/>
        </w:rPr>
        <w:t>10</w:t>
      </w:r>
      <w:r w:rsidRPr="0021084C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21084C">
        <w:rPr>
          <w:rFonts w:ascii="Times New Roman" w:hAnsi="Times New Roman" w:cs="Times New Roman" w:hint="eastAsia"/>
          <w:sz w:val="20"/>
          <w:szCs w:val="20"/>
        </w:rPr>
        <w:t xml:space="preserve"> Histological evaluation of major organs after different treatments. Representative hematoxylin and eosin (H&amp;E) staining images of heart, liver, spleen, lung, and kidney tissues from C57BL/6 treated with PBS, CisPt, Pt(IV), Pt(IV) + E64d, NP@Pt(IV), and NP@Pt(IV)-E64d. Scale bar: 100 </w:t>
      </w:r>
      <w:r w:rsidRPr="0021084C">
        <w:rPr>
          <w:rFonts w:ascii="Times New Roman" w:hAnsi="Times New Roman" w:cs="Times New Roman" w:hint="eastAsia"/>
          <w:sz w:val="20"/>
          <w:szCs w:val="20"/>
        </w:rPr>
        <w:t>μ</w:t>
      </w:r>
      <w:r w:rsidRPr="0021084C">
        <w:rPr>
          <w:rFonts w:ascii="Times New Roman" w:hAnsi="Times New Roman" w:cs="Times New Roman" w:hint="eastAsia"/>
          <w:sz w:val="20"/>
          <w:szCs w:val="20"/>
        </w:rPr>
        <w:t>m.</w:t>
      </w:r>
      <w:r w:rsidR="00C43F9F">
        <w:rPr>
          <w:rFonts w:ascii="Times New Roman" w:hAnsi="Times New Roman" w:cs="Times New Roman"/>
          <w:sz w:val="20"/>
          <w:szCs w:val="20"/>
        </w:rPr>
        <w:br w:type="page"/>
      </w:r>
    </w:p>
    <w:p w14:paraId="76E0DBBA" w14:textId="6BB98D2E" w:rsidR="00F02644" w:rsidRDefault="00F02644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800960">
        <w:rPr>
          <w:rFonts w:ascii="Times New Roman" w:hAnsi="Times New Roman" w:cs="Times New Roman" w:hint="eastAsia"/>
          <w:b/>
          <w:bCs/>
          <w:sz w:val="20"/>
          <w:szCs w:val="20"/>
        </w:rPr>
        <w:lastRenderedPageBreak/>
        <w:t>Figure S</w:t>
      </w:r>
      <w:r>
        <w:rPr>
          <w:rFonts w:ascii="Times New Roman" w:hAnsi="Times New Roman" w:cs="Times New Roman" w:hint="eastAsia"/>
          <w:b/>
          <w:bCs/>
          <w:sz w:val="20"/>
          <w:szCs w:val="20"/>
        </w:rPr>
        <w:t>11</w:t>
      </w:r>
      <w:r w:rsidRPr="00800960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800960">
        <w:rPr>
          <w:rFonts w:ascii="Times New Roman" w:hAnsi="Times New Roman" w:cs="Times New Roman" w:hint="eastAsia"/>
          <w:sz w:val="20"/>
          <w:szCs w:val="20"/>
        </w:rPr>
        <w:t xml:space="preserve"> Flow cytometric analysis of immune cell populations in tumors and lymph nodes. (a-b) </w:t>
      </w:r>
      <w:r w:rsidRPr="00800960">
        <w:rPr>
          <w:rFonts w:ascii="Times New Roman" w:hAnsi="Times New Roman" w:cs="Times New Roman"/>
          <w:sz w:val="20"/>
          <w:szCs w:val="20"/>
        </w:rPr>
        <w:t>Flow cytometry analysis of mature dendritic cells (CD80⁺CD86⁺) among CD11c⁺ cells in the tumor (a) and draining lymph node (b).</w:t>
      </w:r>
      <w:r w:rsidRPr="00800960">
        <w:rPr>
          <w:rFonts w:ascii="Times New Roman" w:hAnsi="Times New Roman" w:cs="Times New Roman" w:hint="eastAsia"/>
          <w:sz w:val="20"/>
          <w:szCs w:val="20"/>
        </w:rPr>
        <w:t xml:space="preserve"> (c) </w:t>
      </w:r>
      <w:r w:rsidRPr="00800960">
        <w:rPr>
          <w:rFonts w:ascii="Times New Roman" w:hAnsi="Times New Roman" w:cs="Times New Roman"/>
          <w:sz w:val="20"/>
          <w:szCs w:val="20"/>
        </w:rPr>
        <w:t>Flow cytometry analysis of PD-1⁺ cells among CD8⁺ T cells in the tumor.</w:t>
      </w:r>
      <w:r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2A280B2E" wp14:editId="5C1F9FA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274310" cy="3896360"/>
            <wp:effectExtent l="0" t="0" r="2540" b="8890"/>
            <wp:wrapTopAndBottom/>
            <wp:docPr id="124068035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680354" name="图片 1240680354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9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7D342BD1" w14:textId="77777777" w:rsidR="00C43F9F" w:rsidRPr="00FC3B38" w:rsidRDefault="00C43F9F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</w:p>
    <w:p w14:paraId="7BE55387" w14:textId="02ADAAB0" w:rsidR="00D155D7" w:rsidRPr="00D155D7" w:rsidRDefault="0028210D" w:rsidP="00D155D7">
      <w:pPr>
        <w:rPr>
          <w:rFonts w:ascii="Times New Roman" w:hAnsi="Times New Roman" w:cs="Times New Roman"/>
          <w:sz w:val="20"/>
          <w:szCs w:val="20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93AE69" wp14:editId="133307CD">
            <wp:simplePos x="0" y="0"/>
            <wp:positionH relativeFrom="margin">
              <wp:align>left</wp:align>
            </wp:positionH>
            <wp:positionV relativeFrom="paragraph">
              <wp:posOffset>602</wp:posOffset>
            </wp:positionV>
            <wp:extent cx="5274310" cy="6900545"/>
            <wp:effectExtent l="0" t="0" r="2540" b="0"/>
            <wp:wrapTopAndBottom/>
            <wp:docPr id="15005720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572004" name="图片 150057200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0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040" w:rsidRPr="00800960">
        <w:rPr>
          <w:rFonts w:ascii="Times New Roman" w:hAnsi="Times New Roman" w:cs="Times New Roman" w:hint="eastAsia"/>
          <w:b/>
          <w:bCs/>
          <w:sz w:val="20"/>
          <w:szCs w:val="20"/>
        </w:rPr>
        <w:t>Figure S</w:t>
      </w:r>
      <w:r w:rsidR="00AB00EC">
        <w:rPr>
          <w:rFonts w:ascii="Times New Roman" w:hAnsi="Times New Roman" w:cs="Times New Roman" w:hint="eastAsia"/>
          <w:b/>
          <w:bCs/>
          <w:sz w:val="20"/>
          <w:szCs w:val="20"/>
        </w:rPr>
        <w:t>12</w:t>
      </w:r>
      <w:r w:rsidR="00922040" w:rsidRPr="00800960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 xml:space="preserve"> Flow cytometric analysis of immune cell populations in tumors and lymph nodes. (a) </w:t>
      </w:r>
      <w:r w:rsidR="00922040" w:rsidRPr="00800960">
        <w:rPr>
          <w:rFonts w:ascii="Times New Roman" w:hAnsi="Times New Roman" w:cs="Times New Roman"/>
          <w:sz w:val="20"/>
          <w:szCs w:val="20"/>
        </w:rPr>
        <w:t xml:space="preserve">Flow cytometry analysis of TCM (CD44⁺CD62L⁺) in 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lymph nodes</w:t>
      </w:r>
      <w:r w:rsidR="00922040" w:rsidRPr="00800960">
        <w:rPr>
          <w:rFonts w:ascii="Times New Roman" w:hAnsi="Times New Roman" w:cs="Times New Roman"/>
          <w:sz w:val="20"/>
          <w:szCs w:val="20"/>
        </w:rPr>
        <w:t>.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 xml:space="preserve"> (b) </w:t>
      </w:r>
      <w:r w:rsidR="00922040" w:rsidRPr="00800960">
        <w:rPr>
          <w:rFonts w:ascii="Times New Roman" w:hAnsi="Times New Roman" w:cs="Times New Roman"/>
          <w:sz w:val="20"/>
          <w:szCs w:val="20"/>
        </w:rPr>
        <w:t xml:space="preserve">Flow cytometry analysis of 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MDSC</w:t>
      </w:r>
      <w:r w:rsidR="00922040" w:rsidRPr="00800960">
        <w:rPr>
          <w:rFonts w:ascii="Times New Roman" w:hAnsi="Times New Roman" w:cs="Times New Roman"/>
          <w:sz w:val="20"/>
          <w:szCs w:val="20"/>
        </w:rPr>
        <w:t xml:space="preserve"> (CD4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5</w:t>
      </w:r>
      <w:r w:rsidR="00922040" w:rsidRPr="00800960">
        <w:rPr>
          <w:rFonts w:ascii="Times New Roman" w:hAnsi="Times New Roman" w:cs="Times New Roman"/>
          <w:sz w:val="20"/>
          <w:szCs w:val="20"/>
        </w:rPr>
        <w:t>⁺CD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11b</w:t>
      </w:r>
      <w:r w:rsidR="00922040" w:rsidRPr="00800960">
        <w:rPr>
          <w:rFonts w:ascii="Times New Roman" w:hAnsi="Times New Roman" w:cs="Times New Roman" w:hint="eastAsia"/>
          <w:sz w:val="20"/>
          <w:szCs w:val="20"/>
          <w:vertAlign w:val="superscript"/>
        </w:rPr>
        <w:t>+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GR1</w:t>
      </w:r>
      <w:r w:rsidR="00922040" w:rsidRPr="00800960">
        <w:rPr>
          <w:rFonts w:ascii="Times New Roman" w:hAnsi="Times New Roman" w:cs="Times New Roman"/>
          <w:sz w:val="20"/>
          <w:szCs w:val="20"/>
        </w:rPr>
        <w:t>⁺) in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 xml:space="preserve"> tumor</w:t>
      </w:r>
      <w:r w:rsidR="00922040" w:rsidRPr="00800960">
        <w:rPr>
          <w:rFonts w:ascii="Times New Roman" w:hAnsi="Times New Roman" w:cs="Times New Roman"/>
          <w:sz w:val="20"/>
          <w:szCs w:val="20"/>
        </w:rPr>
        <w:t>.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922040" w:rsidRPr="00800960">
        <w:rPr>
          <w:rFonts w:ascii="Times New Roman" w:hAnsi="Times New Roman" w:cs="Times New Roman"/>
          <w:sz w:val="20"/>
          <w:szCs w:val="20"/>
        </w:rPr>
        <w:t>(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c</w:t>
      </w:r>
      <w:r w:rsidR="00922040" w:rsidRPr="00800960">
        <w:rPr>
          <w:rFonts w:ascii="Times New Roman" w:hAnsi="Times New Roman" w:cs="Times New Roman"/>
          <w:sz w:val="20"/>
          <w:szCs w:val="20"/>
        </w:rPr>
        <w:t xml:space="preserve">) Flow cytometry analysis of 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LAG3</w:t>
      </w:r>
      <w:r w:rsidR="00922040" w:rsidRPr="00800960">
        <w:rPr>
          <w:rFonts w:ascii="Times New Roman" w:hAnsi="Times New Roman" w:cs="Times New Roman" w:hint="eastAsia"/>
          <w:sz w:val="20"/>
          <w:szCs w:val="20"/>
          <w:vertAlign w:val="superscript"/>
        </w:rPr>
        <w:t>+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T cells</w:t>
      </w:r>
      <w:r w:rsidR="00922040" w:rsidRPr="00800960">
        <w:rPr>
          <w:rFonts w:ascii="Times New Roman" w:hAnsi="Times New Roman" w:cs="Times New Roman"/>
          <w:sz w:val="20"/>
          <w:szCs w:val="20"/>
        </w:rPr>
        <w:t xml:space="preserve"> (CD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3</w:t>
      </w:r>
      <w:r w:rsidR="00922040" w:rsidRPr="00800960">
        <w:rPr>
          <w:rFonts w:ascii="Times New Roman" w:hAnsi="Times New Roman" w:cs="Times New Roman"/>
          <w:sz w:val="20"/>
          <w:szCs w:val="20"/>
        </w:rPr>
        <w:t>⁺CD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8</w:t>
      </w:r>
      <w:r w:rsidR="00922040" w:rsidRPr="00800960">
        <w:rPr>
          <w:rFonts w:ascii="Times New Roman" w:hAnsi="Times New Roman" w:cs="Times New Roman"/>
          <w:sz w:val="20"/>
          <w:szCs w:val="20"/>
          <w:vertAlign w:val="superscript"/>
        </w:rPr>
        <w:t>+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CD2</w:t>
      </w:r>
      <w:r w:rsidR="000128F9">
        <w:rPr>
          <w:rFonts w:ascii="Times New Roman" w:hAnsi="Times New Roman" w:cs="Times New Roman" w:hint="eastAsia"/>
          <w:sz w:val="20"/>
          <w:szCs w:val="20"/>
        </w:rPr>
        <w:t>2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3</w:t>
      </w:r>
      <w:r w:rsidR="00922040" w:rsidRPr="00800960">
        <w:rPr>
          <w:rFonts w:ascii="Times New Roman" w:hAnsi="Times New Roman" w:cs="Times New Roman"/>
          <w:sz w:val="20"/>
          <w:szCs w:val="20"/>
        </w:rPr>
        <w:t>⁺) in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922040" w:rsidRPr="00800960">
        <w:rPr>
          <w:rFonts w:ascii="Times New Roman" w:hAnsi="Times New Roman" w:cs="Times New Roman"/>
          <w:sz w:val="20"/>
          <w:szCs w:val="20"/>
        </w:rPr>
        <w:t>tumor.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922040" w:rsidRPr="00800960">
        <w:rPr>
          <w:rFonts w:ascii="Times New Roman" w:hAnsi="Times New Roman" w:cs="Times New Roman"/>
          <w:sz w:val="20"/>
          <w:szCs w:val="20"/>
        </w:rPr>
        <w:t>(</w:t>
      </w:r>
      <w:r w:rsidR="00D155D7">
        <w:rPr>
          <w:rFonts w:ascii="Times New Roman" w:hAnsi="Times New Roman" w:cs="Times New Roman" w:hint="eastAsia"/>
          <w:sz w:val="20"/>
          <w:szCs w:val="20"/>
        </w:rPr>
        <w:t>d</w:t>
      </w:r>
      <w:r w:rsidR="00922040" w:rsidRPr="00800960">
        <w:rPr>
          <w:rFonts w:ascii="Times New Roman" w:hAnsi="Times New Roman" w:cs="Times New Roman"/>
          <w:sz w:val="20"/>
          <w:szCs w:val="20"/>
        </w:rPr>
        <w:t xml:space="preserve">) Flow cytometry analysis of 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NK</w:t>
      </w:r>
      <w:r w:rsidR="00922040" w:rsidRPr="00800960">
        <w:rPr>
          <w:rFonts w:ascii="Times New Roman" w:hAnsi="Times New Roman" w:cs="Times New Roman"/>
          <w:sz w:val="20"/>
          <w:szCs w:val="20"/>
        </w:rPr>
        <w:t xml:space="preserve"> cells (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NK1.1</w:t>
      </w:r>
      <w:r w:rsidR="00922040" w:rsidRPr="00800960">
        <w:rPr>
          <w:rFonts w:ascii="Times New Roman" w:hAnsi="Times New Roman" w:cs="Times New Roman"/>
          <w:sz w:val="20"/>
          <w:szCs w:val="20"/>
        </w:rPr>
        <w:t>⁺CD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69</w:t>
      </w:r>
      <w:r w:rsidR="00922040" w:rsidRPr="00800960">
        <w:rPr>
          <w:rFonts w:ascii="Times New Roman" w:hAnsi="Times New Roman" w:cs="Times New Roman"/>
          <w:sz w:val="20"/>
          <w:szCs w:val="20"/>
          <w:vertAlign w:val="superscript"/>
        </w:rPr>
        <w:t>+</w:t>
      </w:r>
      <w:r w:rsidR="00922040" w:rsidRPr="00800960">
        <w:rPr>
          <w:rFonts w:ascii="Times New Roman" w:hAnsi="Times New Roman" w:cs="Times New Roman" w:hint="eastAsia"/>
          <w:sz w:val="20"/>
          <w:szCs w:val="20"/>
        </w:rPr>
        <w:t>KLGR1</w:t>
      </w:r>
      <w:r w:rsidR="00922040" w:rsidRPr="00800960">
        <w:rPr>
          <w:rFonts w:ascii="Times New Roman" w:hAnsi="Times New Roman" w:cs="Times New Roman"/>
          <w:sz w:val="20"/>
          <w:szCs w:val="20"/>
        </w:rPr>
        <w:t>⁺) in tumor.</w:t>
      </w:r>
      <w:bookmarkStart w:id="2" w:name="_Hlk207712608"/>
    </w:p>
    <w:tbl>
      <w:tblPr>
        <w:tblpPr w:leftFromText="180" w:rightFromText="180" w:vertAnchor="page" w:horzAnchor="margin" w:tblpY="1946"/>
        <w:tblW w:w="78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8"/>
        <w:gridCol w:w="2654"/>
        <w:gridCol w:w="2854"/>
      </w:tblGrid>
      <w:tr w:rsidR="00D155D7" w:rsidRPr="00D41989" w14:paraId="479EFBE6" w14:textId="77777777" w:rsidTr="00D155D7">
        <w:trPr>
          <w:trHeight w:val="541"/>
        </w:trPr>
        <w:tc>
          <w:tcPr>
            <w:tcW w:w="2388" w:type="dxa"/>
            <w:tcBorders>
              <w:top w:val="single" w:sz="12" w:space="0" w:color="000000"/>
              <w:left w:val="nil"/>
              <w:bottom w:val="single" w:sz="6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8CDF9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lastRenderedPageBreak/>
              <w:t>Cell line</w:t>
            </w:r>
          </w:p>
        </w:tc>
        <w:tc>
          <w:tcPr>
            <w:tcW w:w="2654" w:type="dxa"/>
            <w:tcBorders>
              <w:top w:val="single" w:sz="12" w:space="0" w:color="000000"/>
              <w:left w:val="nil"/>
              <w:bottom w:val="single" w:sz="6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2B73A" w14:textId="77777777" w:rsidR="00D155D7" w:rsidRDefault="00D155D7" w:rsidP="00D155D7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hAnsi="Times New Roman" w:cs="Times New Roman"/>
                <w:sz w:val="24"/>
                <w:szCs w:val="24"/>
              </w:rPr>
              <w:t>Cisplatin</w:t>
            </w: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 xml:space="preserve"> </w:t>
            </w:r>
          </w:p>
          <w:p w14:paraId="03CC09E2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( n=3, Mean ± SD )</w:t>
            </w:r>
          </w:p>
        </w:tc>
        <w:tc>
          <w:tcPr>
            <w:tcW w:w="2854" w:type="dxa"/>
            <w:tcBorders>
              <w:top w:val="single" w:sz="12" w:space="0" w:color="000000"/>
              <w:left w:val="nil"/>
              <w:bottom w:val="single" w:sz="6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3E676" w14:textId="77777777" w:rsidR="00D155D7" w:rsidRDefault="00D155D7" w:rsidP="00D155D7">
            <w:pPr>
              <w:widowControl/>
              <w:jc w:val="center"/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 w:hint="eastAsia"/>
                <w:color w:val="000000" w:themeColor="text1"/>
                <w:sz w:val="24"/>
                <w:szCs w:val="24"/>
                <w14:ligatures w14:val="none"/>
              </w:rPr>
              <w:t>Gemcitabine</w:t>
            </w: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 xml:space="preserve"> </w:t>
            </w:r>
          </w:p>
          <w:p w14:paraId="3BCD2205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( n=3, Mean ± SD )</w:t>
            </w:r>
          </w:p>
        </w:tc>
      </w:tr>
      <w:tr w:rsidR="00D155D7" w:rsidRPr="00D41989" w14:paraId="6F3E5D71" w14:textId="77777777" w:rsidTr="00D155D7">
        <w:trPr>
          <w:trHeight w:val="732"/>
        </w:trPr>
        <w:tc>
          <w:tcPr>
            <w:tcW w:w="2388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2777A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MB49-R</w:t>
            </w:r>
          </w:p>
        </w:tc>
        <w:tc>
          <w:tcPr>
            <w:tcW w:w="2654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E63C0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15.8 ± 0.9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5B430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3.1 ± 0.3</w:t>
            </w:r>
          </w:p>
        </w:tc>
      </w:tr>
      <w:tr w:rsidR="00D155D7" w:rsidRPr="00D41989" w14:paraId="1BEA7ED8" w14:textId="77777777" w:rsidTr="00D155D7">
        <w:trPr>
          <w:trHeight w:val="541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3A73F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MB49-S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3E4A5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4.2 ± 0.5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74FBB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ligatures w14:val="none"/>
              </w:rPr>
              <w:t>0.5 ± 0.1</w:t>
            </w:r>
          </w:p>
        </w:tc>
      </w:tr>
      <w:tr w:rsidR="00D155D7" w:rsidRPr="00D41989" w14:paraId="34840432" w14:textId="77777777" w:rsidTr="00D155D7">
        <w:trPr>
          <w:trHeight w:val="541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0EA01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T24-R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DF16B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17.8 ± 1.8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37387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ligatures w14:val="none"/>
              </w:rPr>
              <w:t>3.8 ± 0.2</w:t>
            </w:r>
          </w:p>
        </w:tc>
      </w:tr>
      <w:tr w:rsidR="00D155D7" w:rsidRPr="00D41989" w14:paraId="1C03ACEE" w14:textId="77777777" w:rsidTr="00D155D7">
        <w:trPr>
          <w:trHeight w:val="541"/>
        </w:trPr>
        <w:tc>
          <w:tcPr>
            <w:tcW w:w="2388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1B945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T24-S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D745E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  <w14:ligatures w14:val="none"/>
              </w:rPr>
              <w:t>10.5 ±1.7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60DFF" w14:textId="77777777" w:rsidR="00D155D7" w:rsidRPr="00D41989" w:rsidRDefault="00D155D7" w:rsidP="00D155D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4198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ligatures w14:val="none"/>
              </w:rPr>
              <w:t>1.1 ± 0.1</w:t>
            </w:r>
          </w:p>
        </w:tc>
      </w:tr>
    </w:tbl>
    <w:p w14:paraId="13D963DC" w14:textId="511ABDB4" w:rsidR="00922040" w:rsidRPr="00922040" w:rsidRDefault="00756EB4" w:rsidP="00D155D7">
      <w:pPr>
        <w:widowControl/>
        <w:jc w:val="center"/>
        <w:rPr>
          <w:rFonts w:hint="eastAsia"/>
          <w:noProof/>
          <w:sz w:val="24"/>
          <w:szCs w:val="24"/>
        </w:rPr>
      </w:pPr>
      <w:r w:rsidRPr="00D41989">
        <w:rPr>
          <w:rFonts w:ascii="Times New Roman" w:hAnsi="Times New Roman" w:cs="Times New Roman"/>
          <w:sz w:val="24"/>
          <w:szCs w:val="24"/>
        </w:rPr>
        <w:t xml:space="preserve">Table S1. IC₅₀ </w:t>
      </w:r>
      <w:r w:rsidR="00D41989" w:rsidRPr="00D41989">
        <w:rPr>
          <w:rFonts w:ascii="Times New Roman" w:hAnsi="Times New Roman" w:cs="Times New Roman" w:hint="eastAsia"/>
          <w:sz w:val="24"/>
          <w:szCs w:val="24"/>
        </w:rPr>
        <w:t>(</w:t>
      </w:r>
      <w:r w:rsidR="00D41989" w:rsidRPr="00D41989">
        <w:rPr>
          <w:rFonts w:ascii="Times New Roman" w:hAnsi="Times New Roman" w:cs="Times New Roman" w:hint="eastAsia"/>
          <w:sz w:val="24"/>
          <w:szCs w:val="24"/>
        </w:rPr>
        <w:t>μ</w:t>
      </w:r>
      <w:r w:rsidR="00D41989" w:rsidRPr="00D41989">
        <w:rPr>
          <w:rFonts w:ascii="Times New Roman" w:hAnsi="Times New Roman" w:cs="Times New Roman" w:hint="eastAsia"/>
          <w:sz w:val="24"/>
          <w:szCs w:val="24"/>
        </w:rPr>
        <w:t>M)</w:t>
      </w:r>
      <w:r w:rsidRPr="00D41989">
        <w:rPr>
          <w:rFonts w:ascii="Times New Roman" w:hAnsi="Times New Roman" w:cs="Times New Roman"/>
          <w:sz w:val="24"/>
          <w:szCs w:val="24"/>
        </w:rPr>
        <w:t xml:space="preserve"> of Cisplatin and Gemcitabine in Various Cell Lines.</w:t>
      </w:r>
      <w:bookmarkEnd w:id="2"/>
    </w:p>
    <w:sectPr w:rsidR="00922040" w:rsidRPr="00922040" w:rsidSect="000903EA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D47B0" w14:textId="77777777" w:rsidR="009177D0" w:rsidRDefault="009177D0" w:rsidP="00E33A56">
      <w:pPr>
        <w:rPr>
          <w:rFonts w:hint="eastAsia"/>
        </w:rPr>
      </w:pPr>
      <w:r>
        <w:separator/>
      </w:r>
    </w:p>
  </w:endnote>
  <w:endnote w:type="continuationSeparator" w:id="0">
    <w:p w14:paraId="75BE6F0A" w14:textId="77777777" w:rsidR="009177D0" w:rsidRDefault="009177D0" w:rsidP="00E33A5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186848"/>
      <w:docPartObj>
        <w:docPartGallery w:val="Page Numbers (Bottom of Page)"/>
        <w:docPartUnique/>
      </w:docPartObj>
    </w:sdtPr>
    <w:sdtContent>
      <w:p w14:paraId="44628A59" w14:textId="40025C1F" w:rsidR="00C3495F" w:rsidRDefault="00C3495F">
        <w:pPr>
          <w:pStyle w:val="af0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647AAD7" w14:textId="77777777" w:rsidR="00906669" w:rsidRDefault="00906669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939D2" w14:textId="77777777" w:rsidR="009177D0" w:rsidRDefault="009177D0" w:rsidP="00E33A56">
      <w:pPr>
        <w:rPr>
          <w:rFonts w:hint="eastAsia"/>
        </w:rPr>
      </w:pPr>
      <w:r>
        <w:separator/>
      </w:r>
    </w:p>
  </w:footnote>
  <w:footnote w:type="continuationSeparator" w:id="0">
    <w:p w14:paraId="7359E2D5" w14:textId="77777777" w:rsidR="009177D0" w:rsidRDefault="009177D0" w:rsidP="00E33A5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E64"/>
    <w:rsid w:val="00000AE8"/>
    <w:rsid w:val="000128F9"/>
    <w:rsid w:val="00025976"/>
    <w:rsid w:val="00034F3C"/>
    <w:rsid w:val="00042905"/>
    <w:rsid w:val="0004575A"/>
    <w:rsid w:val="00053E4B"/>
    <w:rsid w:val="00054D7F"/>
    <w:rsid w:val="00062FF8"/>
    <w:rsid w:val="0006447F"/>
    <w:rsid w:val="000722B1"/>
    <w:rsid w:val="00083E64"/>
    <w:rsid w:val="000850C3"/>
    <w:rsid w:val="000903EA"/>
    <w:rsid w:val="00091FD0"/>
    <w:rsid w:val="000A1139"/>
    <w:rsid w:val="000A327B"/>
    <w:rsid w:val="000A4E1B"/>
    <w:rsid w:val="000A600D"/>
    <w:rsid w:val="000A6912"/>
    <w:rsid w:val="000A742A"/>
    <w:rsid w:val="000A7874"/>
    <w:rsid w:val="000B6A04"/>
    <w:rsid w:val="000B77A3"/>
    <w:rsid w:val="000C4E15"/>
    <w:rsid w:val="000C6B74"/>
    <w:rsid w:val="000D0014"/>
    <w:rsid w:val="000D313D"/>
    <w:rsid w:val="000D6157"/>
    <w:rsid w:val="000E5A5A"/>
    <w:rsid w:val="000E738D"/>
    <w:rsid w:val="000F25DC"/>
    <w:rsid w:val="000F4AD3"/>
    <w:rsid w:val="000F6A8E"/>
    <w:rsid w:val="000F7D4F"/>
    <w:rsid w:val="00112B8E"/>
    <w:rsid w:val="0011619F"/>
    <w:rsid w:val="00124F17"/>
    <w:rsid w:val="001260BB"/>
    <w:rsid w:val="0012796A"/>
    <w:rsid w:val="00132694"/>
    <w:rsid w:val="0014180F"/>
    <w:rsid w:val="00142C55"/>
    <w:rsid w:val="00146A83"/>
    <w:rsid w:val="00164F9C"/>
    <w:rsid w:val="00166ADE"/>
    <w:rsid w:val="001711B8"/>
    <w:rsid w:val="00174AE9"/>
    <w:rsid w:val="0018678B"/>
    <w:rsid w:val="00196A67"/>
    <w:rsid w:val="00196B23"/>
    <w:rsid w:val="001A0CA4"/>
    <w:rsid w:val="001A2C55"/>
    <w:rsid w:val="001A6002"/>
    <w:rsid w:val="001A7284"/>
    <w:rsid w:val="001B73FF"/>
    <w:rsid w:val="001B7584"/>
    <w:rsid w:val="001C1604"/>
    <w:rsid w:val="001C47F6"/>
    <w:rsid w:val="001D0CBB"/>
    <w:rsid w:val="001D183A"/>
    <w:rsid w:val="001D456B"/>
    <w:rsid w:val="001E245B"/>
    <w:rsid w:val="001E7797"/>
    <w:rsid w:val="001F0CF9"/>
    <w:rsid w:val="0020159E"/>
    <w:rsid w:val="002028F1"/>
    <w:rsid w:val="00206AAD"/>
    <w:rsid w:val="0021084C"/>
    <w:rsid w:val="002169E1"/>
    <w:rsid w:val="00221D0C"/>
    <w:rsid w:val="00223A76"/>
    <w:rsid w:val="00225556"/>
    <w:rsid w:val="0022565F"/>
    <w:rsid w:val="00243EF8"/>
    <w:rsid w:val="00244EBB"/>
    <w:rsid w:val="0025131A"/>
    <w:rsid w:val="00254D39"/>
    <w:rsid w:val="00273186"/>
    <w:rsid w:val="0028210D"/>
    <w:rsid w:val="00286A20"/>
    <w:rsid w:val="00291ED7"/>
    <w:rsid w:val="002B2400"/>
    <w:rsid w:val="002C0C60"/>
    <w:rsid w:val="002D3C4C"/>
    <w:rsid w:val="002F01D1"/>
    <w:rsid w:val="002F0EEF"/>
    <w:rsid w:val="002F0F3E"/>
    <w:rsid w:val="00303A34"/>
    <w:rsid w:val="00313DD9"/>
    <w:rsid w:val="003323FF"/>
    <w:rsid w:val="00334EDB"/>
    <w:rsid w:val="00335085"/>
    <w:rsid w:val="00337692"/>
    <w:rsid w:val="00340DA2"/>
    <w:rsid w:val="00345E6A"/>
    <w:rsid w:val="00354E74"/>
    <w:rsid w:val="003578F5"/>
    <w:rsid w:val="003614FF"/>
    <w:rsid w:val="00361A0D"/>
    <w:rsid w:val="0038074E"/>
    <w:rsid w:val="00383979"/>
    <w:rsid w:val="0038581A"/>
    <w:rsid w:val="00386E21"/>
    <w:rsid w:val="0038711C"/>
    <w:rsid w:val="003918AF"/>
    <w:rsid w:val="003B306F"/>
    <w:rsid w:val="003B6F20"/>
    <w:rsid w:val="003B7518"/>
    <w:rsid w:val="003C179C"/>
    <w:rsid w:val="003C1945"/>
    <w:rsid w:val="003E3C06"/>
    <w:rsid w:val="003E50CF"/>
    <w:rsid w:val="003E739E"/>
    <w:rsid w:val="004005E4"/>
    <w:rsid w:val="004057FA"/>
    <w:rsid w:val="00410097"/>
    <w:rsid w:val="00410A39"/>
    <w:rsid w:val="00433878"/>
    <w:rsid w:val="00446FB4"/>
    <w:rsid w:val="00447D0B"/>
    <w:rsid w:val="0045062C"/>
    <w:rsid w:val="00454830"/>
    <w:rsid w:val="00454D7E"/>
    <w:rsid w:val="00483F4C"/>
    <w:rsid w:val="0049706D"/>
    <w:rsid w:val="004A16A4"/>
    <w:rsid w:val="004A3D0F"/>
    <w:rsid w:val="004B1C5A"/>
    <w:rsid w:val="004B3609"/>
    <w:rsid w:val="004C5D41"/>
    <w:rsid w:val="004C612D"/>
    <w:rsid w:val="004C6779"/>
    <w:rsid w:val="004D36CD"/>
    <w:rsid w:val="004D418C"/>
    <w:rsid w:val="004D492B"/>
    <w:rsid w:val="004E0313"/>
    <w:rsid w:val="004E13F0"/>
    <w:rsid w:val="004E335A"/>
    <w:rsid w:val="004E5353"/>
    <w:rsid w:val="004E647F"/>
    <w:rsid w:val="004F03DA"/>
    <w:rsid w:val="005011DD"/>
    <w:rsid w:val="005050D0"/>
    <w:rsid w:val="00516874"/>
    <w:rsid w:val="00521A87"/>
    <w:rsid w:val="00527C48"/>
    <w:rsid w:val="00532440"/>
    <w:rsid w:val="005332ED"/>
    <w:rsid w:val="005606FB"/>
    <w:rsid w:val="00562705"/>
    <w:rsid w:val="00572047"/>
    <w:rsid w:val="005774FA"/>
    <w:rsid w:val="00585A9A"/>
    <w:rsid w:val="00586641"/>
    <w:rsid w:val="005869D6"/>
    <w:rsid w:val="00591D41"/>
    <w:rsid w:val="005933E4"/>
    <w:rsid w:val="00596E98"/>
    <w:rsid w:val="005A4989"/>
    <w:rsid w:val="005A710E"/>
    <w:rsid w:val="005B3122"/>
    <w:rsid w:val="005B47D3"/>
    <w:rsid w:val="005B5490"/>
    <w:rsid w:val="005B5D0A"/>
    <w:rsid w:val="005B6C38"/>
    <w:rsid w:val="005C3A5A"/>
    <w:rsid w:val="005C4351"/>
    <w:rsid w:val="005C4DFB"/>
    <w:rsid w:val="005D14B5"/>
    <w:rsid w:val="005E325D"/>
    <w:rsid w:val="005E6D93"/>
    <w:rsid w:val="00606F8F"/>
    <w:rsid w:val="00615759"/>
    <w:rsid w:val="00623534"/>
    <w:rsid w:val="0062722C"/>
    <w:rsid w:val="00630112"/>
    <w:rsid w:val="0063051D"/>
    <w:rsid w:val="00633F2F"/>
    <w:rsid w:val="006349D0"/>
    <w:rsid w:val="006425B6"/>
    <w:rsid w:val="00653E05"/>
    <w:rsid w:val="00654EDD"/>
    <w:rsid w:val="006557B5"/>
    <w:rsid w:val="00660E21"/>
    <w:rsid w:val="0067068B"/>
    <w:rsid w:val="006706D2"/>
    <w:rsid w:val="006707B6"/>
    <w:rsid w:val="00673BF6"/>
    <w:rsid w:val="00674A2F"/>
    <w:rsid w:val="00675F54"/>
    <w:rsid w:val="0068004E"/>
    <w:rsid w:val="0068128E"/>
    <w:rsid w:val="00684136"/>
    <w:rsid w:val="006922DE"/>
    <w:rsid w:val="006922E2"/>
    <w:rsid w:val="006931E7"/>
    <w:rsid w:val="006A3156"/>
    <w:rsid w:val="006A3483"/>
    <w:rsid w:val="006B5711"/>
    <w:rsid w:val="006D21E6"/>
    <w:rsid w:val="006D7B33"/>
    <w:rsid w:val="006E224F"/>
    <w:rsid w:val="006E60BB"/>
    <w:rsid w:val="006F3A34"/>
    <w:rsid w:val="006F3AD2"/>
    <w:rsid w:val="006F4AF0"/>
    <w:rsid w:val="006F66D7"/>
    <w:rsid w:val="00703750"/>
    <w:rsid w:val="007106FA"/>
    <w:rsid w:val="00710AFA"/>
    <w:rsid w:val="00720F7A"/>
    <w:rsid w:val="00732025"/>
    <w:rsid w:val="0073353F"/>
    <w:rsid w:val="00756EB4"/>
    <w:rsid w:val="00773426"/>
    <w:rsid w:val="0077476F"/>
    <w:rsid w:val="00775C06"/>
    <w:rsid w:val="007768F0"/>
    <w:rsid w:val="00790B1C"/>
    <w:rsid w:val="00791632"/>
    <w:rsid w:val="007A4FDD"/>
    <w:rsid w:val="007B0819"/>
    <w:rsid w:val="007B114A"/>
    <w:rsid w:val="007C1849"/>
    <w:rsid w:val="007C564B"/>
    <w:rsid w:val="007C689E"/>
    <w:rsid w:val="007E57D3"/>
    <w:rsid w:val="007F2D1A"/>
    <w:rsid w:val="008053D2"/>
    <w:rsid w:val="008075BF"/>
    <w:rsid w:val="00814BFD"/>
    <w:rsid w:val="008178C6"/>
    <w:rsid w:val="0082153B"/>
    <w:rsid w:val="00822FC1"/>
    <w:rsid w:val="00832880"/>
    <w:rsid w:val="008338ED"/>
    <w:rsid w:val="00842963"/>
    <w:rsid w:val="00842E1C"/>
    <w:rsid w:val="00847FD4"/>
    <w:rsid w:val="00853750"/>
    <w:rsid w:val="00856CE9"/>
    <w:rsid w:val="00861AC3"/>
    <w:rsid w:val="00875783"/>
    <w:rsid w:val="008775A6"/>
    <w:rsid w:val="00877841"/>
    <w:rsid w:val="008847F7"/>
    <w:rsid w:val="00891C69"/>
    <w:rsid w:val="008C0771"/>
    <w:rsid w:val="008D2CC3"/>
    <w:rsid w:val="008D5591"/>
    <w:rsid w:val="008D587C"/>
    <w:rsid w:val="008D6557"/>
    <w:rsid w:val="008F05E6"/>
    <w:rsid w:val="008F1AC8"/>
    <w:rsid w:val="008F4610"/>
    <w:rsid w:val="00901B5E"/>
    <w:rsid w:val="00906669"/>
    <w:rsid w:val="00912B52"/>
    <w:rsid w:val="0091592A"/>
    <w:rsid w:val="009177D0"/>
    <w:rsid w:val="00922040"/>
    <w:rsid w:val="00932B83"/>
    <w:rsid w:val="009330C2"/>
    <w:rsid w:val="00935DBD"/>
    <w:rsid w:val="00941667"/>
    <w:rsid w:val="00941C31"/>
    <w:rsid w:val="00943434"/>
    <w:rsid w:val="009464C4"/>
    <w:rsid w:val="00961AA7"/>
    <w:rsid w:val="009625F6"/>
    <w:rsid w:val="00965931"/>
    <w:rsid w:val="009732A3"/>
    <w:rsid w:val="00982B75"/>
    <w:rsid w:val="00986091"/>
    <w:rsid w:val="009901AC"/>
    <w:rsid w:val="0099635E"/>
    <w:rsid w:val="009A08EB"/>
    <w:rsid w:val="009B25F7"/>
    <w:rsid w:val="009B5E96"/>
    <w:rsid w:val="009B60DD"/>
    <w:rsid w:val="009C2449"/>
    <w:rsid w:val="009C6D23"/>
    <w:rsid w:val="009D0545"/>
    <w:rsid w:val="009D067D"/>
    <w:rsid w:val="009D2BF8"/>
    <w:rsid w:val="009D5F0C"/>
    <w:rsid w:val="009E616B"/>
    <w:rsid w:val="009E7E99"/>
    <w:rsid w:val="009F5090"/>
    <w:rsid w:val="009F5D24"/>
    <w:rsid w:val="00A035F8"/>
    <w:rsid w:val="00A05702"/>
    <w:rsid w:val="00A2618B"/>
    <w:rsid w:val="00A27C8D"/>
    <w:rsid w:val="00A32661"/>
    <w:rsid w:val="00A40A00"/>
    <w:rsid w:val="00A50E94"/>
    <w:rsid w:val="00A672BA"/>
    <w:rsid w:val="00A7358E"/>
    <w:rsid w:val="00A749FC"/>
    <w:rsid w:val="00A82BFF"/>
    <w:rsid w:val="00A85DE5"/>
    <w:rsid w:val="00A9359D"/>
    <w:rsid w:val="00AA2311"/>
    <w:rsid w:val="00AB00EC"/>
    <w:rsid w:val="00AB3D30"/>
    <w:rsid w:val="00AC2DFF"/>
    <w:rsid w:val="00AC67EB"/>
    <w:rsid w:val="00AC7072"/>
    <w:rsid w:val="00AC789B"/>
    <w:rsid w:val="00AD5362"/>
    <w:rsid w:val="00AD7FD6"/>
    <w:rsid w:val="00AE162A"/>
    <w:rsid w:val="00AE3EA9"/>
    <w:rsid w:val="00AE7EC9"/>
    <w:rsid w:val="00AF01AF"/>
    <w:rsid w:val="00AF185A"/>
    <w:rsid w:val="00B0694F"/>
    <w:rsid w:val="00B121F5"/>
    <w:rsid w:val="00B12BA8"/>
    <w:rsid w:val="00B13C74"/>
    <w:rsid w:val="00B16854"/>
    <w:rsid w:val="00B21D11"/>
    <w:rsid w:val="00B33D33"/>
    <w:rsid w:val="00B35945"/>
    <w:rsid w:val="00B35AEE"/>
    <w:rsid w:val="00B36E73"/>
    <w:rsid w:val="00B66A6B"/>
    <w:rsid w:val="00B77499"/>
    <w:rsid w:val="00B91191"/>
    <w:rsid w:val="00B911CF"/>
    <w:rsid w:val="00B914A5"/>
    <w:rsid w:val="00B940B2"/>
    <w:rsid w:val="00B97CD7"/>
    <w:rsid w:val="00BA0A96"/>
    <w:rsid w:val="00BA17BC"/>
    <w:rsid w:val="00BA2E03"/>
    <w:rsid w:val="00BA4628"/>
    <w:rsid w:val="00BB5EAE"/>
    <w:rsid w:val="00BB612A"/>
    <w:rsid w:val="00BC2333"/>
    <w:rsid w:val="00BC5504"/>
    <w:rsid w:val="00BE0722"/>
    <w:rsid w:val="00BF216D"/>
    <w:rsid w:val="00C028CD"/>
    <w:rsid w:val="00C04118"/>
    <w:rsid w:val="00C14FB5"/>
    <w:rsid w:val="00C17E16"/>
    <w:rsid w:val="00C2253C"/>
    <w:rsid w:val="00C225BE"/>
    <w:rsid w:val="00C22EBB"/>
    <w:rsid w:val="00C2608B"/>
    <w:rsid w:val="00C311B2"/>
    <w:rsid w:val="00C3495F"/>
    <w:rsid w:val="00C364ED"/>
    <w:rsid w:val="00C43F9F"/>
    <w:rsid w:val="00C462B9"/>
    <w:rsid w:val="00C6313F"/>
    <w:rsid w:val="00C72370"/>
    <w:rsid w:val="00C803CA"/>
    <w:rsid w:val="00C81484"/>
    <w:rsid w:val="00C85468"/>
    <w:rsid w:val="00C95527"/>
    <w:rsid w:val="00CA7693"/>
    <w:rsid w:val="00CB210B"/>
    <w:rsid w:val="00CD35D3"/>
    <w:rsid w:val="00CE224C"/>
    <w:rsid w:val="00CF04CA"/>
    <w:rsid w:val="00CF3A31"/>
    <w:rsid w:val="00CF3F22"/>
    <w:rsid w:val="00CF4E97"/>
    <w:rsid w:val="00CF59B1"/>
    <w:rsid w:val="00CF5AEC"/>
    <w:rsid w:val="00D00503"/>
    <w:rsid w:val="00D056A9"/>
    <w:rsid w:val="00D062D9"/>
    <w:rsid w:val="00D155D7"/>
    <w:rsid w:val="00D262EA"/>
    <w:rsid w:val="00D36CE9"/>
    <w:rsid w:val="00D4133B"/>
    <w:rsid w:val="00D41989"/>
    <w:rsid w:val="00D427C5"/>
    <w:rsid w:val="00D44BF4"/>
    <w:rsid w:val="00D45642"/>
    <w:rsid w:val="00D523FF"/>
    <w:rsid w:val="00D62364"/>
    <w:rsid w:val="00D737F8"/>
    <w:rsid w:val="00D822DD"/>
    <w:rsid w:val="00D825A1"/>
    <w:rsid w:val="00D917EE"/>
    <w:rsid w:val="00D93A4E"/>
    <w:rsid w:val="00D950B1"/>
    <w:rsid w:val="00D976C5"/>
    <w:rsid w:val="00DA3FA6"/>
    <w:rsid w:val="00DC0AF5"/>
    <w:rsid w:val="00DC0F03"/>
    <w:rsid w:val="00DC3B7E"/>
    <w:rsid w:val="00DC7956"/>
    <w:rsid w:val="00DC7D9C"/>
    <w:rsid w:val="00DD05A2"/>
    <w:rsid w:val="00DD4022"/>
    <w:rsid w:val="00DE1387"/>
    <w:rsid w:val="00DE3D5F"/>
    <w:rsid w:val="00DE794F"/>
    <w:rsid w:val="00DF0715"/>
    <w:rsid w:val="00DF08A3"/>
    <w:rsid w:val="00DF1F14"/>
    <w:rsid w:val="00DF32DF"/>
    <w:rsid w:val="00DF42A7"/>
    <w:rsid w:val="00DF72E2"/>
    <w:rsid w:val="00E208CA"/>
    <w:rsid w:val="00E23470"/>
    <w:rsid w:val="00E24279"/>
    <w:rsid w:val="00E257FE"/>
    <w:rsid w:val="00E3125D"/>
    <w:rsid w:val="00E33A56"/>
    <w:rsid w:val="00E33DD3"/>
    <w:rsid w:val="00E66A2D"/>
    <w:rsid w:val="00E72E67"/>
    <w:rsid w:val="00E77DF6"/>
    <w:rsid w:val="00E800D7"/>
    <w:rsid w:val="00E87AB1"/>
    <w:rsid w:val="00E92B21"/>
    <w:rsid w:val="00E96FCC"/>
    <w:rsid w:val="00EA1AC7"/>
    <w:rsid w:val="00EB3C64"/>
    <w:rsid w:val="00EC0889"/>
    <w:rsid w:val="00EC48DA"/>
    <w:rsid w:val="00EC5A0C"/>
    <w:rsid w:val="00EC68DC"/>
    <w:rsid w:val="00EC6C94"/>
    <w:rsid w:val="00ED023D"/>
    <w:rsid w:val="00ED5FBD"/>
    <w:rsid w:val="00ED75B6"/>
    <w:rsid w:val="00EF0FEF"/>
    <w:rsid w:val="00EF48F1"/>
    <w:rsid w:val="00F02644"/>
    <w:rsid w:val="00F07AC0"/>
    <w:rsid w:val="00F140EC"/>
    <w:rsid w:val="00F246EA"/>
    <w:rsid w:val="00F30FEC"/>
    <w:rsid w:val="00F334F6"/>
    <w:rsid w:val="00F36D79"/>
    <w:rsid w:val="00F41F62"/>
    <w:rsid w:val="00F45A79"/>
    <w:rsid w:val="00F45FBA"/>
    <w:rsid w:val="00F575B4"/>
    <w:rsid w:val="00F71664"/>
    <w:rsid w:val="00F7539B"/>
    <w:rsid w:val="00F76EA0"/>
    <w:rsid w:val="00F91DA2"/>
    <w:rsid w:val="00F93DE8"/>
    <w:rsid w:val="00F95BFC"/>
    <w:rsid w:val="00FA2EFB"/>
    <w:rsid w:val="00FB03C0"/>
    <w:rsid w:val="00FB2AD6"/>
    <w:rsid w:val="00FB2C27"/>
    <w:rsid w:val="00FC3B38"/>
    <w:rsid w:val="00FC5984"/>
    <w:rsid w:val="00FC7DE2"/>
    <w:rsid w:val="00FC7E3C"/>
    <w:rsid w:val="00FD6057"/>
    <w:rsid w:val="00FE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ED062E"/>
  <w14:defaultImageDpi w14:val="32767"/>
  <w15:chartTrackingRefBased/>
  <w15:docId w15:val="{08F49A66-55B3-4477-BA2C-0C687307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83E6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3E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3E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3E6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3E6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3E6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3E6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3E6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3E6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83E6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83E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83E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83E6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83E6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83E6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83E6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83E6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83E6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83E6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83E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3E6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83E6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3E6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83E6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3E6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83E6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83E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83E6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83E6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33A5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33A5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33A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33A56"/>
    <w:rPr>
      <w:sz w:val="18"/>
      <w:szCs w:val="18"/>
    </w:rPr>
  </w:style>
  <w:style w:type="character" w:styleId="af2">
    <w:name w:val="Hyperlink"/>
    <w:basedOn w:val="a0"/>
    <w:uiPriority w:val="99"/>
    <w:unhideWhenUsed/>
    <w:rsid w:val="00BC5504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BC5504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C364ED"/>
    <w:rPr>
      <w:color w:val="96607D" w:themeColor="followedHyperlink"/>
      <w:u w:val="single"/>
    </w:rPr>
  </w:style>
  <w:style w:type="paragraph" w:styleId="af5">
    <w:name w:val="Normal (Web)"/>
    <w:basedOn w:val="a"/>
    <w:uiPriority w:val="99"/>
    <w:semiHidden/>
    <w:unhideWhenUsed/>
    <w:rsid w:val="00EC5A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styleId="TOC">
    <w:name w:val="TOC Heading"/>
    <w:basedOn w:val="1"/>
    <w:next w:val="a"/>
    <w:uiPriority w:val="39"/>
    <w:unhideWhenUsed/>
    <w:qFormat/>
    <w:rsid w:val="00775C06"/>
    <w:pPr>
      <w:widowControl/>
      <w:spacing w:before="240" w:after="0" w:line="259" w:lineRule="auto"/>
      <w:jc w:val="left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a"/>
    <w:next w:val="a"/>
    <w:autoRedefine/>
    <w:uiPriority w:val="39"/>
    <w:unhideWhenUsed/>
    <w:rsid w:val="00775C06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  <w14:ligatures w14:val="none"/>
    </w:rPr>
  </w:style>
  <w:style w:type="paragraph" w:styleId="TOC1">
    <w:name w:val="toc 1"/>
    <w:basedOn w:val="a"/>
    <w:next w:val="a"/>
    <w:autoRedefine/>
    <w:uiPriority w:val="39"/>
    <w:unhideWhenUsed/>
    <w:rsid w:val="00775C06"/>
    <w:pPr>
      <w:widowControl/>
      <w:spacing w:after="100" w:line="259" w:lineRule="auto"/>
      <w:jc w:val="left"/>
    </w:pPr>
    <w:rPr>
      <w:rFonts w:cs="Times New Roman"/>
      <w:kern w:val="0"/>
      <w:sz w:val="22"/>
      <w14:ligatures w14:val="none"/>
    </w:rPr>
  </w:style>
  <w:style w:type="paragraph" w:styleId="TOC3">
    <w:name w:val="toc 3"/>
    <w:basedOn w:val="a"/>
    <w:next w:val="a"/>
    <w:autoRedefine/>
    <w:uiPriority w:val="39"/>
    <w:unhideWhenUsed/>
    <w:rsid w:val="00775C06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  <w14:ligatures w14:val="none"/>
    </w:rPr>
  </w:style>
  <w:style w:type="character" w:styleId="af6">
    <w:name w:val="annotation reference"/>
    <w:basedOn w:val="a0"/>
    <w:uiPriority w:val="99"/>
    <w:semiHidden/>
    <w:unhideWhenUsed/>
    <w:rsid w:val="00790B1C"/>
    <w:rPr>
      <w:sz w:val="21"/>
      <w:szCs w:val="21"/>
    </w:rPr>
  </w:style>
  <w:style w:type="paragraph" w:styleId="af7">
    <w:name w:val="annotation text"/>
    <w:basedOn w:val="a"/>
    <w:link w:val="af8"/>
    <w:uiPriority w:val="99"/>
    <w:unhideWhenUsed/>
    <w:rsid w:val="00790B1C"/>
    <w:pPr>
      <w:jc w:val="left"/>
    </w:pPr>
  </w:style>
  <w:style w:type="character" w:customStyle="1" w:styleId="af8">
    <w:name w:val="批注文字 字符"/>
    <w:basedOn w:val="a0"/>
    <w:link w:val="af7"/>
    <w:uiPriority w:val="99"/>
    <w:rsid w:val="00790B1C"/>
  </w:style>
  <w:style w:type="character" w:styleId="af9">
    <w:name w:val="line number"/>
    <w:basedOn w:val="a0"/>
    <w:uiPriority w:val="99"/>
    <w:semiHidden/>
    <w:unhideWhenUsed/>
    <w:rsid w:val="00D005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ti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46DBC-3D62-42AD-9394-6796F5AAC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1380</TotalTime>
  <Pages>19</Pages>
  <Words>2359</Words>
  <Characters>13449</Characters>
  <Application>Microsoft Office Word</Application>
  <DocSecurity>0</DocSecurity>
  <Lines>112</Lines>
  <Paragraphs>31</Paragraphs>
  <ScaleCrop>false</ScaleCrop>
  <Company/>
  <LinksUpToDate>false</LinksUpToDate>
  <CharactersWithSpaces>15777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华 李</dc:creator>
  <cp:keywords/>
  <dc:description/>
  <cp:lastModifiedBy>J W</cp:lastModifiedBy>
  <cp:revision>152</cp:revision>
  <cp:lastPrinted>2025-09-20T16:57:00Z</cp:lastPrinted>
  <dcterms:created xsi:type="dcterms:W3CDTF">2025-05-11T13:41:00Z</dcterms:created>
  <dcterms:modified xsi:type="dcterms:W3CDTF">2026-03-19T18:18:00Z</dcterms:modified>
</cp:coreProperties>
</file>