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C3835" w14:textId="77777777" w:rsidR="001727E1" w:rsidRPr="006904FA" w:rsidRDefault="001727E1" w:rsidP="00085B2F">
      <w:pPr>
        <w:spacing w:line="360" w:lineRule="auto"/>
        <w:jc w:val="center"/>
        <w:rPr>
          <w:rFonts w:ascii="Times New Roman" w:eastAsiaTheme="majorEastAsia" w:hAnsi="Times New Roman" w:cs="Times New Roman"/>
          <w:b/>
          <w:sz w:val="32"/>
          <w:szCs w:val="40"/>
        </w:rPr>
      </w:pPr>
      <w:bookmarkStart w:id="0" w:name="_Hlk216771549"/>
      <w:bookmarkEnd w:id="0"/>
      <w:r w:rsidRPr="006904FA">
        <w:rPr>
          <w:rFonts w:ascii="Times New Roman" w:eastAsiaTheme="majorEastAsia" w:hAnsi="Times New Roman" w:cs="Times New Roman"/>
          <w:b/>
          <w:sz w:val="32"/>
          <w:szCs w:val="40"/>
        </w:rPr>
        <w:t>Supplementary Information</w:t>
      </w:r>
    </w:p>
    <w:p w14:paraId="3485020D" w14:textId="69B1AA8D" w:rsidR="001727E1" w:rsidRDefault="00EB4A3D" w:rsidP="00EB4A3D">
      <w:pPr>
        <w:spacing w:line="360" w:lineRule="auto"/>
        <w:jc w:val="left"/>
        <w:rPr>
          <w:rFonts w:ascii="Times New Roman" w:hAnsi="Times New Roman" w:cs="Times New Roman"/>
          <w:b/>
          <w:bCs/>
          <w:sz w:val="24"/>
        </w:rPr>
      </w:pPr>
      <w:r w:rsidRPr="00EB4A3D">
        <w:rPr>
          <w:rFonts w:ascii="Times New Roman" w:hAnsi="Times New Roman" w:cs="Times New Roman"/>
          <w:b/>
          <w:bCs/>
          <w:sz w:val="24"/>
        </w:rPr>
        <w:t>Mg/Mn bi-single-atom carbon dot</w:t>
      </w:r>
      <w:r>
        <w:rPr>
          <w:rFonts w:ascii="Times New Roman" w:hAnsi="Times New Roman" w:cs="Times New Roman"/>
          <w:b/>
          <w:bCs/>
          <w:sz w:val="24"/>
        </w:rPr>
        <w:t xml:space="preserve"> </w:t>
      </w:r>
      <w:r w:rsidRPr="00EB4A3D">
        <w:rPr>
          <w:rFonts w:ascii="Times New Roman" w:hAnsi="Times New Roman" w:cs="Times New Roman"/>
          <w:b/>
          <w:bCs/>
          <w:sz w:val="24"/>
        </w:rPr>
        <w:t>nanozymes with enhanced SOD-like activity</w:t>
      </w:r>
      <w:r>
        <w:rPr>
          <w:rFonts w:ascii="Times New Roman" w:hAnsi="Times New Roman" w:cs="Times New Roman"/>
          <w:b/>
          <w:bCs/>
          <w:sz w:val="24"/>
        </w:rPr>
        <w:t xml:space="preserve"> </w:t>
      </w:r>
      <w:r w:rsidRPr="00EB4A3D">
        <w:rPr>
          <w:rFonts w:ascii="Times New Roman" w:hAnsi="Times New Roman" w:cs="Times New Roman"/>
          <w:b/>
          <w:bCs/>
          <w:sz w:val="24"/>
        </w:rPr>
        <w:t>and fluorescence for hepatoprotection</w:t>
      </w:r>
    </w:p>
    <w:p w14:paraId="6DAC7A6C" w14:textId="77777777" w:rsidR="001727E1" w:rsidRDefault="001727E1" w:rsidP="00085B2F">
      <w:pPr>
        <w:spacing w:line="360" w:lineRule="auto"/>
        <w:jc w:val="center"/>
        <w:rPr>
          <w:rFonts w:ascii="Times New Roman" w:hAnsi="Times New Roman" w:cs="Times New Roman"/>
          <w:b/>
          <w:bCs/>
          <w:sz w:val="24"/>
        </w:rPr>
      </w:pPr>
    </w:p>
    <w:p w14:paraId="0CE168F0" w14:textId="6BDCA78F" w:rsidR="001727E1" w:rsidRDefault="001727E1" w:rsidP="00085B2F">
      <w:pPr>
        <w:spacing w:line="360" w:lineRule="auto"/>
        <w:jc w:val="center"/>
        <w:rPr>
          <w:rFonts w:ascii="Times New Roman" w:hAnsi="Times New Roman" w:cs="Times New Roman"/>
          <w:bCs/>
          <w:vertAlign w:val="superscript"/>
        </w:rPr>
      </w:pPr>
      <w:r>
        <w:rPr>
          <w:rFonts w:ascii="Times New Roman" w:hAnsi="Times New Roman" w:cs="Times New Roman"/>
          <w:bCs/>
        </w:rPr>
        <w:t>Xuejiao W</w:t>
      </w:r>
      <w:r>
        <w:rPr>
          <w:rFonts w:ascii="Times New Roman" w:hAnsi="Times New Roman" w:cs="Times New Roman" w:hint="eastAsia"/>
          <w:bCs/>
        </w:rPr>
        <w:t>ang</w:t>
      </w:r>
      <w:r>
        <w:rPr>
          <w:rFonts w:ascii="Times New Roman" w:hAnsi="Times New Roman" w:cs="Times New Roman"/>
          <w:bCs/>
        </w:rPr>
        <w:t>,</w:t>
      </w:r>
      <w:r>
        <w:rPr>
          <w:rFonts w:ascii="Times New Roman" w:hAnsi="Times New Roman" w:cs="Times New Roman"/>
          <w:bCs/>
          <w:vertAlign w:val="superscript"/>
        </w:rPr>
        <w:t>a</w:t>
      </w:r>
      <w:r>
        <w:rPr>
          <w:rFonts w:ascii="Times New Roman" w:hAnsi="Times New Roman" w:cs="Times New Roman"/>
          <w:bCs/>
        </w:rPr>
        <w:t xml:space="preserve"> Yu Zhang,</w:t>
      </w:r>
      <w:r>
        <w:rPr>
          <w:rFonts w:ascii="Times New Roman" w:hAnsi="Times New Roman" w:cs="Times New Roman"/>
          <w:bCs/>
          <w:vertAlign w:val="superscript"/>
        </w:rPr>
        <w:t>b</w:t>
      </w:r>
      <w:r>
        <w:rPr>
          <w:rFonts w:ascii="Times New Roman" w:hAnsi="Times New Roman" w:cs="Times New Roman"/>
          <w:bCs/>
        </w:rPr>
        <w:t xml:space="preserve"> Jing Li,</w:t>
      </w:r>
      <w:r>
        <w:rPr>
          <w:rFonts w:ascii="Times New Roman" w:hAnsi="Times New Roman" w:cs="Times New Roman"/>
          <w:bCs/>
          <w:vertAlign w:val="superscript"/>
        </w:rPr>
        <w:t>b</w:t>
      </w:r>
      <w:r>
        <w:rPr>
          <w:rFonts w:ascii="Times New Roman" w:hAnsi="Times New Roman" w:cs="Times New Roman" w:hint="eastAsia"/>
          <w:bCs/>
          <w:vertAlign w:val="superscript"/>
        </w:rPr>
        <w:t xml:space="preserve"> </w:t>
      </w:r>
      <w:r>
        <w:rPr>
          <w:rFonts w:ascii="Times New Roman" w:hAnsi="Times New Roman" w:cs="Times New Roman" w:hint="eastAsia"/>
          <w:bCs/>
        </w:rPr>
        <w:t>Hongjing Cheng,</w:t>
      </w:r>
      <w:r>
        <w:rPr>
          <w:rFonts w:ascii="Times New Roman" w:hAnsi="Times New Roman" w:cs="Times New Roman" w:hint="eastAsia"/>
          <w:bCs/>
          <w:vertAlign w:val="superscript"/>
        </w:rPr>
        <w:t xml:space="preserve">c </w:t>
      </w:r>
      <w:r>
        <w:rPr>
          <w:rFonts w:ascii="Times New Roman" w:hAnsi="Times New Roman" w:cs="Times New Roman"/>
          <w:bCs/>
        </w:rPr>
        <w:t>Hanyue Qiu,*</w:t>
      </w:r>
      <w:r>
        <w:rPr>
          <w:rFonts w:ascii="Times New Roman" w:hAnsi="Times New Roman" w:cs="Times New Roman"/>
          <w:bCs/>
          <w:vertAlign w:val="superscript"/>
        </w:rPr>
        <w:t>,b</w:t>
      </w:r>
      <w:r>
        <w:rPr>
          <w:rFonts w:ascii="Times New Roman" w:hAnsi="Times New Roman" w:cs="Times New Roman"/>
          <w:bCs/>
        </w:rPr>
        <w:t xml:space="preserve"> </w:t>
      </w:r>
      <w:r>
        <w:rPr>
          <w:rFonts w:ascii="Times New Roman" w:hAnsi="Times New Roman" w:cs="Times New Roman" w:hint="eastAsia"/>
          <w:bCs/>
        </w:rPr>
        <w:t>Jian Jiao</w:t>
      </w:r>
      <w:r>
        <w:rPr>
          <w:rFonts w:ascii="Times New Roman" w:hAnsi="Times New Roman" w:cs="Times New Roman"/>
          <w:bCs/>
        </w:rPr>
        <w:t>,*</w:t>
      </w:r>
      <w:r>
        <w:rPr>
          <w:rFonts w:ascii="Times New Roman" w:hAnsi="Times New Roman" w:cs="Times New Roman"/>
          <w:bCs/>
          <w:vertAlign w:val="superscript"/>
        </w:rPr>
        <w:t>,</w:t>
      </w:r>
      <w:r>
        <w:rPr>
          <w:rFonts w:ascii="Times New Roman" w:hAnsi="Times New Roman" w:cs="Times New Roman" w:hint="eastAsia"/>
          <w:bCs/>
          <w:vertAlign w:val="superscript"/>
        </w:rPr>
        <w:t>a</w:t>
      </w:r>
      <w:r>
        <w:rPr>
          <w:rFonts w:ascii="Times New Roman" w:hAnsi="Times New Roman" w:cs="Times New Roman"/>
          <w:bCs/>
        </w:rPr>
        <w:t xml:space="preserve"> Cui Liu*</w:t>
      </w:r>
      <w:r>
        <w:rPr>
          <w:rFonts w:ascii="Times New Roman" w:hAnsi="Times New Roman" w:cs="Times New Roman"/>
          <w:bCs/>
          <w:vertAlign w:val="superscript"/>
        </w:rPr>
        <w:t>,b</w:t>
      </w:r>
    </w:p>
    <w:p w14:paraId="4A9D7628" w14:textId="5D2E5911" w:rsidR="00181DCC" w:rsidRDefault="00181DCC" w:rsidP="00085B2F">
      <w:pPr>
        <w:spacing w:line="360" w:lineRule="auto"/>
        <w:rPr>
          <w:rFonts w:ascii="Times New Roman" w:hAnsi="Times New Roman" w:cs="Times New Roman"/>
          <w:bCs/>
        </w:rPr>
      </w:pPr>
      <w:bookmarkStart w:id="1" w:name="_Hlk217116059"/>
      <w:r w:rsidRPr="004D771E">
        <w:rPr>
          <w:rFonts w:ascii="Times New Roman" w:hAnsi="Times New Roman" w:cs="Times New Roman"/>
          <w:bCs/>
          <w:vertAlign w:val="superscript"/>
        </w:rPr>
        <w:t>a</w:t>
      </w:r>
      <w:r>
        <w:rPr>
          <w:rFonts w:ascii="Times New Roman" w:hAnsi="Times New Roman" w:cs="Times New Roman" w:hint="eastAsia"/>
          <w:bCs/>
        </w:rPr>
        <w:t xml:space="preserve"> Department of Digestive, China-Japan Union Hospital of Jilin University, Changchun 130033, P.</w:t>
      </w:r>
      <w:r w:rsidR="00F226B5">
        <w:rPr>
          <w:rFonts w:ascii="Times New Roman" w:hAnsi="Times New Roman" w:cs="Times New Roman" w:hint="eastAsia"/>
          <w:bCs/>
        </w:rPr>
        <w:t xml:space="preserve"> </w:t>
      </w:r>
      <w:r>
        <w:rPr>
          <w:rFonts w:ascii="Times New Roman" w:hAnsi="Times New Roman" w:cs="Times New Roman" w:hint="eastAsia"/>
          <w:bCs/>
        </w:rPr>
        <w:t>R.</w:t>
      </w:r>
      <w:r w:rsidR="00ED194E">
        <w:rPr>
          <w:rFonts w:ascii="Times New Roman" w:hAnsi="Times New Roman" w:cs="Times New Roman"/>
          <w:bCs/>
        </w:rPr>
        <w:t xml:space="preserve"> </w:t>
      </w:r>
      <w:r>
        <w:rPr>
          <w:rFonts w:ascii="Times New Roman" w:hAnsi="Times New Roman" w:cs="Times New Roman" w:hint="eastAsia"/>
          <w:bCs/>
        </w:rPr>
        <w:t xml:space="preserve">China. E-mail: </w:t>
      </w:r>
      <w:r w:rsidR="00C774D6" w:rsidRPr="00C774D6">
        <w:rPr>
          <w:rFonts w:ascii="Times New Roman" w:hAnsi="Times New Roman" w:cs="Times New Roman" w:hint="eastAsia"/>
          <w:bCs/>
        </w:rPr>
        <w:t>jjian@</w:t>
      </w:r>
      <w:r w:rsidR="00C774D6">
        <w:rPr>
          <w:rFonts w:ascii="Times New Roman" w:hAnsi="Times New Roman" w:cs="Times New Roman" w:hint="eastAsia"/>
          <w:bCs/>
        </w:rPr>
        <w:t>jlu</w:t>
      </w:r>
      <w:r w:rsidR="00C774D6" w:rsidRPr="00C774D6">
        <w:rPr>
          <w:rFonts w:ascii="Times New Roman" w:hAnsi="Times New Roman" w:cs="Times New Roman" w:hint="eastAsia"/>
          <w:bCs/>
        </w:rPr>
        <w:t>.edu.cn</w:t>
      </w:r>
    </w:p>
    <w:p w14:paraId="15CAC0DD" w14:textId="0B82B9F9" w:rsidR="00181DCC" w:rsidRDefault="00181DCC" w:rsidP="00085B2F">
      <w:pPr>
        <w:spacing w:line="360" w:lineRule="auto"/>
        <w:rPr>
          <w:rFonts w:ascii="Times New Roman" w:hAnsi="Times New Roman" w:cs="Times New Roman"/>
          <w:bCs/>
        </w:rPr>
      </w:pPr>
      <w:r>
        <w:rPr>
          <w:rFonts w:ascii="Times New Roman" w:hAnsi="Times New Roman" w:cs="Times New Roman"/>
          <w:bCs/>
          <w:vertAlign w:val="superscript"/>
        </w:rPr>
        <w:t>b</w:t>
      </w:r>
      <w:r>
        <w:t xml:space="preserve"> </w:t>
      </w:r>
      <w:r>
        <w:rPr>
          <w:rFonts w:ascii="Times New Roman" w:hAnsi="Times New Roman" w:cs="Times New Roman"/>
          <w:bCs/>
        </w:rPr>
        <w:t>Chongqing Key Laboratory of Natural Product Synthesis and Drug Research, Innovative Drug Research Center, School of Pharmaceutical Sciences, Chongqing University, Chongqing, 400044, P.</w:t>
      </w:r>
      <w:r w:rsidR="00F226B5">
        <w:rPr>
          <w:rFonts w:ascii="Times New Roman" w:hAnsi="Times New Roman" w:cs="Times New Roman" w:hint="eastAsia"/>
          <w:bCs/>
        </w:rPr>
        <w:t xml:space="preserve"> </w:t>
      </w:r>
      <w:r>
        <w:rPr>
          <w:rFonts w:ascii="Times New Roman" w:hAnsi="Times New Roman" w:cs="Times New Roman"/>
          <w:bCs/>
        </w:rPr>
        <w:t>R. China.</w:t>
      </w:r>
      <w:r w:rsidRPr="00A44FED">
        <w:rPr>
          <w:rFonts w:hint="eastAsia"/>
        </w:rPr>
        <w:t xml:space="preserve"> </w:t>
      </w:r>
      <w:r w:rsidRPr="00A44FED">
        <w:rPr>
          <w:rFonts w:ascii="Times New Roman" w:hAnsi="Times New Roman" w:cs="Times New Roman" w:hint="eastAsia"/>
          <w:bCs/>
        </w:rPr>
        <w:t>E-mail: hanyue.qiu@cqu.edu.cn; liucui@cqu.edu.cn</w:t>
      </w:r>
    </w:p>
    <w:p w14:paraId="1E559A15" w14:textId="5CA769EE" w:rsidR="00181DCC" w:rsidRDefault="00181DCC" w:rsidP="00085B2F">
      <w:pPr>
        <w:spacing w:line="360" w:lineRule="auto"/>
        <w:rPr>
          <w:rFonts w:ascii="Times New Roman" w:hAnsi="Times New Roman" w:cs="Times New Roman"/>
          <w:bCs/>
        </w:rPr>
      </w:pPr>
      <w:r w:rsidRPr="004D771E">
        <w:rPr>
          <w:rFonts w:ascii="Times New Roman" w:hAnsi="Times New Roman" w:cs="Times New Roman"/>
          <w:bCs/>
          <w:vertAlign w:val="superscript"/>
        </w:rPr>
        <w:t>c</w:t>
      </w:r>
      <w:r>
        <w:rPr>
          <w:rFonts w:ascii="Times New Roman" w:hAnsi="Times New Roman" w:cs="Times New Roman" w:hint="eastAsia"/>
          <w:bCs/>
        </w:rPr>
        <w:t xml:space="preserve"> Department of Pathology, China-Japan Union Hospital of Jilin University, Changchun 130033, P.</w:t>
      </w:r>
      <w:r w:rsidR="00F226B5">
        <w:rPr>
          <w:rFonts w:ascii="Times New Roman" w:hAnsi="Times New Roman" w:cs="Times New Roman" w:hint="eastAsia"/>
          <w:bCs/>
        </w:rPr>
        <w:t xml:space="preserve"> </w:t>
      </w:r>
      <w:r>
        <w:rPr>
          <w:rFonts w:ascii="Times New Roman" w:hAnsi="Times New Roman" w:cs="Times New Roman" w:hint="eastAsia"/>
          <w:bCs/>
        </w:rPr>
        <w:t>R.</w:t>
      </w:r>
      <w:r w:rsidR="00ED194E">
        <w:rPr>
          <w:rFonts w:ascii="Times New Roman" w:hAnsi="Times New Roman" w:cs="Times New Roman"/>
          <w:bCs/>
        </w:rPr>
        <w:t xml:space="preserve"> </w:t>
      </w:r>
      <w:r>
        <w:rPr>
          <w:rFonts w:ascii="Times New Roman" w:hAnsi="Times New Roman" w:cs="Times New Roman" w:hint="eastAsia"/>
          <w:bCs/>
        </w:rPr>
        <w:t>China</w:t>
      </w:r>
    </w:p>
    <w:bookmarkEnd w:id="1"/>
    <w:p w14:paraId="4E0FF179" w14:textId="77777777" w:rsidR="001727E1" w:rsidRPr="002E4EDA" w:rsidRDefault="001727E1">
      <w:pPr>
        <w:jc w:val="center"/>
        <w:rPr>
          <w:rFonts w:ascii="Times New Roman" w:hAnsi="Times New Roman" w:cs="Times New Roman"/>
          <w:b/>
          <w:bCs/>
          <w:sz w:val="36"/>
          <w:szCs w:val="36"/>
        </w:rPr>
      </w:pPr>
    </w:p>
    <w:p w14:paraId="54AF9349" w14:textId="77777777" w:rsidR="001727E1" w:rsidRDefault="001727E1">
      <w:pPr>
        <w:jc w:val="left"/>
        <w:rPr>
          <w:rFonts w:ascii="Times New Roman" w:eastAsiaTheme="majorEastAsia" w:hAnsi="Times New Roman" w:cs="Times New Roman"/>
          <w:b/>
          <w:sz w:val="22"/>
          <w:szCs w:val="40"/>
        </w:rPr>
      </w:pPr>
      <w:r>
        <w:rPr>
          <w:rFonts w:ascii="Times New Roman" w:eastAsiaTheme="majorEastAsia" w:hAnsi="Times New Roman" w:cs="Times New Roman"/>
          <w:b/>
          <w:sz w:val="22"/>
          <w:szCs w:val="40"/>
        </w:rPr>
        <w:t>Methods</w:t>
      </w:r>
    </w:p>
    <w:p w14:paraId="6EB239AC" w14:textId="77777777" w:rsidR="001727E1" w:rsidRDefault="001727E1">
      <w:pPr>
        <w:jc w:val="left"/>
        <w:rPr>
          <w:rFonts w:ascii="Times New Roman" w:eastAsiaTheme="majorEastAsia" w:hAnsi="Times New Roman" w:cs="Times New Roman"/>
          <w:b/>
          <w:sz w:val="22"/>
          <w:szCs w:val="40"/>
        </w:rPr>
      </w:pPr>
      <w:r>
        <w:rPr>
          <w:rFonts w:ascii="Times New Roman" w:eastAsiaTheme="majorEastAsia" w:hAnsi="Times New Roman" w:cs="Times New Roman"/>
          <w:b/>
          <w:sz w:val="22"/>
          <w:szCs w:val="40"/>
        </w:rPr>
        <w:t>Chemicals and materials</w:t>
      </w:r>
    </w:p>
    <w:p w14:paraId="465B79BD" w14:textId="06F7A653" w:rsidR="001727E1" w:rsidRDefault="001727E1">
      <w:pPr>
        <w:pStyle w:val="a9"/>
        <w:spacing w:line="360" w:lineRule="auto"/>
        <w:ind w:left="0" w:firstLineChars="200" w:firstLine="420"/>
        <w:rPr>
          <w:rFonts w:ascii="Times New Roman" w:hAnsi="Times New Roman" w:cs="Times New Roman"/>
          <w:szCs w:val="21"/>
        </w:rPr>
      </w:pPr>
      <w:r>
        <w:rPr>
          <w:rFonts w:ascii="Times New Roman" w:hAnsi="Times New Roman" w:cs="Times New Roman"/>
          <w:szCs w:val="21"/>
        </w:rPr>
        <w:t>Glutathione, formamide, and m</w:t>
      </w:r>
      <w:r w:rsidRPr="00AA7D1B">
        <w:rPr>
          <w:rFonts w:ascii="Times New Roman" w:hAnsi="Times New Roman" w:cs="Times New Roman"/>
          <w:szCs w:val="21"/>
        </w:rPr>
        <w:t>anganese(I</w:t>
      </w:r>
      <w:r w:rsidR="00085B2F">
        <w:rPr>
          <w:rFonts w:ascii="Times New Roman" w:hAnsi="Times New Roman" w:cs="Times New Roman" w:hint="eastAsia"/>
          <w:szCs w:val="21"/>
        </w:rPr>
        <w:t>I</w:t>
      </w:r>
      <w:r w:rsidRPr="00AA7D1B">
        <w:rPr>
          <w:rFonts w:ascii="Times New Roman" w:hAnsi="Times New Roman" w:cs="Times New Roman"/>
          <w:szCs w:val="21"/>
        </w:rPr>
        <w:t>I) acetylacetonate</w:t>
      </w:r>
      <w:r>
        <w:rPr>
          <w:rFonts w:ascii="Times New Roman" w:hAnsi="Times New Roman" w:cs="Times New Roman"/>
          <w:szCs w:val="21"/>
        </w:rPr>
        <w:t xml:space="preserve"> were purchased from Shanghai Aladdin Biochemical Technology Co., Ltd. Magnesium chloride hexahydrate was purchased from Chengdu Kelong Chemical Co., Ltd. Terephthalic acid (TA) was purchased from </w:t>
      </w:r>
      <w:bookmarkStart w:id="2" w:name="OLE_LINK20"/>
      <w:bookmarkStart w:id="3" w:name="OLE_LINK21"/>
      <w:r>
        <w:rPr>
          <w:rFonts w:ascii="Times New Roman" w:hAnsi="Times New Roman" w:cs="Times New Roman"/>
          <w:szCs w:val="21"/>
        </w:rPr>
        <w:t>Shanghai Titan Technology Co., Ltd.</w:t>
      </w:r>
      <w:bookmarkEnd w:id="2"/>
      <w:bookmarkEnd w:id="3"/>
      <w:r>
        <w:rPr>
          <w:rFonts w:ascii="Times New Roman" w:hAnsi="Times New Roman" w:cs="Times New Roman"/>
          <w:szCs w:val="21"/>
        </w:rPr>
        <w:t xml:space="preserve"> </w:t>
      </w:r>
      <w:r w:rsidR="00EA5B80" w:rsidRPr="00EA5B80">
        <w:rPr>
          <w:rFonts w:ascii="Times New Roman" w:hAnsi="Times New Roman" w:cs="Times New Roman" w:hint="eastAsia"/>
          <w:szCs w:val="21"/>
        </w:rPr>
        <w:t>Acetaminophen was purchased from MedChemExpress LLC.</w:t>
      </w:r>
      <w:r w:rsidR="00EA5B80">
        <w:rPr>
          <w:rFonts w:ascii="Times New Roman" w:hAnsi="Times New Roman" w:cs="Times New Roman" w:hint="eastAsia"/>
          <w:szCs w:val="21"/>
        </w:rPr>
        <w:t xml:space="preserve"> </w:t>
      </w:r>
      <w:r>
        <w:rPr>
          <w:rFonts w:ascii="Times New Roman" w:hAnsi="Times New Roman" w:cs="Times New Roman"/>
          <w:szCs w:val="21"/>
        </w:rPr>
        <w:t>SOD Assay Kit-WST (</w:t>
      </w:r>
      <w:r>
        <w:rPr>
          <w:rFonts w:ascii="Times New Roman" w:hAnsi="Times New Roman" w:cs="Times New Roman" w:hint="eastAsia"/>
          <w:szCs w:val="21"/>
        </w:rPr>
        <w:t>S311</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 xml:space="preserve">was purchased from Dojindo Beijing Co., Ltd. ABTS </w:t>
      </w:r>
      <w:r>
        <w:rPr>
          <w:rFonts w:ascii="Times New Roman" w:hAnsi="Times New Roman" w:cs="Times New Roman" w:hint="eastAsia"/>
          <w:szCs w:val="21"/>
        </w:rPr>
        <w:t>A</w:t>
      </w:r>
      <w:r>
        <w:rPr>
          <w:rFonts w:ascii="Times New Roman" w:hAnsi="Times New Roman" w:cs="Times New Roman"/>
          <w:szCs w:val="21"/>
        </w:rPr>
        <w:t xml:space="preserve">ssay </w:t>
      </w:r>
      <w:r>
        <w:rPr>
          <w:rFonts w:ascii="Times New Roman" w:hAnsi="Times New Roman" w:cs="Times New Roman" w:hint="eastAsia"/>
          <w:szCs w:val="21"/>
        </w:rPr>
        <w:t>K</w:t>
      </w:r>
      <w:r>
        <w:rPr>
          <w:rFonts w:ascii="Times New Roman" w:hAnsi="Times New Roman" w:cs="Times New Roman"/>
          <w:szCs w:val="21"/>
        </w:rPr>
        <w:t xml:space="preserve">it (BC4775) was purchased from Beijing Solarbio Science &amp; Technology Co., Ltd. </w:t>
      </w:r>
      <w:r>
        <w:rPr>
          <w:rFonts w:ascii="Times New Roman" w:hAnsi="Times New Roman" w:cs="Times New Roman" w:hint="eastAsia"/>
          <w:szCs w:val="21"/>
        </w:rPr>
        <w:t>MTT</w:t>
      </w:r>
      <w:r>
        <w:rPr>
          <w:rFonts w:ascii="Times New Roman" w:hAnsi="Times New Roman" w:cs="Times New Roman"/>
          <w:szCs w:val="21"/>
        </w:rPr>
        <w:t xml:space="preserve"> was purchased from Labgic Technology Co., Ltd. (Beijing, China). </w:t>
      </w:r>
      <w:bookmarkStart w:id="4" w:name="_Hlk200377068"/>
      <w:r>
        <w:rPr>
          <w:rFonts w:ascii="Times New Roman" w:hAnsi="Times New Roman" w:cs="Times New Roman"/>
          <w:szCs w:val="21"/>
        </w:rPr>
        <w:t xml:space="preserve">Annexin V-FITC Cell Apoptosis Detection Kit </w:t>
      </w:r>
      <w:r>
        <w:rPr>
          <w:rFonts w:ascii="Times New Roman" w:hAnsi="Times New Roman" w:cs="Times New Roman" w:hint="eastAsia"/>
          <w:szCs w:val="21"/>
        </w:rPr>
        <w:t>(</w:t>
      </w:r>
      <w:r>
        <w:rPr>
          <w:rFonts w:ascii="Times New Roman" w:hAnsi="Times New Roman" w:cs="Times New Roman"/>
          <w:szCs w:val="21"/>
        </w:rPr>
        <w:t>C1062L)</w:t>
      </w:r>
      <w:r>
        <w:rPr>
          <w:rFonts w:ascii="Times New Roman" w:hAnsi="Times New Roman" w:cs="Times New Roman" w:hint="eastAsia"/>
          <w:szCs w:val="21"/>
        </w:rPr>
        <w:t>,</w:t>
      </w:r>
      <w:r>
        <w:rPr>
          <w:rFonts w:ascii="Times New Roman" w:hAnsi="Times New Roman" w:cs="Times New Roman"/>
          <w:szCs w:val="21"/>
        </w:rPr>
        <w:t xml:space="preserve"> Mitochondrial Membrane Potential Detection Kit (JC-1) (C2006), Reactive Oxygen Species Detection Kit (S0033S), Total Glutathione Assay Kit (S0052), and Lipid Peroxidation (MDA) Assay Kit (S0131S) were purchased from Beyotime Biotechnology Co., Ltd (Shanghai, China). </w:t>
      </w:r>
      <w:bookmarkEnd w:id="4"/>
      <w:r>
        <w:rPr>
          <w:rFonts w:ascii="Times New Roman" w:hAnsi="Times New Roman" w:cs="Times New Roman"/>
          <w:szCs w:val="21"/>
        </w:rPr>
        <w:t>The primary antibodies against Bcl-2 (WL01556), Bax (WL01637), GAPDH (WL01114), and the secondary antibody (WLA023a) were purchased from Wanlei Bio (Shenyang, China). The primary antibodies against GPX-4 (F1580) and SLC7A11 (F0517) were purchased from Selleck Chemicals (China).</w:t>
      </w:r>
      <w:r>
        <w:rPr>
          <w:rFonts w:ascii="Times New Roman" w:hAnsi="Times New Roman" w:cs="Times New Roman" w:hint="eastAsia"/>
          <w:szCs w:val="21"/>
        </w:rPr>
        <w:t xml:space="preserve"> </w:t>
      </w:r>
      <w:r>
        <w:rPr>
          <w:rFonts w:ascii="Times New Roman" w:hAnsi="Times New Roman" w:cs="Times New Roman"/>
          <w:szCs w:val="21"/>
        </w:rPr>
        <w:t xml:space="preserve">ExonScript RT Mix (with dsDNase) and SYBRPrime qPCR Set were purchased from </w:t>
      </w:r>
      <w:r>
        <w:rPr>
          <w:rFonts w:ascii="Times New Roman" w:hAnsi="Times New Roman" w:cs="Times New Roman"/>
          <w:szCs w:val="21"/>
        </w:rPr>
        <w:lastRenderedPageBreak/>
        <w:t xml:space="preserve">Baoguang Biotechnology Co., Ltd. </w:t>
      </w:r>
    </w:p>
    <w:p w14:paraId="3E5A240C" w14:textId="77777777" w:rsidR="001727E1" w:rsidRDefault="001727E1">
      <w:pPr>
        <w:jc w:val="left"/>
        <w:rPr>
          <w:rFonts w:ascii="Times New Roman" w:eastAsiaTheme="majorEastAsia" w:hAnsi="Times New Roman" w:cs="Times New Roman"/>
          <w:b/>
          <w:sz w:val="22"/>
          <w:szCs w:val="40"/>
        </w:rPr>
      </w:pPr>
    </w:p>
    <w:p w14:paraId="2325B8C7" w14:textId="77777777" w:rsidR="001727E1" w:rsidRDefault="001727E1">
      <w:pPr>
        <w:jc w:val="left"/>
        <w:rPr>
          <w:rFonts w:ascii="Times New Roman" w:eastAsiaTheme="majorEastAsia" w:hAnsi="Times New Roman" w:cs="Times New Roman"/>
          <w:b/>
          <w:sz w:val="22"/>
          <w:szCs w:val="40"/>
        </w:rPr>
      </w:pPr>
      <w:r>
        <w:rPr>
          <w:rFonts w:ascii="Times New Roman" w:eastAsiaTheme="majorEastAsia" w:hAnsi="Times New Roman" w:cs="Times New Roman"/>
          <w:b/>
          <w:sz w:val="22"/>
          <w:szCs w:val="40"/>
        </w:rPr>
        <w:t>Instrumentation</w:t>
      </w:r>
    </w:p>
    <w:p w14:paraId="792E6AA7" w14:textId="33DE9BA8" w:rsidR="001727E1" w:rsidRDefault="001727E1">
      <w:pPr>
        <w:pStyle w:val="a9"/>
        <w:spacing w:line="360" w:lineRule="auto"/>
        <w:ind w:left="0" w:firstLineChars="200"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The </w:t>
      </w:r>
      <w:r>
        <w:rPr>
          <w:rFonts w:ascii="Times New Roman" w:hAnsi="Times New Roman" w:cs="Times New Roman"/>
          <w:szCs w:val="21"/>
        </w:rPr>
        <w:t>morphology</w:t>
      </w:r>
      <w:r>
        <w:rPr>
          <w:rFonts w:ascii="Times New Roman" w:hAnsi="Times New Roman" w:cs="Times New Roman"/>
          <w:color w:val="000000" w:themeColor="text1"/>
          <w:szCs w:val="21"/>
        </w:rPr>
        <w:t xml:space="preserve"> of </w:t>
      </w:r>
      <w:r>
        <w:rPr>
          <w:rFonts w:ascii="Times New Roman" w:hAnsi="Times New Roman" w:cs="Times New Roman" w:hint="eastAsia"/>
          <w:color w:val="000000" w:themeColor="text1"/>
          <w:szCs w:val="21"/>
        </w:rPr>
        <w:t>MgMn@</w:t>
      </w:r>
      <w:r>
        <w:rPr>
          <w:rFonts w:ascii="Times New Roman" w:hAnsi="Times New Roman" w:cs="Times New Roman"/>
          <w:color w:val="000000" w:themeColor="text1"/>
          <w:szCs w:val="21"/>
        </w:rPr>
        <w:t xml:space="preserve">CDs was acquired by </w:t>
      </w:r>
      <w:r w:rsidR="00875374">
        <w:rPr>
          <w:rFonts w:ascii="Times New Roman" w:hAnsi="Times New Roman" w:cs="Times New Roman" w:hint="eastAsia"/>
          <w:color w:val="000000" w:themeColor="text1"/>
          <w:szCs w:val="21"/>
        </w:rPr>
        <w:t xml:space="preserve">the </w:t>
      </w:r>
      <w:r w:rsidR="00875374">
        <w:rPr>
          <w:rFonts w:ascii="Times New Roman" w:hAnsi="Times New Roman" w:cs="Times New Roman"/>
          <w:color w:val="000000" w:themeColor="text1"/>
          <w:szCs w:val="21"/>
        </w:rPr>
        <w:t>FEI Tecnai G2 F</w:t>
      </w:r>
      <w:r w:rsidR="00875374">
        <w:rPr>
          <w:rFonts w:ascii="Times New Roman" w:hAnsi="Times New Roman" w:cs="Times New Roman" w:hint="eastAsia"/>
          <w:color w:val="000000" w:themeColor="text1"/>
          <w:szCs w:val="21"/>
        </w:rPr>
        <w:t>2</w:t>
      </w:r>
      <w:r w:rsidR="00875374">
        <w:rPr>
          <w:rFonts w:ascii="Times New Roman" w:hAnsi="Times New Roman" w:cs="Times New Roman"/>
          <w:color w:val="000000" w:themeColor="text1"/>
          <w:szCs w:val="21"/>
        </w:rPr>
        <w:t>0</w:t>
      </w:r>
      <w:r>
        <w:rPr>
          <w:rFonts w:ascii="Times New Roman" w:hAnsi="Times New Roman" w:cs="Times New Roman"/>
          <w:color w:val="000000" w:themeColor="text1"/>
          <w:szCs w:val="21"/>
        </w:rPr>
        <w:t xml:space="preserve"> transmission electron microscope (</w:t>
      </w:r>
      <w:r w:rsidR="00875374" w:rsidRPr="00C10AA0">
        <w:rPr>
          <w:rFonts w:ascii="Times New Roman" w:hAnsi="Times New Roman" w:cs="Times New Roman" w:hint="eastAsia"/>
        </w:rPr>
        <w:t>acceleration voltage 300 kV</w:t>
      </w:r>
      <w:r w:rsidR="00875374" w:rsidDel="00875374">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 xml:space="preserve"> </w:t>
      </w:r>
      <w:r w:rsidR="00CF402A" w:rsidRPr="00756429">
        <w:rPr>
          <w:rFonts w:ascii="Times New Roman" w:hAnsi="Times New Roman" w:cs="Times New Roman"/>
        </w:rPr>
        <w:t>The high-angle annular dark-field scanning transmission electron microscope (HAADF-STEM) images and the corresponding atomic</w:t>
      </w:r>
      <w:r w:rsidR="00CF402A">
        <w:rPr>
          <w:rFonts w:ascii="Times New Roman" w:hAnsi="Times New Roman" w:cs="Times New Roman" w:hint="eastAsia"/>
        </w:rPr>
        <w:t>-</w:t>
      </w:r>
      <w:r w:rsidR="00CF402A" w:rsidRPr="00756429">
        <w:rPr>
          <w:rFonts w:ascii="Times New Roman" w:hAnsi="Times New Roman" w:cs="Times New Roman"/>
        </w:rPr>
        <w:t xml:space="preserve">resolution energy-dispersive X-ray spectroscopy element mappings were recorded by </w:t>
      </w:r>
      <w:r w:rsidR="00875374">
        <w:rPr>
          <w:rFonts w:ascii="Times New Roman" w:hAnsi="Times New Roman" w:cs="Times New Roman" w:hint="eastAsia"/>
        </w:rPr>
        <w:t xml:space="preserve">the </w:t>
      </w:r>
      <w:r w:rsidR="00CF402A" w:rsidRPr="00D7387A">
        <w:rPr>
          <w:rFonts w:ascii="Times New Roman" w:hAnsi="Times New Roman" w:cs="Times New Roman" w:hint="eastAsia"/>
        </w:rPr>
        <w:t>JEM-ARM300F</w:t>
      </w:r>
      <w:r w:rsidR="00127D3A">
        <w:rPr>
          <w:rFonts w:ascii="Times New Roman" w:hAnsi="Times New Roman" w:cs="Times New Roman" w:hint="eastAsia"/>
        </w:rPr>
        <w:t xml:space="preserve"> </w:t>
      </w:r>
      <w:r w:rsidR="00127D3A" w:rsidRPr="00127D3A">
        <w:rPr>
          <w:rFonts w:ascii="Times New Roman" w:hAnsi="Times New Roman" w:cs="Times New Roman"/>
        </w:rPr>
        <w:t>in situ double aberration-corrected transmission electron microscope</w:t>
      </w:r>
      <w:r w:rsidR="00CF402A" w:rsidRPr="00756429">
        <w:rPr>
          <w:rFonts w:ascii="Times New Roman" w:hAnsi="Times New Roman" w:cs="Times New Roman"/>
        </w:rPr>
        <w:t xml:space="preserve"> </w:t>
      </w:r>
      <w:r w:rsidR="00CF402A">
        <w:rPr>
          <w:rFonts w:ascii="Times New Roman" w:hAnsi="Times New Roman" w:cs="Times New Roman" w:hint="eastAsia"/>
          <w:color w:val="000000" w:themeColor="text1"/>
          <w:szCs w:val="21"/>
        </w:rPr>
        <w:t xml:space="preserve">(JEOL, </w:t>
      </w:r>
      <w:r w:rsidR="00CF402A">
        <w:rPr>
          <w:rFonts w:ascii="Times New Roman" w:hAnsi="Times New Roman" w:cs="Times New Roman" w:hint="eastAsia"/>
        </w:rPr>
        <w:t>Japan</w:t>
      </w:r>
      <w:r w:rsidR="00CF402A">
        <w:rPr>
          <w:rFonts w:ascii="Times New Roman" w:hAnsi="Times New Roman" w:cs="Times New Roman" w:hint="eastAsia"/>
          <w:color w:val="000000" w:themeColor="text1"/>
          <w:szCs w:val="21"/>
        </w:rPr>
        <w:t>)</w:t>
      </w:r>
      <w:r w:rsidR="00CF402A">
        <w:rPr>
          <w:rFonts w:ascii="Times New Roman" w:hAnsi="Times New Roman" w:cs="Times New Roman" w:hint="eastAsia"/>
        </w:rPr>
        <w:t xml:space="preserve"> </w:t>
      </w:r>
      <w:r w:rsidR="00CF402A" w:rsidRPr="00756429">
        <w:rPr>
          <w:rFonts w:ascii="Times New Roman" w:hAnsi="Times New Roman" w:cs="Times New Roman"/>
        </w:rPr>
        <w:t>operated at 300 kV</w:t>
      </w:r>
      <w:r>
        <w:rPr>
          <w:rFonts w:ascii="Times New Roman" w:hAnsi="Times New Roman" w:cs="Times New Roman" w:hint="eastAsia"/>
          <w:color w:val="000000" w:themeColor="text1"/>
          <w:szCs w:val="21"/>
        </w:rPr>
        <w:t xml:space="preserve">. The </w:t>
      </w:r>
      <w:r>
        <w:rPr>
          <w:rFonts w:ascii="Times New Roman" w:hAnsi="Times New Roman" w:cs="Times New Roman"/>
          <w:color w:val="000000" w:themeColor="text1"/>
          <w:szCs w:val="21"/>
        </w:rPr>
        <w:t xml:space="preserve">fluorescence </w:t>
      </w:r>
      <w:r>
        <w:rPr>
          <w:rFonts w:ascii="Times New Roman" w:hAnsi="Times New Roman" w:cs="Times New Roman" w:hint="eastAsia"/>
          <w:color w:val="000000" w:themeColor="text1"/>
          <w:szCs w:val="21"/>
        </w:rPr>
        <w:t xml:space="preserve">emission </w:t>
      </w:r>
      <w:r>
        <w:rPr>
          <w:rFonts w:ascii="Times New Roman" w:hAnsi="Times New Roman" w:cs="Times New Roman"/>
          <w:color w:val="000000" w:themeColor="text1"/>
          <w:szCs w:val="21"/>
        </w:rPr>
        <w:t xml:space="preserve">spectra were recorded by the F-4600 </w:t>
      </w:r>
      <w:r w:rsidR="00875374" w:rsidRPr="00C10AA0">
        <w:rPr>
          <w:rFonts w:ascii="Times New Roman" w:hAnsi="Times New Roman" w:cs="Times New Roman" w:hint="eastAsia"/>
        </w:rPr>
        <w:t>Fluorescence spectrometer</w:t>
      </w:r>
      <w:r w:rsidR="00875374">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w:t>
      </w:r>
      <w:bookmarkStart w:id="5" w:name="OLE_LINK29"/>
      <w:bookmarkStart w:id="6" w:name="OLE_LINK30"/>
      <w:r>
        <w:rPr>
          <w:rFonts w:ascii="Times New Roman" w:hAnsi="Times New Roman" w:cs="Times New Roman"/>
          <w:color w:val="000000" w:themeColor="text1"/>
          <w:szCs w:val="21"/>
        </w:rPr>
        <w:t>HITACHI</w:t>
      </w:r>
      <w:bookmarkEnd w:id="5"/>
      <w:bookmarkEnd w:id="6"/>
      <w:r>
        <w:rPr>
          <w:rFonts w:ascii="Times New Roman" w:hAnsi="Times New Roman" w:cs="Times New Roman"/>
          <w:color w:val="000000" w:themeColor="text1"/>
          <w:szCs w:val="21"/>
        </w:rPr>
        <w:t xml:space="preserve">, Japan). The UV-vis absorption spectra were obtained by </w:t>
      </w:r>
      <w:r w:rsidR="00875374">
        <w:rPr>
          <w:rFonts w:ascii="Times New Roman" w:hAnsi="Times New Roman" w:cs="Times New Roman" w:hint="eastAsia"/>
          <w:color w:val="000000" w:themeColor="text1"/>
          <w:szCs w:val="21"/>
        </w:rPr>
        <w:t>the</w:t>
      </w:r>
      <w:r>
        <w:rPr>
          <w:rFonts w:ascii="Times New Roman" w:hAnsi="Times New Roman" w:cs="Times New Roman"/>
          <w:color w:val="000000" w:themeColor="text1"/>
          <w:szCs w:val="21"/>
        </w:rPr>
        <w:t xml:space="preserve"> </w:t>
      </w:r>
      <w:r w:rsidR="00875374" w:rsidRPr="00C10AA0">
        <w:rPr>
          <w:rFonts w:ascii="Times New Roman" w:hAnsi="Times New Roman" w:cs="Times New Roman" w:hint="eastAsia"/>
        </w:rPr>
        <w:t>UH-5300</w:t>
      </w:r>
      <w:r w:rsidR="00875374">
        <w:rPr>
          <w:rFonts w:ascii="Times New Roman" w:hAnsi="Times New Roman" w:cs="Times New Roman" w:hint="eastAsia"/>
        </w:rPr>
        <w:t xml:space="preserve"> </w:t>
      </w:r>
      <w:r>
        <w:rPr>
          <w:rFonts w:ascii="Times New Roman" w:hAnsi="Times New Roman" w:cs="Times New Roman"/>
          <w:color w:val="000000" w:themeColor="text1"/>
          <w:szCs w:val="21"/>
        </w:rPr>
        <w:t xml:space="preserve">Ultraviolet-visible </w:t>
      </w:r>
      <w:r w:rsidR="00875374" w:rsidRPr="00C10AA0">
        <w:rPr>
          <w:rFonts w:ascii="Times New Roman" w:hAnsi="Times New Roman" w:cs="Times New Roman" w:hint="eastAsia"/>
        </w:rPr>
        <w:t>spectrometer</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HITACHI</w:t>
      </w:r>
      <w:r w:rsidR="00754C6F">
        <w:rPr>
          <w:rFonts w:ascii="Times New Roman" w:hAnsi="Times New Roman" w:cs="Times New Roman"/>
          <w:color w:val="000000" w:themeColor="text1"/>
          <w:szCs w:val="21"/>
        </w:rPr>
        <w:t>, Japan</w:t>
      </w:r>
      <w:r>
        <w:rPr>
          <w:rFonts w:ascii="Times New Roman" w:hAnsi="Times New Roman" w:cs="Times New Roman"/>
          <w:color w:val="000000" w:themeColor="text1"/>
          <w:szCs w:val="21"/>
        </w:rPr>
        <w:t>). The proton magnetic resonance (</w:t>
      </w:r>
      <w:r w:rsidR="00875374">
        <w:rPr>
          <w:rFonts w:ascii="Times New Roman" w:hAnsi="Times New Roman" w:cs="Times New Roman"/>
          <w:color w:val="000000" w:themeColor="text1"/>
          <w:szCs w:val="21"/>
          <w:vertAlign w:val="superscript"/>
        </w:rPr>
        <w:t>1</w:t>
      </w:r>
      <w:r w:rsidR="00875374">
        <w:rPr>
          <w:rFonts w:ascii="Times New Roman" w:hAnsi="Times New Roman" w:cs="Times New Roman"/>
          <w:color w:val="000000" w:themeColor="text1"/>
          <w:szCs w:val="21"/>
        </w:rPr>
        <w:t>H</w:t>
      </w:r>
      <w:r w:rsidR="00875374">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NMR) spectra w</w:t>
      </w:r>
      <w:r>
        <w:rPr>
          <w:rFonts w:ascii="Times New Roman" w:hAnsi="Times New Roman" w:cs="Times New Roman" w:hint="eastAsia"/>
          <w:color w:val="000000" w:themeColor="text1"/>
          <w:szCs w:val="21"/>
        </w:rPr>
        <w:t>ere</w:t>
      </w:r>
      <w:r>
        <w:rPr>
          <w:rFonts w:ascii="Times New Roman" w:hAnsi="Times New Roman" w:cs="Times New Roman"/>
          <w:color w:val="000000" w:themeColor="text1"/>
          <w:szCs w:val="21"/>
        </w:rPr>
        <w:t xml:space="preserve"> obtained by the </w:t>
      </w:r>
      <w:r w:rsidR="00875374" w:rsidRPr="00156B66">
        <w:rPr>
          <w:rFonts w:ascii="Times New Roman" w:hAnsi="Times New Roman" w:cs="Times New Roman" w:hint="eastAsia"/>
        </w:rPr>
        <w:t>Agilent DD2</w:t>
      </w:r>
      <w:r w:rsidR="00875374">
        <w:rPr>
          <w:rFonts w:ascii="Times New Roman" w:hAnsi="Times New Roman" w:cs="Times New Roman" w:hint="eastAsia"/>
        </w:rPr>
        <w:t xml:space="preserve"> </w:t>
      </w:r>
      <w:r>
        <w:rPr>
          <w:rFonts w:ascii="Times New Roman" w:hAnsi="Times New Roman" w:cs="Times New Roman"/>
          <w:color w:val="000000" w:themeColor="text1"/>
          <w:szCs w:val="21"/>
        </w:rPr>
        <w:t xml:space="preserve">600 MHz nuclear magnetic resonance spectrometer (Agilent, </w:t>
      </w:r>
      <w:r w:rsidR="00306AEE">
        <w:rPr>
          <w:rFonts w:ascii="Times New Roman" w:hAnsi="Times New Roman" w:cs="Times New Roman" w:hint="eastAsia"/>
          <w:color w:val="000000" w:themeColor="text1"/>
          <w:szCs w:val="21"/>
        </w:rPr>
        <w:t>USA,</w:t>
      </w:r>
      <w:r>
        <w:rPr>
          <w:rFonts w:ascii="Times New Roman" w:hAnsi="Times New Roman" w:cs="Times New Roman"/>
          <w:color w:val="000000" w:themeColor="text1"/>
          <w:szCs w:val="21"/>
        </w:rPr>
        <w:t xml:space="preserve"> D</w:t>
      </w:r>
      <w:r w:rsidRPr="00143F72">
        <w:rPr>
          <w:rFonts w:ascii="Times New Roman" w:hAnsi="Times New Roman" w:cs="Times New Roman"/>
          <w:color w:val="000000" w:themeColor="text1"/>
          <w:szCs w:val="21"/>
          <w:vertAlign w:val="subscript"/>
        </w:rPr>
        <w:t>2</w:t>
      </w:r>
      <w:r>
        <w:rPr>
          <w:rFonts w:ascii="Times New Roman" w:hAnsi="Times New Roman" w:cs="Times New Roman"/>
          <w:color w:val="000000" w:themeColor="text1"/>
          <w:szCs w:val="21"/>
        </w:rPr>
        <w:t>O as the solvent). The Fourier transform infrared (FT-IR) spectra w</w:t>
      </w:r>
      <w:r>
        <w:rPr>
          <w:rFonts w:ascii="Times New Roman" w:hAnsi="Times New Roman" w:cs="Times New Roman" w:hint="eastAsia"/>
          <w:color w:val="000000" w:themeColor="text1"/>
          <w:szCs w:val="21"/>
        </w:rPr>
        <w:t>ere</w:t>
      </w:r>
      <w:r>
        <w:rPr>
          <w:rFonts w:ascii="Times New Roman" w:hAnsi="Times New Roman" w:cs="Times New Roman"/>
          <w:color w:val="000000" w:themeColor="text1"/>
          <w:szCs w:val="21"/>
        </w:rPr>
        <w:t xml:space="preserve"> recorded by the </w:t>
      </w:r>
      <w:r w:rsidR="00875374" w:rsidRPr="008D300A">
        <w:rPr>
          <w:rFonts w:ascii="Times New Roman" w:hAnsi="Times New Roman" w:cs="Times New Roman" w:hint="eastAsia"/>
        </w:rPr>
        <w:t>Bruker Tensor 27 FT-IR spectrometer</w:t>
      </w:r>
      <w:r>
        <w:rPr>
          <w:rFonts w:ascii="Times New Roman" w:hAnsi="Times New Roman" w:cs="Times New Roman"/>
          <w:color w:val="000000" w:themeColor="text1"/>
          <w:szCs w:val="21"/>
        </w:rPr>
        <w:t xml:space="preserve"> (Bruker Corporation, USA). The </w:t>
      </w:r>
      <w:r>
        <w:rPr>
          <w:rFonts w:ascii="Times New Roman" w:hAnsi="Times New Roman" w:cs="Times New Roman" w:hint="eastAsia"/>
          <w:color w:val="000000" w:themeColor="text1"/>
          <w:szCs w:val="21"/>
        </w:rPr>
        <w:t>fluorescence lifetime</w:t>
      </w:r>
      <w:r w:rsidR="00EC3F3C">
        <w:rPr>
          <w:rFonts w:ascii="Times New Roman" w:hAnsi="Times New Roman" w:cs="Times New Roman"/>
          <w:color w:val="000000" w:themeColor="text1"/>
          <w:szCs w:val="21"/>
        </w:rPr>
        <w:t>s</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 xml:space="preserve">and </w:t>
      </w:r>
      <w:r>
        <w:rPr>
          <w:rFonts w:ascii="Times New Roman" w:hAnsi="Times New Roman" w:cs="Times New Roman"/>
          <w:color w:val="000000" w:themeColor="text1"/>
          <w:szCs w:val="21"/>
        </w:rPr>
        <w:t xml:space="preserve">absolute quantum yields were recorded by the FLS1000 </w:t>
      </w:r>
      <w:r w:rsidR="006B1B6E" w:rsidRPr="006B1B6E">
        <w:rPr>
          <w:rFonts w:ascii="Times New Roman" w:hAnsi="Times New Roman" w:cs="Times New Roman"/>
          <w:color w:val="000000" w:themeColor="text1"/>
          <w:szCs w:val="21"/>
        </w:rPr>
        <w:t xml:space="preserve">spectrometer </w:t>
      </w:r>
      <w:r>
        <w:rPr>
          <w:rFonts w:ascii="Times New Roman" w:hAnsi="Times New Roman" w:cs="Times New Roman"/>
          <w:color w:val="000000" w:themeColor="text1"/>
          <w:szCs w:val="21"/>
        </w:rPr>
        <w:t>(Edinburgh Instruments</w:t>
      </w:r>
      <w:r w:rsidR="00F506B1">
        <w:rPr>
          <w:rFonts w:ascii="Times New Roman" w:hAnsi="Times New Roman" w:cs="Times New Roman" w:hint="eastAsia"/>
          <w:color w:val="000000" w:themeColor="text1"/>
          <w:szCs w:val="21"/>
        </w:rPr>
        <w:t>, UK</w:t>
      </w:r>
      <w:r>
        <w:rPr>
          <w:rFonts w:ascii="Times New Roman" w:hAnsi="Times New Roman" w:cs="Times New Roman"/>
          <w:color w:val="000000" w:themeColor="text1"/>
          <w:szCs w:val="21"/>
        </w:rPr>
        <w:t xml:space="preserve">). The X-ray photoelectron </w:t>
      </w:r>
      <w:r w:rsidR="00EC3F3C">
        <w:rPr>
          <w:rFonts w:ascii="Times New Roman" w:hAnsi="Times New Roman" w:cs="Times New Roman"/>
          <w:color w:val="000000" w:themeColor="text1"/>
          <w:szCs w:val="21"/>
        </w:rPr>
        <w:t>s</w:t>
      </w:r>
      <w:r w:rsidR="00EC3F3C" w:rsidRPr="00EC3F3C">
        <w:rPr>
          <w:rFonts w:ascii="Times New Roman" w:hAnsi="Times New Roman" w:cs="Times New Roman"/>
          <w:color w:val="000000" w:themeColor="text1"/>
          <w:szCs w:val="21"/>
        </w:rPr>
        <w:t xml:space="preserve">pectroscopy </w:t>
      </w:r>
      <w:r>
        <w:rPr>
          <w:rFonts w:ascii="Times New Roman" w:hAnsi="Times New Roman" w:cs="Times New Roman"/>
          <w:color w:val="000000" w:themeColor="text1"/>
          <w:szCs w:val="21"/>
        </w:rPr>
        <w:t>(</w:t>
      </w:r>
      <w:bookmarkStart w:id="7" w:name="OLE_LINK15"/>
      <w:bookmarkStart w:id="8" w:name="OLE_LINK16"/>
      <w:r>
        <w:rPr>
          <w:rFonts w:ascii="Times New Roman" w:hAnsi="Times New Roman" w:cs="Times New Roman"/>
          <w:color w:val="000000" w:themeColor="text1"/>
          <w:szCs w:val="21"/>
        </w:rPr>
        <w:t>XPS</w:t>
      </w:r>
      <w:bookmarkEnd w:id="7"/>
      <w:bookmarkEnd w:id="8"/>
      <w:r>
        <w:rPr>
          <w:rFonts w:ascii="Times New Roman" w:hAnsi="Times New Roman" w:cs="Times New Roman"/>
          <w:color w:val="000000" w:themeColor="text1"/>
          <w:szCs w:val="21"/>
        </w:rPr>
        <w:t>) spectra were obtained by the Thermo ESCALAB 250Xi</w:t>
      </w:r>
      <w:r w:rsidR="00875374">
        <w:rPr>
          <w:rFonts w:ascii="Times New Roman" w:hAnsi="Times New Roman" w:cs="Times New Roman" w:hint="eastAsia"/>
          <w:color w:val="000000" w:themeColor="text1"/>
          <w:szCs w:val="21"/>
        </w:rPr>
        <w:t xml:space="preserve"> </w:t>
      </w:r>
      <w:r w:rsidR="00875374" w:rsidRPr="00875374">
        <w:rPr>
          <w:rFonts w:ascii="Times New Roman" w:hAnsi="Times New Roman" w:cs="Times New Roman"/>
          <w:color w:val="000000" w:themeColor="text1"/>
          <w:szCs w:val="21"/>
        </w:rPr>
        <w:t>X-ray photoelectron spectrometer</w:t>
      </w:r>
      <w:r>
        <w:rPr>
          <w:rFonts w:ascii="Times New Roman" w:hAnsi="Times New Roman" w:cs="Times New Roman"/>
          <w:color w:val="000000" w:themeColor="text1"/>
          <w:szCs w:val="21"/>
        </w:rPr>
        <w:t xml:space="preserve"> (</w:t>
      </w:r>
      <w:r w:rsidR="00F506B1" w:rsidRPr="003E1720">
        <w:rPr>
          <w:rFonts w:ascii="Times New Roman" w:hAnsi="Times New Roman" w:cs="Times New Roman"/>
          <w:color w:val="000000" w:themeColor="text1"/>
          <w:szCs w:val="21"/>
        </w:rPr>
        <w:t>ThermoFisher Scientific</w:t>
      </w:r>
      <w:r w:rsidR="00F506B1">
        <w:rPr>
          <w:rFonts w:ascii="Times New Roman" w:hAnsi="Times New Roman" w:cs="Times New Roman"/>
          <w:color w:val="000000" w:themeColor="text1"/>
          <w:szCs w:val="21"/>
        </w:rPr>
        <w:t>,</w:t>
      </w:r>
      <w:r w:rsidR="00F506B1" w:rsidRPr="00E6193A">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 xml:space="preserve">USA). </w:t>
      </w:r>
      <w:r>
        <w:rPr>
          <w:rFonts w:ascii="Times New Roman" w:hAnsi="Times New Roman" w:cs="Times New Roman" w:hint="eastAsia"/>
          <w:color w:val="000000" w:themeColor="text1"/>
          <w:szCs w:val="21"/>
        </w:rPr>
        <w:t xml:space="preserve">The metal loading of metal-doped CDs was obtained by </w:t>
      </w:r>
      <w:r w:rsidR="00875374">
        <w:rPr>
          <w:rFonts w:ascii="Times New Roman" w:hAnsi="Times New Roman" w:cs="Times New Roman" w:hint="eastAsia"/>
          <w:color w:val="000000" w:themeColor="text1"/>
          <w:szCs w:val="21"/>
        </w:rPr>
        <w:t xml:space="preserve">the </w:t>
      </w:r>
      <w:r w:rsidR="00875374">
        <w:rPr>
          <w:rFonts w:ascii="Times New Roman" w:hAnsi="Times New Roman" w:cs="Times New Roman"/>
          <w:color w:val="000000" w:themeColor="text1"/>
          <w:szCs w:val="21"/>
        </w:rPr>
        <w:t>i</w:t>
      </w:r>
      <w:r w:rsidR="00875374" w:rsidRPr="003E1720">
        <w:rPr>
          <w:rFonts w:ascii="Times New Roman" w:hAnsi="Times New Roman" w:cs="Times New Roman"/>
          <w:color w:val="000000" w:themeColor="text1"/>
          <w:szCs w:val="21"/>
        </w:rPr>
        <w:t>CAP6300</w:t>
      </w:r>
      <w:r>
        <w:rPr>
          <w:rFonts w:ascii="Times New Roman" w:hAnsi="Times New Roman" w:cs="Times New Roman" w:hint="eastAsia"/>
          <w:color w:val="000000" w:themeColor="text1"/>
          <w:szCs w:val="21"/>
        </w:rPr>
        <w:t xml:space="preserve"> inductively coupled plasma optical emission spectrometer (</w:t>
      </w:r>
      <w:r w:rsidRPr="003E1720">
        <w:rPr>
          <w:rFonts w:ascii="Times New Roman" w:hAnsi="Times New Roman" w:cs="Times New Roman"/>
          <w:color w:val="000000" w:themeColor="text1"/>
          <w:szCs w:val="21"/>
        </w:rPr>
        <w:t>ThermoFisher Scientific</w:t>
      </w:r>
      <w:r>
        <w:rPr>
          <w:rFonts w:ascii="Times New Roman" w:hAnsi="Times New Roman" w:cs="Times New Roman"/>
          <w:color w:val="000000" w:themeColor="text1"/>
          <w:szCs w:val="21"/>
        </w:rPr>
        <w:t>,</w:t>
      </w:r>
      <w:r w:rsidRPr="00143F72">
        <w:rPr>
          <w:rFonts w:ascii="Times New Roman" w:hAnsi="Times New Roman" w:cs="Times New Roman"/>
          <w:color w:val="000000" w:themeColor="text1"/>
          <w:szCs w:val="21"/>
        </w:rPr>
        <w:t xml:space="preserve"> </w:t>
      </w:r>
      <w:r w:rsidRPr="00DF3D97">
        <w:rPr>
          <w:rFonts w:ascii="Times New Roman" w:hAnsi="Times New Roman" w:cs="Times New Roman" w:hint="eastAsia"/>
          <w:color w:val="000000" w:themeColor="text1"/>
          <w:szCs w:val="21"/>
        </w:rPr>
        <w:t>USA)</w:t>
      </w:r>
      <w:r>
        <w:rPr>
          <w:rFonts w:ascii="Times New Roman" w:hAnsi="Times New Roman" w:cs="Times New Roman" w:hint="eastAsia"/>
          <w:color w:val="000000" w:themeColor="text1"/>
          <w:szCs w:val="21"/>
        </w:rPr>
        <w:t xml:space="preserve">. X-ray absorption spectroscopy (XAS) measurements of the Mg K-edge were </w:t>
      </w:r>
      <w:r>
        <w:rPr>
          <w:rFonts w:ascii="Times New Roman" w:hAnsi="Times New Roman" w:cs="Times New Roman"/>
          <w:color w:val="000000" w:themeColor="text1"/>
          <w:szCs w:val="21"/>
        </w:rPr>
        <w:t>obtained</w:t>
      </w:r>
      <w:r>
        <w:rPr>
          <w:rFonts w:ascii="Times New Roman" w:hAnsi="Times New Roman" w:cs="Times New Roman" w:hint="eastAsia"/>
          <w:color w:val="000000" w:themeColor="text1"/>
          <w:szCs w:val="21"/>
        </w:rPr>
        <w:t xml:space="preserve"> at I06 of Diamond Light Source (UK). X-ray absorption spectroscopy (XAS) measurements of the Mn K-edge were </w:t>
      </w:r>
      <w:r>
        <w:rPr>
          <w:rFonts w:ascii="Times New Roman" w:hAnsi="Times New Roman" w:cs="Times New Roman"/>
          <w:color w:val="000000" w:themeColor="text1"/>
          <w:szCs w:val="21"/>
        </w:rPr>
        <w:t>obtained</w:t>
      </w:r>
      <w:r>
        <w:rPr>
          <w:rFonts w:ascii="Times New Roman" w:hAnsi="Times New Roman" w:cs="Times New Roman" w:hint="eastAsia"/>
          <w:color w:val="000000" w:themeColor="text1"/>
          <w:szCs w:val="21"/>
        </w:rPr>
        <w:t xml:space="preserve"> at B18 of Diamond Light Source (UK). </w:t>
      </w:r>
      <w:r>
        <w:rPr>
          <w:rFonts w:ascii="Times New Roman" w:hAnsi="Times New Roman" w:cs="Times New Roman"/>
          <w:color w:val="000000" w:themeColor="text1"/>
          <w:szCs w:val="21"/>
        </w:rPr>
        <w:t>The absorbance values were obtained using the SpectraMax i3x microplate reader (Molecular Devices, USA). Flow cytometry data were acquired through the CytoFLEX analytical flow cytometer (Beckman Coulter, USA).</w:t>
      </w:r>
      <w:bookmarkStart w:id="9" w:name="OLE_LINK31"/>
      <w:bookmarkStart w:id="10" w:name="OLE_LINK32"/>
      <w:r>
        <w:rPr>
          <w:rFonts w:ascii="Times New Roman" w:hAnsi="Times New Roman" w:cs="Times New Roman"/>
          <w:color w:val="000000" w:themeColor="text1"/>
          <w:szCs w:val="21"/>
        </w:rPr>
        <w:t xml:space="preserve"> Cellular fluorescence images were acquired by the</w:t>
      </w:r>
      <w:r w:rsidR="00875374">
        <w:rPr>
          <w:rFonts w:ascii="Times New Roman" w:hAnsi="Times New Roman" w:cs="Times New Roman" w:hint="eastAsia"/>
          <w:color w:val="000000" w:themeColor="text1"/>
          <w:szCs w:val="21"/>
        </w:rPr>
        <w:t xml:space="preserve"> </w:t>
      </w:r>
      <w:r w:rsidR="00875374" w:rsidRPr="00DF3D97">
        <w:rPr>
          <w:rFonts w:ascii="Times New Roman" w:hAnsi="Times New Roman" w:cs="Times New Roman"/>
          <w:color w:val="000000" w:themeColor="text1"/>
          <w:szCs w:val="21"/>
        </w:rPr>
        <w:t>Ti-S</w:t>
      </w:r>
      <w:r>
        <w:rPr>
          <w:rFonts w:ascii="Times New Roman" w:hAnsi="Times New Roman" w:cs="Times New Roman"/>
          <w:color w:val="000000" w:themeColor="text1"/>
          <w:szCs w:val="21"/>
        </w:rPr>
        <w:t xml:space="preserve"> inverted fluorescence microscope (Nikon,</w:t>
      </w:r>
      <w:r w:rsidRPr="00DF3D97">
        <w:rPr>
          <w:rFonts w:ascii="Times New Roman" w:hAnsi="Times New Roman" w:cs="Times New Roman"/>
          <w:color w:val="000000" w:themeColor="text1"/>
          <w:szCs w:val="21"/>
        </w:rPr>
        <w:t xml:space="preserve"> Japan</w:t>
      </w:r>
      <w:r>
        <w:rPr>
          <w:rFonts w:ascii="Times New Roman" w:hAnsi="Times New Roman" w:cs="Times New Roman"/>
          <w:color w:val="000000" w:themeColor="text1"/>
          <w:szCs w:val="21"/>
        </w:rPr>
        <w:t>).</w:t>
      </w:r>
      <w:bookmarkEnd w:id="9"/>
      <w:bookmarkEnd w:id="10"/>
      <w:r>
        <w:rPr>
          <w:rFonts w:ascii="Times New Roman" w:hAnsi="Times New Roman" w:cs="Times New Roman"/>
          <w:color w:val="000000" w:themeColor="text1"/>
          <w:szCs w:val="21"/>
        </w:rPr>
        <w:t xml:space="preserve"> Histological slides were imaged by the </w:t>
      </w:r>
      <w:r w:rsidR="00875374">
        <w:rPr>
          <w:rFonts w:ascii="Times New Roman" w:hAnsi="Times New Roman" w:cs="Times New Roman"/>
          <w:color w:val="000000" w:themeColor="text1"/>
          <w:szCs w:val="21"/>
        </w:rPr>
        <w:t>Leica DM6</w:t>
      </w:r>
      <w:r w:rsidR="00875374">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 xml:space="preserve">upright fluorescence microscope (Leica, Germany). </w:t>
      </w:r>
      <w:bookmarkStart w:id="11" w:name="OLE_LINK24"/>
      <w:bookmarkStart w:id="12" w:name="OLE_LINK25"/>
      <w:r>
        <w:rPr>
          <w:rFonts w:ascii="Times New Roman" w:hAnsi="Times New Roman" w:cs="Times New Roman"/>
          <w:color w:val="000000" w:themeColor="text1"/>
          <w:szCs w:val="21"/>
        </w:rPr>
        <w:t xml:space="preserve">Protein imaging was performed using the Bio-Rad ChemiDoc Touch chemiluminescence imaging system (Bio-Rad Laboratories, USA). </w:t>
      </w:r>
      <w:bookmarkEnd w:id="11"/>
      <w:bookmarkEnd w:id="12"/>
      <w:r>
        <w:rPr>
          <w:rFonts w:ascii="Times New Roman" w:hAnsi="Times New Roman" w:cs="Times New Roman"/>
          <w:color w:val="000000" w:themeColor="text1"/>
          <w:szCs w:val="21"/>
        </w:rPr>
        <w:t>Real-time fluorescent quantitative PCR was performed using the CFX96 Touch (</w:t>
      </w:r>
      <w:bookmarkStart w:id="13" w:name="OLE_LINK26"/>
      <w:bookmarkStart w:id="14" w:name="OLE_LINK28"/>
      <w:r>
        <w:rPr>
          <w:rFonts w:ascii="Times New Roman" w:hAnsi="Times New Roman" w:cs="Times New Roman"/>
          <w:color w:val="000000" w:themeColor="text1"/>
          <w:szCs w:val="21"/>
        </w:rPr>
        <w:t>Bio-Rad</w:t>
      </w:r>
      <w:r w:rsidRPr="00201D62">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Laboratories, USA</w:t>
      </w:r>
      <w:bookmarkEnd w:id="13"/>
      <w:bookmarkEnd w:id="14"/>
      <w:r>
        <w:rPr>
          <w:rFonts w:ascii="Times New Roman" w:hAnsi="Times New Roman" w:cs="Times New Roman"/>
          <w:color w:val="000000" w:themeColor="text1"/>
          <w:szCs w:val="21"/>
        </w:rPr>
        <w:t>). Fluorescence imaging in mice was obtained using the In Vivo Small Animal Optical Imaging System (</w:t>
      </w:r>
      <w:r w:rsidR="003728C1" w:rsidRPr="000124B4">
        <w:rPr>
          <w:rFonts w:ascii="Times New Roman" w:hAnsi="Times New Roman" w:cs="Times New Roman"/>
          <w:szCs w:val="21"/>
        </w:rPr>
        <w:t>IVIS Lumina III</w:t>
      </w:r>
      <w:r w:rsidR="003728C1" w:rsidRPr="000124B4">
        <w:rPr>
          <w:rFonts w:ascii="Times New Roman" w:hAnsi="Times New Roman" w:cs="Times New Roman" w:hint="eastAsia"/>
          <w:szCs w:val="21"/>
        </w:rPr>
        <w:t>,</w:t>
      </w:r>
      <w:r w:rsidR="003728C1">
        <w:rPr>
          <w:rFonts w:ascii="Times New Roman" w:hAnsi="Times New Roman" w:cs="Times New Roman" w:hint="eastAsia"/>
          <w:szCs w:val="21"/>
        </w:rPr>
        <w:t xml:space="preserve"> </w:t>
      </w:r>
      <w:r>
        <w:rPr>
          <w:rFonts w:ascii="Times New Roman" w:hAnsi="Times New Roman" w:cs="Times New Roman"/>
          <w:color w:val="000000" w:themeColor="text1"/>
          <w:szCs w:val="21"/>
        </w:rPr>
        <w:t>PerkinElmer, USA).</w:t>
      </w:r>
    </w:p>
    <w:p w14:paraId="1CC0C2E5" w14:textId="77777777" w:rsidR="001727E1" w:rsidRDefault="001727E1">
      <w:pPr>
        <w:rPr>
          <w:rFonts w:ascii="Times New Roman" w:hAnsi="Times New Roman" w:cs="Times New Roman"/>
          <w:b/>
        </w:rPr>
      </w:pPr>
      <w:r>
        <w:rPr>
          <w:rFonts w:ascii="Times New Roman" w:hAnsi="Times New Roman" w:cs="Times New Roman" w:hint="eastAsia"/>
          <w:b/>
        </w:rPr>
        <w:t>Synthesis of MgMn@CDs</w:t>
      </w:r>
    </w:p>
    <w:p w14:paraId="2A019B11" w14:textId="12DA8EB6" w:rsidR="001727E1" w:rsidRDefault="001727E1">
      <w:pPr>
        <w:pStyle w:val="a9"/>
        <w:spacing w:line="360" w:lineRule="auto"/>
        <w:ind w:left="0" w:firstLineChars="200" w:firstLine="420"/>
        <w:rPr>
          <w:rFonts w:ascii="Times New Roman" w:hAnsi="Times New Roman" w:cs="Times New Roman"/>
          <w:szCs w:val="21"/>
        </w:rPr>
      </w:pPr>
      <w:r>
        <w:rPr>
          <w:rFonts w:ascii="Times New Roman" w:hAnsi="Times New Roman" w:cs="Times New Roman" w:hint="eastAsia"/>
          <w:szCs w:val="21"/>
        </w:rPr>
        <w:t>MgMn@CDs were synthesized using a one-step solvothermal method</w:t>
      </w:r>
      <w:r>
        <w:rPr>
          <w:rFonts w:ascii="Times New Roman" w:hAnsi="Times New Roman" w:cs="Times New Roman"/>
          <w:szCs w:val="21"/>
        </w:rPr>
        <w:t>, according to our previous work</w:t>
      </w:r>
      <w:r>
        <w:rPr>
          <w:rFonts w:ascii="Times New Roman" w:hAnsi="Times New Roman" w:cs="Times New Roman" w:hint="eastAsia"/>
          <w:szCs w:val="21"/>
        </w:rPr>
        <w:t>.</w:t>
      </w:r>
      <w:r w:rsidR="00AB4CB0">
        <w:rPr>
          <w:rFonts w:ascii="Times New Roman" w:hAnsi="Times New Roman" w:cs="Times New Roman"/>
          <w:szCs w:val="21"/>
        </w:rPr>
        <w:fldChar w:fldCharType="begin"/>
      </w:r>
      <w:r w:rsidR="00AB4CB0">
        <w:rPr>
          <w:rFonts w:ascii="Times New Roman" w:hAnsi="Times New Roman" w:cs="Times New Roman"/>
          <w:szCs w:val="21"/>
        </w:rPr>
        <w:instrText xml:space="preserve"> ADDIN EN.CITE &lt;EndNote&gt;&lt;Cite&gt;&lt;Author&gt;Zhang&lt;/Author&gt;&lt;Year&gt;2025&lt;/Year&gt;&lt;RecNum&gt;1029&lt;/RecNum&gt;&lt;DisplayText&gt;&lt;style face="superscript"&gt;1&lt;/style&gt;&lt;/DisplayText&gt;&lt;record&gt;&lt;rec-number&gt;1029&lt;/rec-number&gt;&lt;foreign-keys&gt;&lt;key app="EN" db-id="fft202z595rvvlezwac5r0xq05pxaz5f92sz" timestamp="1773837254"&gt;1029&lt;/key&gt;&lt;/foreign-keys&gt;&lt;ref-type name="Journal Article"&gt;17&lt;/ref-type&gt;&lt;contributors&gt;&lt;authors&gt;&lt;author&gt;Zhang, Yu&lt;/author&gt;&lt;author&gt;Shi, Jinyu&lt;/author&gt;&lt;author&gt;Fang, Xiangyang&lt;/author&gt;&lt;author&gt;Li, Jing&lt;/author&gt;&lt;author&gt;Fan, Xing&lt;/author&gt;&lt;author&gt;Wang, Ke&lt;/author&gt;&lt;author&gt;Gao, Guoqiang&lt;/author&gt;&lt;author&gt;Luo, Fufang&lt;/author&gt;&lt;author&gt;Xu, Na&lt;/author&gt;&lt;author&gt;Xia, Zhining&lt;/author&gt;&lt;author&gt;Liu, Cui&lt;/author&gt;&lt;/authors&gt;&lt;/contributors&gt;&lt;titles&gt;&lt;title&gt;Mg/Mn co-doped carbon dot nanozyme with high superoxide dismutase-like activity and fluorescence for transdermal therapy of atopic dermatitis&lt;/title&gt;&lt;secondary-title&gt;Chem. Eng. J.&lt;/secondary-title&gt;&lt;/titles&gt;&lt;periodical&gt;&lt;full-title&gt;Chemical Engineering Journal&lt;/full-title&gt;&lt;abbr-1&gt;Chem. Eng. J.&lt;/abbr-1&gt;&lt;abbr-2&gt;Chem Eng J&lt;/abbr-2&gt;&lt;/periodical&gt;&lt;pages&gt;168610&lt;/pages&gt;&lt;volume&gt;523&lt;/volume&gt;&lt;dates&gt;&lt;year&gt;2025&lt;/year&gt;&lt;pub-dates&gt;&lt;date&gt;2025/09/17&lt;/date&gt;&lt;/pub-dates&gt;&lt;/dates&gt;&lt;urls&gt;&lt;related-urls&gt;&lt;url&gt;http://dx.doi.org/10.1016/j.cej.2025.168610&lt;/url&gt;&lt;/related-urls&gt;&lt;/urls&gt;&lt;electronic-resource-num&gt;10.1016/j.cej.2025.168610&lt;/electronic-resource-num&gt;&lt;/record&gt;&lt;/Cite&gt;&lt;/EndNote&gt;</w:instrText>
      </w:r>
      <w:r w:rsidR="00AB4CB0">
        <w:rPr>
          <w:rFonts w:ascii="Times New Roman" w:hAnsi="Times New Roman" w:cs="Times New Roman"/>
          <w:szCs w:val="21"/>
        </w:rPr>
        <w:fldChar w:fldCharType="separate"/>
      </w:r>
      <w:r w:rsidR="00AB4CB0" w:rsidRPr="00AB4CB0">
        <w:rPr>
          <w:rFonts w:ascii="Times New Roman" w:hAnsi="Times New Roman" w:cs="Times New Roman"/>
          <w:noProof/>
          <w:szCs w:val="21"/>
          <w:vertAlign w:val="superscript"/>
        </w:rPr>
        <w:t>1</w:t>
      </w:r>
      <w:r w:rsidR="00AB4CB0">
        <w:rPr>
          <w:rFonts w:ascii="Times New Roman" w:hAnsi="Times New Roman" w:cs="Times New Roman"/>
          <w:szCs w:val="21"/>
        </w:rPr>
        <w:fldChar w:fldCharType="end"/>
      </w:r>
      <w:r>
        <w:rPr>
          <w:rFonts w:ascii="Times New Roman" w:hAnsi="Times New Roman" w:cs="Times New Roman" w:hint="eastAsia"/>
          <w:szCs w:val="21"/>
        </w:rPr>
        <w:t xml:space="preserve"> Briefly, 20 mg of </w:t>
      </w:r>
      <w:r>
        <w:rPr>
          <w:rFonts w:ascii="Times New Roman" w:hAnsi="Times New Roman" w:cs="Times New Roman"/>
          <w:szCs w:val="21"/>
        </w:rPr>
        <w:t xml:space="preserve">magnesium chloride hexahydrate, </w:t>
      </w:r>
      <w:r>
        <w:rPr>
          <w:rFonts w:ascii="Times New Roman" w:hAnsi="Times New Roman" w:cs="Times New Roman" w:hint="eastAsia"/>
          <w:szCs w:val="21"/>
        </w:rPr>
        <w:t xml:space="preserve">10 mg of </w:t>
      </w:r>
      <w:r w:rsidR="00F506B1" w:rsidRPr="00F506B1">
        <w:rPr>
          <w:rFonts w:ascii="Times New Roman" w:hAnsi="Times New Roman" w:cs="Times New Roman" w:hint="eastAsia"/>
          <w:szCs w:val="21"/>
        </w:rPr>
        <w:t>manganese</w:t>
      </w:r>
      <w:r w:rsidR="00BE330F">
        <w:rPr>
          <w:rFonts w:ascii="Times New Roman" w:hAnsi="Times New Roman" w:cs="Times New Roman" w:hint="eastAsia"/>
          <w:szCs w:val="21"/>
        </w:rPr>
        <w:t xml:space="preserve"> </w:t>
      </w:r>
      <w:r w:rsidR="00F506B1" w:rsidRPr="00F506B1">
        <w:rPr>
          <w:rFonts w:ascii="Times New Roman" w:hAnsi="Times New Roman" w:cs="Times New Roman" w:hint="eastAsia"/>
          <w:szCs w:val="21"/>
        </w:rPr>
        <w:t>(</w:t>
      </w:r>
      <w:r w:rsidR="003728C1">
        <w:rPr>
          <w:rFonts w:ascii="Times New Roman" w:hAnsi="Times New Roman" w:cs="Times New Roman" w:hint="eastAsia"/>
          <w:szCs w:val="21"/>
        </w:rPr>
        <w:t>I</w:t>
      </w:r>
      <w:r w:rsidR="00F506B1" w:rsidRPr="00F506B1">
        <w:rPr>
          <w:rFonts w:ascii="Times New Roman" w:hAnsi="Times New Roman" w:cs="Times New Roman" w:hint="eastAsia"/>
          <w:szCs w:val="21"/>
        </w:rPr>
        <w:t>II) acetylacetonate</w:t>
      </w:r>
      <w:r>
        <w:rPr>
          <w:rFonts w:ascii="Times New Roman" w:hAnsi="Times New Roman" w:cs="Times New Roman"/>
          <w:szCs w:val="21"/>
        </w:rPr>
        <w:t xml:space="preserve">, </w:t>
      </w:r>
      <w:r>
        <w:rPr>
          <w:rFonts w:ascii="Times New Roman" w:hAnsi="Times New Roman" w:cs="Times New Roman" w:hint="eastAsia"/>
          <w:szCs w:val="21"/>
        </w:rPr>
        <w:t xml:space="preserve">along with 0.7 g of </w:t>
      </w:r>
      <w:r>
        <w:rPr>
          <w:rFonts w:ascii="Times New Roman" w:hAnsi="Times New Roman" w:cs="Times New Roman"/>
          <w:szCs w:val="21"/>
        </w:rPr>
        <w:t>reduced glutathione</w:t>
      </w:r>
      <w:r>
        <w:rPr>
          <w:rFonts w:ascii="Times New Roman" w:hAnsi="Times New Roman" w:cs="Times New Roman" w:hint="eastAsia"/>
          <w:szCs w:val="21"/>
        </w:rPr>
        <w:t xml:space="preserve"> were added to</w:t>
      </w:r>
      <w:r>
        <w:rPr>
          <w:rFonts w:ascii="Times New Roman" w:hAnsi="Times New Roman" w:cs="Times New Roman"/>
          <w:szCs w:val="21"/>
        </w:rPr>
        <w:t xml:space="preserve"> </w:t>
      </w:r>
      <w:r>
        <w:rPr>
          <w:rFonts w:ascii="Times New Roman" w:hAnsi="Times New Roman" w:cs="Times New Roman" w:hint="eastAsia"/>
          <w:szCs w:val="21"/>
        </w:rPr>
        <w:t xml:space="preserve">70 mL of </w:t>
      </w:r>
      <w:r>
        <w:rPr>
          <w:rFonts w:ascii="Times New Roman" w:hAnsi="Times New Roman" w:cs="Times New Roman"/>
          <w:szCs w:val="21"/>
        </w:rPr>
        <w:t>formamide</w:t>
      </w:r>
      <w:r>
        <w:rPr>
          <w:rFonts w:ascii="Times New Roman" w:hAnsi="Times New Roman" w:cs="Times New Roman" w:hint="eastAsia"/>
          <w:szCs w:val="21"/>
        </w:rPr>
        <w:t>. The mixture was transferred into a Teflon auto</w:t>
      </w:r>
      <w:r>
        <w:rPr>
          <w:rFonts w:ascii="Times New Roman" w:hAnsi="Times New Roman" w:cs="Times New Roman"/>
          <w:szCs w:val="21"/>
        </w:rPr>
        <w:t>clave and reacted at 160 ℃ for 8 h.</w:t>
      </w:r>
      <w:r>
        <w:rPr>
          <w:rFonts w:ascii="Times New Roman" w:hAnsi="Times New Roman" w:cs="Times New Roman" w:hint="eastAsia"/>
          <w:szCs w:val="21"/>
        </w:rPr>
        <w:t xml:space="preserve"> </w:t>
      </w:r>
      <w:r>
        <w:rPr>
          <w:rFonts w:ascii="Times New Roman" w:hAnsi="Times New Roman" w:cs="Times New Roman"/>
          <w:szCs w:val="21"/>
        </w:rPr>
        <w:t>T</w:t>
      </w:r>
      <w:r>
        <w:rPr>
          <w:rFonts w:ascii="Times New Roman" w:hAnsi="Times New Roman" w:cs="Times New Roman" w:hint="eastAsia"/>
          <w:szCs w:val="21"/>
        </w:rPr>
        <w:t xml:space="preserve">he </w:t>
      </w:r>
      <w:r>
        <w:rPr>
          <w:rFonts w:ascii="Times New Roman" w:hAnsi="Times New Roman" w:cs="Times New Roman"/>
          <w:szCs w:val="21"/>
        </w:rPr>
        <w:t xml:space="preserve">resulting </w:t>
      </w:r>
      <w:bookmarkStart w:id="15" w:name="OLE_LINK17"/>
      <w:bookmarkStart w:id="16" w:name="OLE_LINK18"/>
      <w:r>
        <w:rPr>
          <w:rFonts w:ascii="Times New Roman" w:hAnsi="Times New Roman" w:cs="Times New Roman"/>
          <w:szCs w:val="21"/>
        </w:rPr>
        <w:t>solution</w:t>
      </w:r>
      <w:r>
        <w:rPr>
          <w:rFonts w:ascii="Times New Roman" w:hAnsi="Times New Roman" w:cs="Times New Roman" w:hint="eastAsia"/>
          <w:szCs w:val="21"/>
        </w:rPr>
        <w:t xml:space="preserve"> </w:t>
      </w:r>
      <w:bookmarkEnd w:id="15"/>
      <w:bookmarkEnd w:id="16"/>
      <w:r>
        <w:rPr>
          <w:rFonts w:ascii="Times New Roman" w:hAnsi="Times New Roman" w:cs="Times New Roman" w:hint="eastAsia"/>
          <w:szCs w:val="21"/>
        </w:rPr>
        <w:t xml:space="preserve">was cooled to room temperature and dialyzed for 7 days using a 3500-Da dialysis bag. The solution was concentrated and then freeze-dried to obtain MgMn@CDs. CDs </w:t>
      </w:r>
      <w:r>
        <w:rPr>
          <w:rFonts w:ascii="Times New Roman" w:hAnsi="Times New Roman" w:cs="Times New Roman"/>
          <w:szCs w:val="21"/>
        </w:rPr>
        <w:t xml:space="preserve">without metal doping </w:t>
      </w:r>
      <w:r>
        <w:rPr>
          <w:rFonts w:ascii="Times New Roman" w:hAnsi="Times New Roman" w:cs="Times New Roman" w:hint="eastAsia"/>
          <w:szCs w:val="21"/>
        </w:rPr>
        <w:t xml:space="preserve">were prepared by the same method without adding metal salts. Similarly, Mg-CDs were prepared by adding 20 mg of magnesium chloride hexahydrate, while Mn-CDs were prepared by adding 10 mg of </w:t>
      </w:r>
      <w:r w:rsidR="00F506B1" w:rsidRPr="00F506B1">
        <w:rPr>
          <w:rFonts w:ascii="Times New Roman" w:hAnsi="Times New Roman" w:cs="Times New Roman" w:hint="eastAsia"/>
          <w:szCs w:val="21"/>
        </w:rPr>
        <w:t>manganese</w:t>
      </w:r>
      <w:r w:rsidR="00BE330F">
        <w:rPr>
          <w:rFonts w:ascii="Times New Roman" w:hAnsi="Times New Roman" w:cs="Times New Roman" w:hint="eastAsia"/>
          <w:szCs w:val="21"/>
        </w:rPr>
        <w:t xml:space="preserve"> </w:t>
      </w:r>
      <w:r w:rsidR="00F506B1" w:rsidRPr="00F506B1">
        <w:rPr>
          <w:rFonts w:ascii="Times New Roman" w:hAnsi="Times New Roman" w:cs="Times New Roman" w:hint="eastAsia"/>
          <w:szCs w:val="21"/>
        </w:rPr>
        <w:t>(I</w:t>
      </w:r>
      <w:r w:rsidR="003728C1">
        <w:rPr>
          <w:rFonts w:ascii="Times New Roman" w:hAnsi="Times New Roman" w:cs="Times New Roman" w:hint="eastAsia"/>
          <w:szCs w:val="21"/>
        </w:rPr>
        <w:t>I</w:t>
      </w:r>
      <w:r w:rsidR="00F506B1" w:rsidRPr="00F506B1">
        <w:rPr>
          <w:rFonts w:ascii="Times New Roman" w:hAnsi="Times New Roman" w:cs="Times New Roman" w:hint="eastAsia"/>
          <w:szCs w:val="21"/>
        </w:rPr>
        <w:t>I) acetylacetonate</w:t>
      </w:r>
      <w:r>
        <w:rPr>
          <w:rFonts w:ascii="Times New Roman" w:hAnsi="Times New Roman" w:cs="Times New Roman" w:hint="eastAsia"/>
          <w:szCs w:val="21"/>
        </w:rPr>
        <w:t>.</w:t>
      </w:r>
    </w:p>
    <w:p w14:paraId="1AA6A6C8" w14:textId="77777777" w:rsidR="001727E1" w:rsidRDefault="001727E1">
      <w:pPr>
        <w:rPr>
          <w:rFonts w:ascii="Times New Roman" w:hAnsi="Times New Roman" w:cs="Times New Roman"/>
          <w:b/>
        </w:rPr>
      </w:pPr>
      <w:r>
        <w:rPr>
          <w:rFonts w:ascii="Times New Roman" w:hAnsi="Times New Roman" w:cs="Times New Roman" w:hint="eastAsia"/>
          <w:b/>
        </w:rPr>
        <w:t xml:space="preserve">SOD-like activity and </w:t>
      </w:r>
      <w:r>
        <w:rPr>
          <w:rFonts w:ascii="Times New Roman" w:hAnsi="Times New Roman" w:cs="Times New Roman"/>
          <w:b/>
        </w:rPr>
        <w:t>O</w:t>
      </w:r>
      <w:r>
        <w:rPr>
          <w:rFonts w:ascii="Times New Roman" w:hAnsi="Times New Roman" w:cs="Times New Roman"/>
          <w:b/>
          <w:vertAlign w:val="subscript"/>
        </w:rPr>
        <w:t>2</w:t>
      </w:r>
      <w:r>
        <w:rPr>
          <w:rFonts w:ascii="Times New Roman" w:hAnsi="Times New Roman" w:cs="Times New Roman"/>
          <w:b/>
          <w:vertAlign w:val="superscript"/>
        </w:rPr>
        <w:t>•−</w:t>
      </w:r>
      <w:r>
        <w:rPr>
          <w:rFonts w:ascii="Times New Roman" w:hAnsi="Times New Roman" w:cs="Times New Roman"/>
          <w:b/>
        </w:rPr>
        <w:t xml:space="preserve"> scavenging activity of</w:t>
      </w:r>
      <w:r>
        <w:rPr>
          <w:rFonts w:ascii="Times New Roman" w:hAnsi="Times New Roman" w:cs="Times New Roman" w:hint="eastAsia"/>
          <w:b/>
        </w:rPr>
        <w:t xml:space="preserve"> MgMn@CDs</w:t>
      </w:r>
    </w:p>
    <w:p w14:paraId="065904B3" w14:textId="67F626DE" w:rsidR="001727E1" w:rsidRDefault="001727E1">
      <w:pPr>
        <w:pStyle w:val="a9"/>
        <w:spacing w:line="360" w:lineRule="auto"/>
        <w:ind w:left="0" w:firstLineChars="200" w:firstLine="420"/>
        <w:rPr>
          <w:rFonts w:ascii="Times New Roman" w:hAnsi="Times New Roman" w:cs="Times New Roman"/>
          <w:szCs w:val="21"/>
        </w:rPr>
      </w:pPr>
      <w:r>
        <w:rPr>
          <w:rFonts w:ascii="Times New Roman" w:hAnsi="Times New Roman" w:cs="Times New Roman" w:hint="eastAsia"/>
          <w:szCs w:val="21"/>
        </w:rPr>
        <w:t xml:space="preserve">The SOD-like activity of MgMn@CDs was detected using a commercial SOD Assay Kit (S311, Dojindo Molecular Technolo gies, Inc.). </w:t>
      </w:r>
      <w:r w:rsidR="00A37667" w:rsidRPr="00A37667">
        <w:rPr>
          <w:rFonts w:ascii="Times New Roman" w:hAnsi="Times New Roman" w:cs="Times New Roman" w:hint="eastAsia"/>
          <w:szCs w:val="21"/>
        </w:rPr>
        <w:t>This method leverages WST-1</w:t>
      </w:r>
      <w:r w:rsidR="00A37667">
        <w:rPr>
          <w:rFonts w:ascii="Times New Roman" w:hAnsi="Times New Roman" w:cs="Times New Roman" w:hint="eastAsia"/>
          <w:szCs w:val="21"/>
        </w:rPr>
        <w:t xml:space="preserve"> ((2-(4-Iodophenyl)-3-(4-nitrophenyl)-5-(2,4-disulfophenyl)-2H-tetrazolium, monosodium salt))</w:t>
      </w:r>
      <w:r w:rsidR="00A37667" w:rsidRPr="00A37667">
        <w:rPr>
          <w:rFonts w:ascii="Times New Roman" w:hAnsi="Times New Roman" w:cs="Times New Roman" w:hint="eastAsia"/>
          <w:szCs w:val="21"/>
        </w:rPr>
        <w:t xml:space="preserve">, a highly water-soluble tetrazolium salt, which interacts with superoxide anions to generate a formazan dye exhibiting absorbance </w:t>
      </w:r>
      <w:r w:rsidR="00742B56" w:rsidRPr="00A37667">
        <w:rPr>
          <w:rFonts w:ascii="Times New Roman" w:hAnsi="Times New Roman" w:cs="Times New Roman" w:hint="eastAsia"/>
          <w:szCs w:val="21"/>
        </w:rPr>
        <w:t xml:space="preserve">peak </w:t>
      </w:r>
      <w:r w:rsidR="00A37667" w:rsidRPr="00A37667">
        <w:rPr>
          <w:rFonts w:ascii="Times New Roman" w:hAnsi="Times New Roman" w:cs="Times New Roman" w:hint="eastAsia"/>
          <w:szCs w:val="21"/>
        </w:rPr>
        <w:t>at 450 nm. The extent of WST-1 reduction by superoxide anions directly correlates with xanthine oxidase activity and is suppressed by SOD.</w:t>
      </w:r>
      <w:r>
        <w:rPr>
          <w:rFonts w:ascii="Times New Roman" w:hAnsi="Times New Roman" w:cs="Times New Roman"/>
          <w:szCs w:val="21"/>
        </w:rPr>
        <w:t xml:space="preserve"> </w:t>
      </w:r>
      <w:r>
        <w:rPr>
          <w:rFonts w:ascii="Times New Roman" w:hAnsi="Times New Roman" w:cs="Times New Roman" w:hint="eastAsia"/>
          <w:szCs w:val="21"/>
        </w:rPr>
        <w:t>The inhibition rate of SOD</w:t>
      </w:r>
      <w:r w:rsidR="005E62D4">
        <w:rPr>
          <w:rFonts w:ascii="Times New Roman" w:hAnsi="Times New Roman" w:cs="Times New Roman" w:hint="eastAsia"/>
          <w:szCs w:val="21"/>
        </w:rPr>
        <w:t xml:space="preserve"> </w:t>
      </w:r>
      <w:r>
        <w:rPr>
          <w:rFonts w:ascii="Times New Roman" w:hAnsi="Times New Roman" w:cs="Times New Roman" w:hint="eastAsia"/>
          <w:szCs w:val="21"/>
        </w:rPr>
        <w:t xml:space="preserve">(%) was calculated according to the following equation. </w:t>
      </w:r>
      <w:r>
        <w:rPr>
          <w:rFonts w:ascii="Times New Roman" w:hAnsi="Times New Roman" w:cs="Times New Roman"/>
          <w:szCs w:val="21"/>
        </w:rPr>
        <w:t>Additionally, the O</w:t>
      </w:r>
      <w:r>
        <w:rPr>
          <w:rFonts w:ascii="Times New Roman" w:hAnsi="Times New Roman" w:cs="Times New Roman"/>
          <w:szCs w:val="21"/>
          <w:vertAlign w:val="subscript"/>
        </w:rPr>
        <w:t>2</w:t>
      </w:r>
      <w:r>
        <w:rPr>
          <w:rFonts w:ascii="Times New Roman" w:hAnsi="Times New Roman" w:cs="Times New Roman"/>
          <w:szCs w:val="21"/>
          <w:vertAlign w:val="superscript"/>
        </w:rPr>
        <w:t>•−</w:t>
      </w:r>
      <w:r>
        <w:rPr>
          <w:rFonts w:ascii="Times New Roman" w:hAnsi="Times New Roman" w:cs="Times New Roman" w:hint="eastAsia"/>
          <w:szCs w:val="21"/>
        </w:rPr>
        <w:t xml:space="preserve"> </w:t>
      </w:r>
      <w:r>
        <w:rPr>
          <w:rFonts w:ascii="Times New Roman" w:hAnsi="Times New Roman" w:cs="Times New Roman"/>
          <w:szCs w:val="21"/>
        </w:rPr>
        <w:t>scavenging capacity of MgMn@CDs can be evaluated by monitoring the change in UV-vis absorption intensity of the reaction system at approximately 450 nm before and after the addition of MgMn@CDs.</w:t>
      </w:r>
    </w:p>
    <w:p w14:paraId="201609CA" w14:textId="397D9070" w:rsidR="001727E1" w:rsidRDefault="001727E1" w:rsidP="004F09D4">
      <w:pPr>
        <w:spacing w:line="360" w:lineRule="auto"/>
        <w:ind w:firstLineChars="200"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The inhibition rate of SOD (%) = </w:t>
      </w:r>
      <w:bookmarkStart w:id="17" w:name="_Hlk205491146"/>
      <m:oMath>
        <m:f>
          <m:fPr>
            <m:ctrlPr>
              <w:rPr>
                <w:rFonts w:ascii="Cambria Math" w:hAnsi="Cambria Math" w:cs="Times New Roman"/>
                <w:i/>
                <w:color w:val="000000" w:themeColor="text1"/>
                <w:szCs w:val="21"/>
              </w:rPr>
            </m:ctrlPr>
          </m:fPr>
          <m:num>
            <m:r>
              <m:rPr>
                <m:nor/>
              </m:rPr>
              <w:rPr>
                <w:rFonts w:ascii="Times New Roman" w:hAnsi="Times New Roman" w:cs="Times New Roman" w:hint="eastAsia"/>
                <w:color w:val="000000" w:themeColor="text1"/>
                <w:szCs w:val="21"/>
              </w:rPr>
              <m:t>（</m:t>
            </m:r>
            <m:sSub>
              <m:sSubPr>
                <m:ctrlPr>
                  <w:rPr>
                    <w:rFonts w:ascii="Cambria Math" w:hAnsi="Cambria Math" w:cs="Times New Roman"/>
                    <w:i/>
                    <w:color w:val="000000" w:themeColor="text1"/>
                    <w:szCs w:val="21"/>
                  </w:rPr>
                </m:ctrlPr>
              </m:sSubPr>
              <m:e>
                <m:r>
                  <m:rPr>
                    <m:nor/>
                  </m:rPr>
                  <w:rPr>
                    <w:rFonts w:ascii="Times New Roman" w:hAnsi="Times New Roman" w:cs="Times New Roman"/>
                    <w:i/>
                    <w:color w:val="000000" w:themeColor="text1"/>
                    <w:szCs w:val="21"/>
                  </w:rPr>
                  <m:t>A</m:t>
                </m:r>
              </m:e>
              <m:sub>
                <m:r>
                  <m:rPr>
                    <m:nor/>
                  </m:rPr>
                  <w:rPr>
                    <w:rFonts w:ascii="Times New Roman" w:hAnsi="Times New Roman" w:cs="Times New Roman"/>
                    <w:i/>
                    <w:color w:val="000000" w:themeColor="text1"/>
                    <w:szCs w:val="21"/>
                  </w:rPr>
                  <m:t>Control</m:t>
                </m:r>
                <m:r>
                  <m:rPr>
                    <m:nor/>
                  </m:rPr>
                  <w:rPr>
                    <w:rFonts w:ascii="Cambria Math" w:hAnsi="Times New Roman" w:cs="Times New Roman" w:hint="eastAsia"/>
                    <w:i/>
                    <w:color w:val="000000" w:themeColor="text1"/>
                    <w:szCs w:val="21"/>
                  </w:rPr>
                  <m:t xml:space="preserve"> </m:t>
                </m:r>
                <m:r>
                  <m:rPr>
                    <m:nor/>
                  </m:rPr>
                  <w:rPr>
                    <w:rFonts w:ascii="Times New Roman" w:hAnsi="Times New Roman" w:cs="Times New Roman"/>
                    <w:i/>
                    <w:color w:val="000000" w:themeColor="text1"/>
                    <w:szCs w:val="21"/>
                  </w:rPr>
                  <m:t>1</m:t>
                </m:r>
              </m:sub>
            </m:sSub>
            <m:r>
              <w:rPr>
                <w:rFonts w:ascii="Cambria Math" w:hAnsi="Cambria Math" w:cs="Times New Roman"/>
                <w:color w:val="000000" w:themeColor="text1"/>
                <w:szCs w:val="21"/>
              </w:rPr>
              <m:t>-</m:t>
            </m:r>
            <m:sSub>
              <m:sSubPr>
                <m:ctrlPr>
                  <w:rPr>
                    <w:rFonts w:ascii="Cambria Math" w:hAnsi="Cambria Math" w:cs="Times New Roman"/>
                    <w:i/>
                    <w:color w:val="000000" w:themeColor="text1"/>
                    <w:szCs w:val="21"/>
                  </w:rPr>
                </m:ctrlPr>
              </m:sSubPr>
              <m:e>
                <m:r>
                  <m:rPr>
                    <m:nor/>
                  </m:rPr>
                  <w:rPr>
                    <w:rFonts w:ascii="Times New Roman" w:hAnsi="Times New Roman" w:cs="Times New Roman"/>
                    <w:i/>
                    <w:color w:val="000000" w:themeColor="text1"/>
                    <w:szCs w:val="21"/>
                  </w:rPr>
                  <m:t>A</m:t>
                </m:r>
              </m:e>
              <m:sub>
                <m:r>
                  <m:rPr>
                    <m:nor/>
                  </m:rPr>
                  <w:rPr>
                    <w:rFonts w:ascii="Times New Roman" w:hAnsi="Times New Roman" w:cs="Times New Roman"/>
                    <w:i/>
                    <w:color w:val="000000" w:themeColor="text1"/>
                    <w:szCs w:val="21"/>
                  </w:rPr>
                  <m:t>Control</m:t>
                </m:r>
                <m:r>
                  <m:rPr>
                    <m:nor/>
                  </m:rPr>
                  <w:rPr>
                    <w:rFonts w:ascii="Cambria Math" w:hAnsi="Times New Roman" w:cs="Times New Roman" w:hint="eastAsia"/>
                    <w:i/>
                    <w:color w:val="000000" w:themeColor="text1"/>
                    <w:szCs w:val="21"/>
                  </w:rPr>
                  <m:t xml:space="preserve"> </m:t>
                </m:r>
                <m:r>
                  <m:rPr>
                    <m:nor/>
                  </m:rPr>
                  <w:rPr>
                    <w:rFonts w:ascii="Times New Roman" w:hAnsi="Times New Roman" w:cs="Times New Roman"/>
                    <w:i/>
                    <w:color w:val="000000" w:themeColor="text1"/>
                    <w:szCs w:val="21"/>
                  </w:rPr>
                  <m:t>3</m:t>
                </m:r>
              </m:sub>
            </m:sSub>
            <m:r>
              <m:rPr>
                <m:nor/>
              </m:rPr>
              <w:rPr>
                <w:rFonts w:ascii="Times New Roman" w:hAnsi="Times New Roman" w:cs="Times New Roman"/>
                <w:color w:val="000000" w:themeColor="text1"/>
                <w:szCs w:val="21"/>
              </w:rPr>
              <m:t>)</m:t>
            </m:r>
            <m:r>
              <w:rPr>
                <w:rFonts w:ascii="Cambria Math" w:hAnsi="Cambria Math" w:cs="Times New Roman"/>
                <w:color w:val="000000" w:themeColor="text1"/>
                <w:szCs w:val="21"/>
              </w:rPr>
              <m:t>-(</m:t>
            </m:r>
            <m:sSub>
              <m:sSubPr>
                <m:ctrlPr>
                  <w:rPr>
                    <w:rFonts w:ascii="Cambria Math" w:hAnsi="Cambria Math" w:cs="Times New Roman"/>
                    <w:i/>
                    <w:color w:val="000000" w:themeColor="text1"/>
                    <w:szCs w:val="21"/>
                  </w:rPr>
                </m:ctrlPr>
              </m:sSubPr>
              <m:e>
                <m:r>
                  <m:rPr>
                    <m:nor/>
                  </m:rPr>
                  <w:rPr>
                    <w:rFonts w:ascii="Times New Roman" w:hAnsi="Times New Roman" w:cs="Times New Roman"/>
                    <w:i/>
                    <w:color w:val="000000" w:themeColor="text1"/>
                    <w:szCs w:val="21"/>
                  </w:rPr>
                  <m:t>A</m:t>
                </m:r>
              </m:e>
              <m:sub>
                <m:r>
                  <m:rPr>
                    <m:nor/>
                  </m:rPr>
                  <w:rPr>
                    <w:rFonts w:ascii="Times New Roman" w:hAnsi="Times New Roman" w:cs="Times New Roman"/>
                    <w:i/>
                    <w:color w:val="000000" w:themeColor="text1"/>
                    <w:szCs w:val="21"/>
                  </w:rPr>
                  <m:t>Sample</m:t>
                </m:r>
              </m:sub>
            </m:sSub>
            <m:r>
              <w:rPr>
                <w:rFonts w:ascii="Cambria Math" w:hAnsi="Cambria Math" w:cs="Times New Roman"/>
                <w:color w:val="000000" w:themeColor="text1"/>
                <w:szCs w:val="21"/>
              </w:rPr>
              <m:t>-</m:t>
            </m:r>
            <m:sSub>
              <m:sSubPr>
                <m:ctrlPr>
                  <w:rPr>
                    <w:rFonts w:ascii="Cambria Math" w:hAnsi="Cambria Math" w:cs="Times New Roman"/>
                    <w:i/>
                    <w:color w:val="000000" w:themeColor="text1"/>
                    <w:szCs w:val="21"/>
                  </w:rPr>
                </m:ctrlPr>
              </m:sSubPr>
              <m:e>
                <m:r>
                  <m:rPr>
                    <m:nor/>
                  </m:rPr>
                  <w:rPr>
                    <w:rFonts w:ascii="Times New Roman" w:hAnsi="Times New Roman" w:cs="Times New Roman"/>
                    <w:i/>
                    <w:color w:val="000000" w:themeColor="text1"/>
                    <w:szCs w:val="21"/>
                  </w:rPr>
                  <m:t>A</m:t>
                </m:r>
              </m:e>
              <m:sub>
                <m:r>
                  <m:rPr>
                    <m:nor/>
                  </m:rPr>
                  <w:rPr>
                    <w:rFonts w:ascii="Times New Roman" w:hAnsi="Times New Roman" w:cs="Times New Roman"/>
                    <w:i/>
                    <w:color w:val="000000" w:themeColor="text1"/>
                    <w:szCs w:val="21"/>
                  </w:rPr>
                  <m:t>Control</m:t>
                </m:r>
                <m:r>
                  <m:rPr>
                    <m:nor/>
                  </m:rPr>
                  <w:rPr>
                    <w:rFonts w:ascii="Cambria Math" w:hAnsi="Times New Roman" w:cs="Times New Roman" w:hint="eastAsia"/>
                    <w:i/>
                    <w:color w:val="000000" w:themeColor="text1"/>
                    <w:szCs w:val="21"/>
                  </w:rPr>
                  <m:t xml:space="preserve"> </m:t>
                </m:r>
                <m:r>
                  <m:rPr>
                    <m:nor/>
                  </m:rPr>
                  <w:rPr>
                    <w:rFonts w:ascii="Times New Roman" w:hAnsi="Times New Roman" w:cs="Times New Roman"/>
                    <w:i/>
                    <w:color w:val="000000" w:themeColor="text1"/>
                    <w:szCs w:val="21"/>
                  </w:rPr>
                  <m:t>2</m:t>
                </m:r>
              </m:sub>
            </m:sSub>
            <m:r>
              <m:rPr>
                <m:nor/>
              </m:rPr>
              <w:rPr>
                <w:rFonts w:ascii="Times New Roman" w:hAnsi="Times New Roman" w:cs="Times New Roman"/>
                <w:iCs/>
                <w:color w:val="000000" w:themeColor="text1"/>
                <w:szCs w:val="21"/>
              </w:rPr>
              <m:t>)</m:t>
            </m:r>
          </m:num>
          <m:den>
            <m:r>
              <m:rPr>
                <m:nor/>
              </m:rPr>
              <w:rPr>
                <w:rFonts w:ascii="Times New Roman" w:hAnsi="Times New Roman" w:cs="Times New Roman"/>
                <w:color w:val="000000" w:themeColor="text1"/>
                <w:szCs w:val="21"/>
              </w:rPr>
              <m:t>(</m:t>
            </m:r>
            <m:sSub>
              <m:sSubPr>
                <m:ctrlPr>
                  <w:rPr>
                    <w:rFonts w:ascii="Cambria Math" w:hAnsi="Cambria Math" w:cs="Times New Roman"/>
                    <w:i/>
                    <w:color w:val="000000" w:themeColor="text1"/>
                    <w:szCs w:val="21"/>
                  </w:rPr>
                </m:ctrlPr>
              </m:sSubPr>
              <m:e>
                <m:r>
                  <m:rPr>
                    <m:nor/>
                  </m:rPr>
                  <w:rPr>
                    <w:rFonts w:ascii="Times New Roman" w:hAnsi="Times New Roman" w:cs="Times New Roman"/>
                    <w:i/>
                    <w:color w:val="000000" w:themeColor="text1"/>
                    <w:szCs w:val="21"/>
                  </w:rPr>
                  <m:t>A</m:t>
                </m:r>
              </m:e>
              <m:sub>
                <m:r>
                  <m:rPr>
                    <m:nor/>
                  </m:rPr>
                  <w:rPr>
                    <w:rFonts w:ascii="Times New Roman" w:hAnsi="Times New Roman" w:cs="Times New Roman"/>
                    <w:i/>
                    <w:color w:val="000000" w:themeColor="text1"/>
                    <w:szCs w:val="21"/>
                  </w:rPr>
                  <m:t>Control</m:t>
                </m:r>
                <m:r>
                  <m:rPr>
                    <m:nor/>
                  </m:rPr>
                  <w:rPr>
                    <w:rFonts w:ascii="Cambria Math" w:hAnsi="Times New Roman" w:cs="Times New Roman" w:hint="eastAsia"/>
                    <w:i/>
                    <w:color w:val="000000" w:themeColor="text1"/>
                    <w:szCs w:val="21"/>
                  </w:rPr>
                  <m:t xml:space="preserve"> </m:t>
                </m:r>
                <m:r>
                  <m:rPr>
                    <m:nor/>
                  </m:rPr>
                  <w:rPr>
                    <w:rFonts w:ascii="Times New Roman" w:hAnsi="Times New Roman" w:cs="Times New Roman"/>
                    <w:i/>
                    <w:color w:val="000000" w:themeColor="text1"/>
                    <w:szCs w:val="21"/>
                  </w:rPr>
                  <m:t>1</m:t>
                </m:r>
              </m:sub>
            </m:sSub>
            <m:r>
              <w:rPr>
                <w:rFonts w:ascii="Cambria Math" w:hAnsi="Cambria Math" w:cs="Times New Roman"/>
                <w:color w:val="000000" w:themeColor="text1"/>
                <w:szCs w:val="21"/>
              </w:rPr>
              <m:t>-</m:t>
            </m:r>
            <m:sSub>
              <m:sSubPr>
                <m:ctrlPr>
                  <w:rPr>
                    <w:rFonts w:ascii="Cambria Math" w:hAnsi="Cambria Math" w:cs="Times New Roman"/>
                    <w:i/>
                    <w:color w:val="000000" w:themeColor="text1"/>
                    <w:szCs w:val="21"/>
                  </w:rPr>
                </m:ctrlPr>
              </m:sSubPr>
              <m:e>
                <m:r>
                  <m:rPr>
                    <m:nor/>
                  </m:rPr>
                  <w:rPr>
                    <w:rFonts w:ascii="Times New Roman" w:hAnsi="Times New Roman" w:cs="Times New Roman"/>
                    <w:i/>
                    <w:color w:val="000000" w:themeColor="text1"/>
                    <w:szCs w:val="21"/>
                  </w:rPr>
                  <m:t>A</m:t>
                </m:r>
              </m:e>
              <m:sub>
                <m:r>
                  <m:rPr>
                    <m:nor/>
                  </m:rPr>
                  <w:rPr>
                    <w:rFonts w:ascii="Times New Roman" w:hAnsi="Times New Roman" w:cs="Times New Roman"/>
                    <w:i/>
                    <w:color w:val="000000" w:themeColor="text1"/>
                    <w:szCs w:val="21"/>
                  </w:rPr>
                  <m:t>Control</m:t>
                </m:r>
                <m:r>
                  <m:rPr>
                    <m:nor/>
                  </m:rPr>
                  <w:rPr>
                    <w:rFonts w:ascii="Cambria Math" w:hAnsi="Times New Roman" w:cs="Times New Roman" w:hint="eastAsia"/>
                    <w:i/>
                    <w:color w:val="000000" w:themeColor="text1"/>
                    <w:szCs w:val="21"/>
                  </w:rPr>
                  <m:t xml:space="preserve"> </m:t>
                </m:r>
                <m:r>
                  <m:rPr>
                    <m:nor/>
                  </m:rPr>
                  <w:rPr>
                    <w:rFonts w:ascii="Times New Roman" w:hAnsi="Times New Roman" w:cs="Times New Roman"/>
                    <w:i/>
                    <w:color w:val="000000" w:themeColor="text1"/>
                    <w:szCs w:val="21"/>
                  </w:rPr>
                  <m:t>3</m:t>
                </m:r>
              </m:sub>
            </m:sSub>
            <m:r>
              <m:rPr>
                <m:nor/>
              </m:rPr>
              <w:rPr>
                <w:rFonts w:ascii="Times New Roman" w:hAnsi="Times New Roman" w:cs="Times New Roman"/>
                <w:color w:val="000000" w:themeColor="text1"/>
                <w:szCs w:val="21"/>
              </w:rPr>
              <m:t>)</m:t>
            </m:r>
          </m:den>
        </m:f>
        <m:r>
          <m:rPr>
            <m:nor/>
          </m:rPr>
          <w:rPr>
            <w:rFonts w:ascii="Times New Roman" w:hAnsi="Times New Roman" w:cs="Times New Roman"/>
            <w:color w:val="000000" w:themeColor="text1"/>
            <w:szCs w:val="21"/>
          </w:rPr>
          <m:t>×100</m:t>
        </m:r>
      </m:oMath>
      <w:bookmarkEnd w:id="17"/>
    </w:p>
    <w:p w14:paraId="08825E28" w14:textId="77777777" w:rsidR="001727E1" w:rsidRPr="00167A4F" w:rsidRDefault="001727E1" w:rsidP="004F09D4">
      <w:pPr>
        <w:spacing w:line="360" w:lineRule="auto"/>
        <w:rPr>
          <w:rFonts w:ascii="Times New Roman" w:hAnsi="Times New Roman" w:cs="Times New Roman"/>
          <w:szCs w:val="21"/>
        </w:rPr>
      </w:pPr>
      <w:bookmarkStart w:id="18" w:name="_Hlk201045454"/>
      <w:r>
        <w:rPr>
          <w:rFonts w:ascii="Times New Roman" w:hAnsi="Times New Roman" w:cs="Times New Roman"/>
          <w:color w:val="000000" w:themeColor="text1"/>
          <w:szCs w:val="21"/>
        </w:rPr>
        <w:t xml:space="preserve">Control 1: coloring without inhibitor, </w:t>
      </w:r>
      <w:r w:rsidRPr="00167A4F">
        <w:rPr>
          <w:rFonts w:ascii="Times New Roman" w:hAnsi="Times New Roman" w:cs="Times New Roman"/>
          <w:szCs w:val="21"/>
        </w:rPr>
        <w:t>Control 2: sample blank, Control 3: reagent blank.</w:t>
      </w:r>
    </w:p>
    <w:p w14:paraId="1FAC9337" w14:textId="693E0510" w:rsidR="00322CB5" w:rsidRPr="00167A4F" w:rsidRDefault="00322CB5" w:rsidP="004F09D4">
      <w:pPr>
        <w:spacing w:line="360" w:lineRule="auto"/>
        <w:ind w:firstLineChars="200" w:firstLine="420"/>
        <w:rPr>
          <w:rFonts w:ascii="Times New Roman" w:hAnsi="Times New Roman" w:cs="Times New Roman"/>
          <w:szCs w:val="21"/>
        </w:rPr>
      </w:pPr>
      <w:r w:rsidRPr="00167A4F">
        <w:rPr>
          <w:rFonts w:ascii="Times New Roman" w:hAnsi="Times New Roman" w:cs="Times New Roman"/>
          <w:szCs w:val="21"/>
        </w:rPr>
        <w:t xml:space="preserve">According to the instruction of the commercial SOD assay kit (WST-1 method, Dojondo, No. S311), 1 Unit (U) of SOD is defined as the amount of enzyme that inhibits 50% of the reduction reaction between WST-1 and superoxide anions in 20 μL of sample solution. Thus, the specific activity </w:t>
      </w:r>
      <w:r w:rsidRPr="00167A4F">
        <w:rPr>
          <w:rFonts w:ascii="Times New Roman" w:hAnsi="Times New Roman" w:cs="Times New Roman"/>
          <w:bCs/>
          <w:iCs/>
          <w:szCs w:val="21"/>
        </w:rPr>
        <w:t>of CDs</w:t>
      </w:r>
      <w:r w:rsidRPr="00167A4F">
        <w:rPr>
          <w:rFonts w:ascii="Times New Roman" w:hAnsi="Times New Roman" w:cs="Times New Roman"/>
          <w:szCs w:val="21"/>
        </w:rPr>
        <w:t xml:space="preserve"> was calculated using the </w:t>
      </w:r>
      <w:r w:rsidRPr="00167A4F">
        <w:rPr>
          <w:rFonts w:ascii="Times New Roman" w:hAnsi="Times New Roman" w:cs="Times New Roman"/>
          <w:bCs/>
          <w:iCs/>
          <w:szCs w:val="21"/>
        </w:rPr>
        <w:t>IC</w:t>
      </w:r>
      <w:r w:rsidRPr="00167A4F">
        <w:rPr>
          <w:rFonts w:ascii="Times New Roman" w:hAnsi="Times New Roman" w:cs="Times New Roman"/>
          <w:bCs/>
          <w:iCs/>
          <w:szCs w:val="21"/>
          <w:vertAlign w:val="subscript"/>
        </w:rPr>
        <w:t>50</w:t>
      </w:r>
      <w:r w:rsidRPr="00167A4F">
        <w:rPr>
          <w:rFonts w:ascii="Times New Roman" w:hAnsi="Times New Roman" w:cs="Times New Roman"/>
          <w:bCs/>
          <w:iCs/>
          <w:szCs w:val="21"/>
        </w:rPr>
        <w:t xml:space="preserve"> (50% inhibitory concentration). To determine the IC</w:t>
      </w:r>
      <w:r w:rsidRPr="00167A4F">
        <w:rPr>
          <w:rFonts w:ascii="Times New Roman" w:hAnsi="Times New Roman" w:cs="Times New Roman"/>
          <w:bCs/>
          <w:iCs/>
          <w:szCs w:val="21"/>
          <w:vertAlign w:val="subscript"/>
        </w:rPr>
        <w:t>50</w:t>
      </w:r>
      <w:r w:rsidRPr="00167A4F">
        <w:rPr>
          <w:rFonts w:ascii="Times New Roman" w:hAnsi="Times New Roman" w:cs="Times New Roman"/>
          <w:bCs/>
          <w:iCs/>
          <w:szCs w:val="21"/>
        </w:rPr>
        <w:t xml:space="preserve">, </w:t>
      </w:r>
      <w:r w:rsidRPr="00167A4F">
        <w:rPr>
          <w:rFonts w:ascii="Times New Roman" w:hAnsi="Times New Roman" w:cs="Times New Roman"/>
          <w:szCs w:val="21"/>
        </w:rPr>
        <w:t>a curve</w:t>
      </w:r>
      <w:r w:rsidRPr="00167A4F">
        <w:rPr>
          <w:rFonts w:ascii="Times New Roman" w:hAnsi="Times New Roman" w:cs="Times New Roman" w:hint="eastAsia"/>
          <w:szCs w:val="21"/>
        </w:rPr>
        <w:t xml:space="preserve"> </w:t>
      </w:r>
      <w:r w:rsidRPr="00167A4F">
        <w:rPr>
          <w:rFonts w:ascii="Times New Roman" w:hAnsi="Times New Roman" w:cs="Times New Roman"/>
          <w:szCs w:val="21"/>
        </w:rPr>
        <w:t xml:space="preserve">of inhibition rate against the final concentration of </w:t>
      </w:r>
      <w:r w:rsidRPr="00167A4F">
        <w:rPr>
          <w:rFonts w:ascii="Times New Roman" w:hAnsi="Times New Roman" w:cs="Times New Roman"/>
          <w:bCs/>
          <w:iCs/>
          <w:szCs w:val="21"/>
        </w:rPr>
        <w:t>CDs</w:t>
      </w:r>
      <w:r w:rsidRPr="00167A4F">
        <w:rPr>
          <w:rFonts w:ascii="Times New Roman" w:hAnsi="Times New Roman" w:cs="Times New Roman"/>
          <w:szCs w:val="21"/>
        </w:rPr>
        <w:t xml:space="preserve"> was plotted</w:t>
      </w:r>
      <w:r w:rsidRPr="00167A4F">
        <w:rPr>
          <w:rFonts w:ascii="Times New Roman" w:hAnsi="Times New Roman" w:cs="Times New Roman" w:hint="eastAsia"/>
          <w:szCs w:val="21"/>
        </w:rPr>
        <w:t xml:space="preserve">. Nonlinear regression analysis was then performed </w:t>
      </w:r>
      <w:r w:rsidR="000B1A50">
        <w:rPr>
          <w:rFonts w:ascii="Times New Roman" w:hAnsi="Times New Roman" w:cs="Times New Roman" w:hint="eastAsia"/>
          <w:szCs w:val="21"/>
        </w:rPr>
        <w:t xml:space="preserve">by </w:t>
      </w:r>
      <w:r w:rsidR="000B1A50" w:rsidRPr="00167A4F">
        <w:rPr>
          <w:rFonts w:ascii="Times New Roman" w:hAnsi="Times New Roman" w:cs="Times New Roman" w:hint="eastAsia"/>
          <w:szCs w:val="21"/>
        </w:rPr>
        <w:t>select</w:t>
      </w:r>
      <w:r w:rsidR="000B1A50">
        <w:rPr>
          <w:rFonts w:ascii="Times New Roman" w:hAnsi="Times New Roman" w:cs="Times New Roman" w:hint="eastAsia"/>
          <w:szCs w:val="21"/>
        </w:rPr>
        <w:t>ing</w:t>
      </w:r>
      <w:r w:rsidR="000B1A50" w:rsidRPr="00167A4F" w:rsidDel="000B1A50">
        <w:rPr>
          <w:rFonts w:ascii="Times New Roman" w:hAnsi="Times New Roman" w:cs="Times New Roman" w:hint="eastAsia"/>
          <w:szCs w:val="21"/>
        </w:rPr>
        <w:t xml:space="preserve"> </w:t>
      </w:r>
      <w:r w:rsidRPr="00167A4F">
        <w:rPr>
          <w:rFonts w:ascii="Times New Roman" w:hAnsi="Times New Roman" w:cs="Times New Roman" w:hint="eastAsia"/>
          <w:szCs w:val="21"/>
        </w:rPr>
        <w:t>the model of [Inhibitor] vs. normalized response-Variable slope. The calculation formula of</w:t>
      </w:r>
      <w:r w:rsidR="000B1A50" w:rsidRPr="000B1A50">
        <w:rPr>
          <w:rFonts w:ascii="Cambria Math" w:hAnsi="Cambria Math" w:cs="Times New Roman"/>
          <w:szCs w:val="21"/>
        </w:rPr>
        <w:t xml:space="preserve"> </w:t>
      </w:r>
      <w:r w:rsidR="000B1A50">
        <w:rPr>
          <w:rFonts w:ascii="Times New Roman" w:hAnsi="Times New Roman" w:cs="Times New Roman" w:hint="eastAsia"/>
          <w:szCs w:val="21"/>
        </w:rPr>
        <w:t xml:space="preserve">SOD specific activity </w:t>
      </w:r>
      <w:r w:rsidRPr="00167A4F">
        <w:rPr>
          <w:rFonts w:ascii="Times New Roman" w:hAnsi="Times New Roman" w:cs="Times New Roman" w:hint="eastAsia"/>
          <w:szCs w:val="21"/>
        </w:rPr>
        <w:t>is as follows:</w:t>
      </w:r>
    </w:p>
    <w:p w14:paraId="3A98735B" w14:textId="397AB5FD" w:rsidR="00322CB5" w:rsidRPr="00167A4F" w:rsidRDefault="00322CB5" w:rsidP="00A37667">
      <w:pPr>
        <w:pStyle w:val="a9"/>
        <w:spacing w:line="360" w:lineRule="auto"/>
        <w:ind w:firstLineChars="200" w:firstLine="420"/>
        <w:rPr>
          <w:rFonts w:ascii="Times New Roman" w:hAnsi="Times New Roman" w:cs="Times New Roman"/>
          <w:szCs w:val="21"/>
        </w:rPr>
      </w:pPr>
      <m:oMathPara>
        <m:oMath>
          <m:r>
            <m:rPr>
              <m:sty m:val="p"/>
            </m:rPr>
            <w:rPr>
              <w:rFonts w:ascii="Cambria Math" w:hAnsi="Cambria Math" w:cs="Times New Roman"/>
              <w:szCs w:val="21"/>
            </w:rPr>
            <m:t>SOD specific activity=</m:t>
          </m:r>
          <m:f>
            <m:fPr>
              <m:ctrlPr>
                <w:rPr>
                  <w:rFonts w:ascii="Cambria Math" w:hAnsi="Cambria Math" w:cs="Times New Roman"/>
                  <w:szCs w:val="21"/>
                </w:rPr>
              </m:ctrlPr>
            </m:fPr>
            <m:num>
              <m:r>
                <m:rPr>
                  <m:sty m:val="p"/>
                </m:rPr>
                <w:rPr>
                  <w:rFonts w:ascii="Cambria Math" w:hAnsi="Cambria Math" w:cs="Times New Roman"/>
                  <w:szCs w:val="21"/>
                </w:rPr>
                <m:t>1000</m:t>
              </m:r>
            </m:num>
            <m:den>
              <m:sSub>
                <m:sSubPr>
                  <m:ctrlPr>
                    <w:rPr>
                      <w:rFonts w:ascii="Cambria Math" w:hAnsi="Cambria Math" w:cs="Times New Roman"/>
                      <w:szCs w:val="21"/>
                    </w:rPr>
                  </m:ctrlPr>
                </m:sSubPr>
                <m:e>
                  <m:r>
                    <m:rPr>
                      <m:sty m:val="p"/>
                    </m:rPr>
                    <w:rPr>
                      <w:rFonts w:ascii="Cambria Math" w:hAnsi="Cambria Math" w:cs="Times New Roman"/>
                      <w:szCs w:val="21"/>
                    </w:rPr>
                    <m:t>IC</m:t>
                  </m:r>
                </m:e>
                <m:sub>
                  <m:r>
                    <m:rPr>
                      <m:sty m:val="p"/>
                    </m:rPr>
                    <w:rPr>
                      <w:rFonts w:ascii="Cambria Math" w:hAnsi="Cambria Math" w:cs="Times New Roman"/>
                      <w:szCs w:val="21"/>
                    </w:rPr>
                    <m:t>50</m:t>
                  </m:r>
                </m:sub>
              </m:sSub>
              <m:r>
                <m:rPr>
                  <m:sty m:val="p"/>
                </m:rPr>
                <w:rPr>
                  <w:rFonts w:ascii="Cambria Math" w:hAnsi="Cambria Math" w:cs="Times New Roman"/>
                  <w:szCs w:val="21"/>
                </w:rPr>
                <m:t>×V</m:t>
              </m:r>
            </m:den>
          </m:f>
        </m:oMath>
      </m:oMathPara>
    </w:p>
    <w:p w14:paraId="058E43C0" w14:textId="77777777" w:rsidR="00322CB5" w:rsidRPr="00167A4F" w:rsidRDefault="00322CB5" w:rsidP="00A37667">
      <w:pPr>
        <w:pStyle w:val="a9"/>
        <w:spacing w:line="360" w:lineRule="auto"/>
        <w:ind w:left="0" w:firstLineChars="200" w:firstLine="420"/>
        <w:rPr>
          <w:rFonts w:ascii="Times New Roman" w:hAnsi="Times New Roman" w:cs="Times New Roman"/>
          <w:szCs w:val="21"/>
        </w:rPr>
      </w:pPr>
      <w:r w:rsidRPr="00167A4F">
        <w:rPr>
          <w:rFonts w:ascii="Times New Roman" w:hAnsi="Times New Roman" w:cs="Times New Roman" w:hint="eastAsia"/>
          <w:iCs/>
          <w:szCs w:val="21"/>
        </w:rPr>
        <w:t>IC</w:t>
      </w:r>
      <w:r w:rsidRPr="00167A4F">
        <w:rPr>
          <w:rFonts w:ascii="Times New Roman" w:hAnsi="Times New Roman" w:cs="Times New Roman" w:hint="eastAsia"/>
          <w:szCs w:val="21"/>
          <w:vertAlign w:val="subscript"/>
        </w:rPr>
        <w:t>50</w:t>
      </w:r>
      <w:r w:rsidRPr="00167A4F">
        <w:rPr>
          <w:rFonts w:ascii="Times New Roman" w:hAnsi="Times New Roman" w:cs="Times New Roman" w:hint="eastAsia"/>
          <w:szCs w:val="21"/>
        </w:rPr>
        <w:t xml:space="preserve">: half maximal inhibitory concentration; </w:t>
      </w:r>
      <w:r w:rsidRPr="00167A4F">
        <w:rPr>
          <w:rFonts w:ascii="Times New Roman" w:hAnsi="Times New Roman" w:cs="Times New Roman" w:hint="eastAsia"/>
          <w:iCs/>
          <w:szCs w:val="21"/>
        </w:rPr>
        <w:t>V</w:t>
      </w:r>
      <w:r w:rsidRPr="00167A4F">
        <w:rPr>
          <w:rFonts w:ascii="Times New Roman" w:hAnsi="Times New Roman" w:cs="Times New Roman" w:hint="eastAsia"/>
          <w:szCs w:val="21"/>
        </w:rPr>
        <w:t>: total volume of the reaction system.</w:t>
      </w:r>
    </w:p>
    <w:bookmarkEnd w:id="18"/>
    <w:p w14:paraId="0C62DADC" w14:textId="77777777" w:rsidR="001727E1" w:rsidRPr="00167A4F" w:rsidRDefault="001727E1">
      <w:pPr>
        <w:rPr>
          <w:rFonts w:ascii="Times New Roman" w:hAnsi="Times New Roman" w:cs="Times New Roman"/>
          <w:b/>
        </w:rPr>
      </w:pPr>
      <w:r w:rsidRPr="00167A4F">
        <w:rPr>
          <w:rFonts w:ascii="等线" w:eastAsia="等线" w:hAnsi="等线" w:cs="Cambria Math" w:hint="eastAsia"/>
          <w:b/>
        </w:rPr>
        <w:t>•</w:t>
      </w:r>
      <w:r w:rsidRPr="00167A4F">
        <w:rPr>
          <w:rFonts w:ascii="Times New Roman" w:hAnsi="Times New Roman" w:cs="Times New Roman"/>
          <w:b/>
        </w:rPr>
        <w:t>OH scavenging activity of</w:t>
      </w:r>
      <w:r w:rsidRPr="00167A4F">
        <w:rPr>
          <w:rFonts w:ascii="Times New Roman" w:hAnsi="Times New Roman" w:cs="Times New Roman" w:hint="eastAsia"/>
          <w:b/>
        </w:rPr>
        <w:t xml:space="preserve"> </w:t>
      </w:r>
      <w:r w:rsidRPr="00167A4F">
        <w:rPr>
          <w:rFonts w:ascii="Times New Roman" w:hAnsi="Times New Roman" w:cs="Times New Roman"/>
          <w:b/>
        </w:rPr>
        <w:t>MgMn@CDs</w:t>
      </w:r>
    </w:p>
    <w:p w14:paraId="4772D17C" w14:textId="619A5C41" w:rsidR="001727E1" w:rsidRDefault="001727E1">
      <w:pPr>
        <w:pStyle w:val="a9"/>
        <w:spacing w:line="360" w:lineRule="auto"/>
        <w:ind w:left="0" w:firstLineChars="200" w:firstLine="420"/>
        <w:rPr>
          <w:rFonts w:ascii="Times New Roman" w:hAnsi="Times New Roman" w:cs="Times New Roman"/>
          <w:szCs w:val="21"/>
        </w:rPr>
      </w:pPr>
      <w:bookmarkStart w:id="19" w:name="OLE_LINK9"/>
      <w:bookmarkStart w:id="20" w:name="OLE_LINK10"/>
      <w:r w:rsidRPr="00167A4F">
        <w:rPr>
          <w:rFonts w:ascii="Times New Roman" w:hAnsi="Times New Roman" w:cs="Times New Roman"/>
          <w:szCs w:val="21"/>
        </w:rPr>
        <w:t xml:space="preserve">The generation of </w:t>
      </w:r>
      <w:r w:rsidRPr="00167A4F">
        <w:rPr>
          <w:rFonts w:ascii="Cambria Math" w:hAnsi="Cambria Math" w:cs="Cambria Math"/>
          <w:szCs w:val="21"/>
        </w:rPr>
        <w:t>⋅</w:t>
      </w:r>
      <w:r w:rsidRPr="00167A4F">
        <w:rPr>
          <w:rFonts w:ascii="Times New Roman" w:hAnsi="Times New Roman" w:cs="Times New Roman"/>
          <w:szCs w:val="21"/>
        </w:rPr>
        <w:t xml:space="preserve">OH is achieved by irradiating </w:t>
      </w:r>
      <w:r w:rsidR="00473629">
        <w:rPr>
          <w:rFonts w:ascii="Times New Roman" w:hAnsi="Times New Roman" w:cs="Times New Roman"/>
          <w:szCs w:val="21"/>
        </w:rPr>
        <w:t>H</w:t>
      </w:r>
      <w:r w:rsidR="00473629" w:rsidRPr="00153990">
        <w:rPr>
          <w:rFonts w:ascii="Times New Roman" w:hAnsi="Times New Roman" w:cs="Times New Roman"/>
          <w:szCs w:val="21"/>
          <w:vertAlign w:val="subscript"/>
        </w:rPr>
        <w:t>2</w:t>
      </w:r>
      <w:r w:rsidR="00473629">
        <w:rPr>
          <w:rFonts w:ascii="Times New Roman" w:hAnsi="Times New Roman" w:cs="Times New Roman"/>
          <w:szCs w:val="21"/>
        </w:rPr>
        <w:t>O</w:t>
      </w:r>
      <w:r w:rsidR="00473629" w:rsidRPr="00153990">
        <w:rPr>
          <w:rFonts w:ascii="Times New Roman" w:hAnsi="Times New Roman" w:cs="Times New Roman"/>
          <w:szCs w:val="21"/>
          <w:vertAlign w:val="subscript"/>
        </w:rPr>
        <w:t>2</w:t>
      </w:r>
      <w:r>
        <w:rPr>
          <w:rFonts w:ascii="Times New Roman" w:hAnsi="Times New Roman" w:cs="Times New Roman"/>
          <w:szCs w:val="21"/>
        </w:rPr>
        <w:t xml:space="preserve"> under ultraviolet light.</w:t>
      </w:r>
      <w:r>
        <w:rPr>
          <w:rFonts w:ascii="Times New Roman" w:hAnsi="Times New Roman" w:cs="Times New Roman" w:hint="eastAsia"/>
          <w:szCs w:val="21"/>
        </w:rPr>
        <w:t xml:space="preserve"> </w:t>
      </w:r>
      <w:r>
        <w:rPr>
          <w:rFonts w:ascii="Times New Roman" w:hAnsi="Times New Roman" w:cs="Times New Roman"/>
          <w:szCs w:val="21"/>
        </w:rPr>
        <w:t xml:space="preserve">Terephthalic acid (TA) is used as a probe and reacts with </w:t>
      </w:r>
      <w:r>
        <w:rPr>
          <w:rFonts w:ascii="Cambria Math" w:hAnsi="Cambria Math" w:cs="Cambria Math"/>
          <w:szCs w:val="21"/>
        </w:rPr>
        <w:t>⋅</w:t>
      </w:r>
      <w:r>
        <w:rPr>
          <w:rFonts w:ascii="Times New Roman" w:hAnsi="Times New Roman" w:cs="Times New Roman"/>
          <w:szCs w:val="21"/>
        </w:rPr>
        <w:t xml:space="preserve">OH to form 2-hydroxyterephthalic acid, which exhibits a characteristic fluorescence peak at approximately 430 nm. </w:t>
      </w:r>
      <w:bookmarkEnd w:id="19"/>
      <w:bookmarkEnd w:id="20"/>
      <w:r>
        <w:rPr>
          <w:rFonts w:ascii="Times New Roman" w:hAnsi="Times New Roman" w:cs="Times New Roman"/>
          <w:szCs w:val="21"/>
        </w:rPr>
        <w:t xml:space="preserve">The </w:t>
      </w:r>
      <w:r>
        <w:rPr>
          <w:rFonts w:ascii="Cambria Math" w:hAnsi="Cambria Math" w:cs="Cambria Math"/>
          <w:szCs w:val="21"/>
        </w:rPr>
        <w:t>⋅</w:t>
      </w:r>
      <w:r>
        <w:rPr>
          <w:rFonts w:ascii="Times New Roman" w:hAnsi="Times New Roman" w:cs="Times New Roman"/>
          <w:szCs w:val="21"/>
        </w:rPr>
        <w:t>OH scavenging capacity of MgMn@CDs can be evaluated by comparing the variation in fluorescence intensity around 430 nm before and after the addition of MgMn@CDs.</w:t>
      </w:r>
      <w:r>
        <w:rPr>
          <w:rFonts w:ascii="Times New Roman" w:hAnsi="Times New Roman" w:cs="Times New Roman" w:hint="eastAsia"/>
          <w:szCs w:val="21"/>
        </w:rPr>
        <w:t xml:space="preserve"> </w:t>
      </w:r>
      <w:r>
        <w:rPr>
          <w:rFonts w:ascii="Times New Roman" w:hAnsi="Times New Roman" w:cs="Times New Roman"/>
          <w:szCs w:val="21"/>
        </w:rPr>
        <w:t>2 mM H</w:t>
      </w:r>
      <w:r w:rsidR="00DA5A45" w:rsidRPr="00153990">
        <w:rPr>
          <w:rFonts w:ascii="Times New Roman" w:hAnsi="Times New Roman" w:cs="Times New Roman"/>
          <w:szCs w:val="21"/>
          <w:vertAlign w:val="subscript"/>
        </w:rPr>
        <w:t>2</w:t>
      </w:r>
      <w:r>
        <w:rPr>
          <w:rFonts w:ascii="Times New Roman" w:hAnsi="Times New Roman" w:cs="Times New Roman"/>
          <w:szCs w:val="21"/>
        </w:rPr>
        <w:t>O</w:t>
      </w:r>
      <w:r w:rsidR="00DA5A45" w:rsidRPr="00153990">
        <w:rPr>
          <w:rFonts w:ascii="Times New Roman" w:hAnsi="Times New Roman" w:cs="Times New Roman"/>
          <w:szCs w:val="21"/>
          <w:vertAlign w:val="subscript"/>
        </w:rPr>
        <w:t>2</w:t>
      </w:r>
      <w:r w:rsidR="00DA5A45">
        <w:rPr>
          <w:rFonts w:ascii="Times New Roman" w:hAnsi="Times New Roman" w:cs="Times New Roman"/>
          <w:szCs w:val="21"/>
        </w:rPr>
        <w:t xml:space="preserve">, </w:t>
      </w:r>
      <w:r>
        <w:rPr>
          <w:rFonts w:ascii="Times New Roman" w:hAnsi="Times New Roman" w:cs="Times New Roman"/>
          <w:szCs w:val="21"/>
        </w:rPr>
        <w:t xml:space="preserve">5 mM TA, and MgMn@CDs at different concentrations (0, 10, 20, and 40 μg/mL) were mixed and irradiated under UV light for 15 min. Subsequently, the fluorescence emission spectra of </w:t>
      </w:r>
      <w:r w:rsidR="000B1A50">
        <w:rPr>
          <w:rFonts w:ascii="Times New Roman" w:hAnsi="Times New Roman" w:cs="Times New Roman" w:hint="eastAsia"/>
          <w:szCs w:val="21"/>
        </w:rPr>
        <w:t>all</w:t>
      </w:r>
      <w:r>
        <w:rPr>
          <w:rFonts w:ascii="Times New Roman" w:hAnsi="Times New Roman" w:cs="Times New Roman"/>
          <w:szCs w:val="21"/>
        </w:rPr>
        <w:t xml:space="preserve"> </w:t>
      </w:r>
      <w:r>
        <w:rPr>
          <w:rFonts w:ascii="Times New Roman" w:hAnsi="Times New Roman" w:cs="Times New Roman" w:hint="eastAsia"/>
          <w:szCs w:val="21"/>
        </w:rPr>
        <w:t xml:space="preserve">groups </w:t>
      </w:r>
      <w:r>
        <w:rPr>
          <w:rFonts w:ascii="Times New Roman" w:hAnsi="Times New Roman" w:cs="Times New Roman"/>
          <w:szCs w:val="21"/>
        </w:rPr>
        <w:t>were recorded.</w:t>
      </w:r>
    </w:p>
    <w:p w14:paraId="1ADB584B" w14:textId="77777777" w:rsidR="001727E1" w:rsidRDefault="001727E1">
      <w:pPr>
        <w:rPr>
          <w:rFonts w:ascii="Times New Roman" w:hAnsi="Times New Roman" w:cs="Times New Roman"/>
          <w:b/>
        </w:rPr>
      </w:pPr>
      <w:r>
        <w:rPr>
          <w:rFonts w:ascii="Times New Roman" w:hAnsi="Times New Roman" w:cs="Times New Roman"/>
          <w:b/>
        </w:rPr>
        <w:t>ABTS</w:t>
      </w:r>
      <w:bookmarkStart w:id="21" w:name="OLE_LINK39"/>
      <w:bookmarkStart w:id="22" w:name="OLE_LINK40"/>
      <w:r>
        <w:rPr>
          <w:rFonts w:ascii="等线" w:eastAsia="等线" w:hAnsi="等线" w:cs="Cambria Math" w:hint="eastAsia"/>
          <w:b/>
          <w:vertAlign w:val="superscript"/>
        </w:rPr>
        <w:t>•</w:t>
      </w:r>
      <w:r>
        <w:rPr>
          <w:rFonts w:ascii="Times New Roman" w:hAnsi="Times New Roman" w:cs="Times New Roman"/>
          <w:b/>
          <w:vertAlign w:val="superscript"/>
        </w:rPr>
        <w:t>+</w:t>
      </w:r>
      <w:bookmarkEnd w:id="21"/>
      <w:bookmarkEnd w:id="22"/>
      <w:r>
        <w:rPr>
          <w:rFonts w:ascii="Times New Roman" w:hAnsi="Times New Roman" w:cs="Times New Roman"/>
          <w:b/>
        </w:rPr>
        <w:t xml:space="preserve"> scavenging activity of MgMn@CDs</w:t>
      </w:r>
    </w:p>
    <w:p w14:paraId="6BD6EB58" w14:textId="77777777" w:rsidR="001727E1" w:rsidRDefault="001727E1" w:rsidP="006904FA">
      <w:pPr>
        <w:spacing w:line="360" w:lineRule="auto"/>
        <w:ind w:firstLineChars="200" w:firstLine="420"/>
      </w:pPr>
      <w:r>
        <w:rPr>
          <w:rFonts w:ascii="Times New Roman" w:hAnsi="Times New Roman" w:cs="Times New Roman"/>
          <w:szCs w:val="21"/>
        </w:rPr>
        <w:t>The ABTS</w:t>
      </w:r>
      <w:r>
        <w:rPr>
          <w:rFonts w:ascii="Times New Roman" w:hAnsi="Times New Roman" w:cs="Times New Roman" w:hint="eastAsia"/>
          <w:szCs w:val="21"/>
          <w:vertAlign w:val="superscript"/>
        </w:rPr>
        <w:t>•</w:t>
      </w:r>
      <w:r>
        <w:rPr>
          <w:rFonts w:ascii="Times New Roman" w:hAnsi="Times New Roman" w:cs="Times New Roman"/>
          <w:szCs w:val="21"/>
          <w:vertAlign w:val="superscript"/>
        </w:rPr>
        <w:t>+</w:t>
      </w:r>
      <w:r>
        <w:rPr>
          <w:rFonts w:ascii="Times New Roman" w:hAnsi="Times New Roman" w:cs="Times New Roman"/>
          <w:szCs w:val="21"/>
        </w:rPr>
        <w:t xml:space="preserve"> scavenging capacity of MgMn@CDs was determined using a commercial assay kit (BC4775, Beijing Solarbio Science &amp; Technology Co., Ltd.). ABTS is oxidized to form stable blue-green ABTS</w:t>
      </w:r>
      <w:r>
        <w:rPr>
          <w:rFonts w:ascii="等线" w:eastAsia="等线" w:hAnsi="等线" w:cs="Cambria Math" w:hint="eastAsia"/>
          <w:b/>
          <w:vertAlign w:val="superscript"/>
        </w:rPr>
        <w:t>•</w:t>
      </w:r>
      <w:r>
        <w:rPr>
          <w:rFonts w:ascii="Times New Roman" w:hAnsi="Times New Roman" w:cs="Times New Roman"/>
          <w:b/>
          <w:vertAlign w:val="superscript"/>
        </w:rPr>
        <w:t>+</w:t>
      </w:r>
      <w:r>
        <w:rPr>
          <w:rFonts w:ascii="Times New Roman" w:hAnsi="Times New Roman" w:cs="Times New Roman"/>
          <w:szCs w:val="21"/>
        </w:rPr>
        <w:t>, which exhibits a characteristic absorption at 405 nm. When antioxidant samples are added, they react with ABTS</w:t>
      </w:r>
      <w:r>
        <w:rPr>
          <w:rFonts w:ascii="等线" w:eastAsia="等线" w:hAnsi="等线" w:cs="Cambria Math" w:hint="eastAsia"/>
          <w:b/>
          <w:vertAlign w:val="superscript"/>
        </w:rPr>
        <w:t>•</w:t>
      </w:r>
      <w:r>
        <w:rPr>
          <w:rFonts w:ascii="Times New Roman" w:hAnsi="Times New Roman" w:cs="Times New Roman"/>
          <w:b/>
          <w:vertAlign w:val="superscript"/>
        </w:rPr>
        <w:t>+</w:t>
      </w:r>
      <w:r>
        <w:rPr>
          <w:rFonts w:ascii="Times New Roman" w:hAnsi="Times New Roman" w:cs="Times New Roman"/>
          <w:szCs w:val="21"/>
        </w:rPr>
        <w:t>, resulting in the discoloration of the reaction system and a decrease in absorbance. The ABTS</w:t>
      </w:r>
      <w:r>
        <w:rPr>
          <w:rFonts w:ascii="等线" w:eastAsia="等线" w:hAnsi="等线" w:cs="Cambria Math" w:hint="eastAsia"/>
          <w:b/>
          <w:vertAlign w:val="superscript"/>
        </w:rPr>
        <w:t>•</w:t>
      </w:r>
      <w:r>
        <w:rPr>
          <w:rFonts w:ascii="Times New Roman" w:hAnsi="Times New Roman" w:cs="Times New Roman"/>
          <w:b/>
          <w:vertAlign w:val="superscript"/>
        </w:rPr>
        <w:t>+</w:t>
      </w:r>
      <w:r>
        <w:rPr>
          <w:rFonts w:ascii="Times New Roman" w:hAnsi="Times New Roman" w:cs="Times New Roman"/>
          <w:szCs w:val="21"/>
        </w:rPr>
        <w:t xml:space="preserve"> scavenging capacity of MgMn@CDs can be evaluated by measuring the degree of absorbance decrease.</w:t>
      </w:r>
    </w:p>
    <w:p w14:paraId="2F0F6E5B" w14:textId="77777777" w:rsidR="001727E1" w:rsidRDefault="001727E1">
      <w:pPr>
        <w:rPr>
          <w:rFonts w:ascii="Times New Roman" w:hAnsi="Times New Roman" w:cs="Times New Roman"/>
          <w:b/>
        </w:rPr>
      </w:pPr>
      <w:bookmarkStart w:id="23" w:name="OLE_LINK133"/>
      <w:bookmarkStart w:id="24" w:name="OLE_LINK134"/>
      <w:r>
        <w:rPr>
          <w:rFonts w:ascii="Times New Roman" w:hAnsi="Times New Roman" w:cs="Times New Roman"/>
          <w:b/>
          <w:i/>
        </w:rPr>
        <w:t>In vitro</w:t>
      </w:r>
      <w:r>
        <w:rPr>
          <w:rFonts w:ascii="Times New Roman" w:hAnsi="Times New Roman" w:cs="Times New Roman"/>
          <w:b/>
        </w:rPr>
        <w:t xml:space="preserve"> cytotoxicity study</w:t>
      </w:r>
    </w:p>
    <w:p w14:paraId="7E09555F" w14:textId="05A4C122" w:rsidR="001727E1" w:rsidRDefault="001727E1">
      <w:pPr>
        <w:spacing w:line="360" w:lineRule="auto"/>
        <w:ind w:firstLineChars="200" w:firstLine="42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szCs w:val="21"/>
        </w:rPr>
        <w:t>cytotoxicity</w:t>
      </w:r>
      <w:r>
        <w:rPr>
          <w:rFonts w:ascii="Times New Roman" w:hAnsi="Times New Roman" w:cs="Times New Roman"/>
        </w:rPr>
        <w:t xml:space="preserve"> of</w:t>
      </w:r>
      <w:r>
        <w:rPr>
          <w:rFonts w:hint="eastAsia"/>
        </w:rPr>
        <w:t xml:space="preserve"> </w:t>
      </w:r>
      <w:r>
        <w:rPr>
          <w:rFonts w:ascii="Times New Roman" w:hAnsi="Times New Roman" w:cs="Times New Roman"/>
        </w:rPr>
        <w:t>MgMn@CDs was evaluated using the MTT assay.</w:t>
      </w:r>
      <w:bookmarkStart w:id="25" w:name="OLE_LINK119"/>
      <w:bookmarkStart w:id="26" w:name="OLE_LINK120"/>
      <w:r>
        <w:rPr>
          <w:rFonts w:ascii="Times New Roman" w:hAnsi="Times New Roman" w:cs="Times New Roman"/>
        </w:rPr>
        <w:t xml:space="preserve"> AML-12 cells were seeded into 96-well culture plates at a density of 1 </w:t>
      </w:r>
      <w:r>
        <w:rPr>
          <w:rFonts w:ascii="Times New Roman" w:eastAsia="等线" w:hAnsi="Times New Roman" w:cs="Times New Roman"/>
        </w:rPr>
        <w:t>×</w:t>
      </w:r>
      <w:r>
        <w:rPr>
          <w:rFonts w:ascii="Times New Roman" w:hAnsi="Times New Roman" w:cs="Times New Roman"/>
        </w:rPr>
        <w:t xml:space="preserve"> 10</w:t>
      </w:r>
      <w:r>
        <w:rPr>
          <w:rFonts w:ascii="Times New Roman" w:hAnsi="Times New Roman" w:cs="Times New Roman"/>
          <w:vertAlign w:val="superscript"/>
        </w:rPr>
        <w:t xml:space="preserve">4 </w:t>
      </w:r>
      <w:r>
        <w:rPr>
          <w:rFonts w:ascii="Times New Roman" w:hAnsi="Times New Roman" w:cs="Times New Roman"/>
        </w:rPr>
        <w:t xml:space="preserve">cells per well </w:t>
      </w:r>
      <w:bookmarkEnd w:id="25"/>
      <w:bookmarkEnd w:id="26"/>
      <w:r>
        <w:rPr>
          <w:rFonts w:ascii="Times New Roman" w:hAnsi="Times New Roman" w:cs="Times New Roman"/>
        </w:rPr>
        <w:t xml:space="preserve">and cultured at 37 </w:t>
      </w:r>
      <w:bookmarkStart w:id="27" w:name="OLE_LINK136"/>
      <w:bookmarkStart w:id="28" w:name="OLE_LINK135"/>
      <w:r>
        <w:rPr>
          <w:rFonts w:ascii="Times New Roman" w:hAnsi="Times New Roman" w:cs="Times New Roman"/>
        </w:rPr>
        <w:t>°</w:t>
      </w:r>
      <w:bookmarkEnd w:id="27"/>
      <w:bookmarkEnd w:id="28"/>
      <w:r>
        <w:rPr>
          <w:rFonts w:ascii="Times New Roman" w:hAnsi="Times New Roman" w:cs="Times New Roman"/>
        </w:rPr>
        <w:t xml:space="preserve">C for 24 h. Subsequently, cells were treated with different concentrations of MgMn@CDs for 24 h. After the cells were incubated with 5 mg/mL MTT for another 4 h, the suspension was discarded and the dark blue </w:t>
      </w:r>
      <w:r w:rsidR="00ED194E">
        <w:rPr>
          <w:rFonts w:ascii="Times New Roman" w:hAnsi="Times New Roman" w:cs="Times New Roman"/>
        </w:rPr>
        <w:t xml:space="preserve">formazan </w:t>
      </w:r>
      <w:r>
        <w:rPr>
          <w:rFonts w:ascii="Times New Roman" w:hAnsi="Times New Roman" w:cs="Times New Roman"/>
        </w:rPr>
        <w:t>crystals were dissolved in DMSO. Then, the absorbance at 490 nm was measured using a Spectramax microplate reader. In all experiments, three replicate wells were used for each drug concentration. Each assay was performed at least three times.</w:t>
      </w:r>
    </w:p>
    <w:p w14:paraId="360F6DCB" w14:textId="77777777" w:rsidR="00ED194E" w:rsidRDefault="00ED194E" w:rsidP="00665736">
      <w:pPr>
        <w:spacing w:line="360" w:lineRule="auto"/>
        <w:rPr>
          <w:rFonts w:ascii="Times New Roman" w:hAnsi="Times New Roman" w:cs="Times New Roman"/>
          <w:b/>
        </w:rPr>
      </w:pPr>
      <w:bookmarkStart w:id="29" w:name="OLE_LINK123"/>
      <w:bookmarkStart w:id="30" w:name="OLE_LINK124"/>
      <w:r w:rsidRPr="00ED194E">
        <w:rPr>
          <w:rFonts w:ascii="Times New Roman" w:hAnsi="Times New Roman" w:cs="Times New Roman"/>
          <w:b/>
        </w:rPr>
        <w:t>Intracellular ROS detection</w:t>
      </w:r>
    </w:p>
    <w:p w14:paraId="444E988A" w14:textId="734BBF8F" w:rsidR="001727E1" w:rsidRDefault="001727E1">
      <w:pPr>
        <w:spacing w:line="360" w:lineRule="auto"/>
        <w:ind w:firstLineChars="200" w:firstLine="420"/>
        <w:rPr>
          <w:rFonts w:ascii="Times New Roman" w:hAnsi="Times New Roman" w:cs="Times New Roman"/>
        </w:rPr>
      </w:pPr>
      <w:bookmarkStart w:id="31" w:name="OLE_LINK12"/>
      <w:bookmarkStart w:id="32" w:name="OLE_LINK11"/>
      <w:r>
        <w:rPr>
          <w:rFonts w:ascii="Times New Roman" w:hAnsi="Times New Roman" w:cs="Times New Roman"/>
        </w:rPr>
        <w:t xml:space="preserve">AML-12 cells were seeded into a 6-well culture plate at a density of 2 </w:t>
      </w:r>
      <w:bookmarkStart w:id="33" w:name="OLE_LINK137"/>
      <w:bookmarkStart w:id="34" w:name="OLE_LINK138"/>
      <w:r>
        <w:rPr>
          <w:rFonts w:ascii="Times New Roman" w:eastAsia="等线" w:hAnsi="Times New Roman" w:cs="Times New Roman"/>
        </w:rPr>
        <w:t>×</w:t>
      </w:r>
      <w:bookmarkEnd w:id="33"/>
      <w:bookmarkEnd w:id="34"/>
      <w:r>
        <w:rPr>
          <w:rFonts w:ascii="Times New Roman" w:hAnsi="Times New Roman" w:cs="Times New Roman"/>
        </w:rPr>
        <w:t xml:space="preserve"> 10</w:t>
      </w:r>
      <w:r>
        <w:rPr>
          <w:rFonts w:ascii="Times New Roman" w:hAnsi="Times New Roman" w:cs="Times New Roman"/>
          <w:vertAlign w:val="superscript"/>
        </w:rPr>
        <w:t xml:space="preserve">5 </w:t>
      </w:r>
      <w:r>
        <w:rPr>
          <w:rFonts w:ascii="Times New Roman" w:hAnsi="Times New Roman" w:cs="Times New Roman"/>
        </w:rPr>
        <w:t xml:space="preserve">cells per well. After treatment, </w:t>
      </w:r>
      <w:r>
        <w:rPr>
          <w:rFonts w:ascii="Times New Roman" w:hAnsi="Times New Roman" w:cs="Times New Roman"/>
          <w:szCs w:val="21"/>
        </w:rPr>
        <w:t>intracellular</w:t>
      </w:r>
      <w:r>
        <w:rPr>
          <w:rFonts w:ascii="Times New Roman" w:hAnsi="Times New Roman" w:cs="Times New Roman"/>
        </w:rPr>
        <w:t xml:space="preserve"> production of ROS was detected based on the oxidation of the cell-permeable dye 2</w:t>
      </w:r>
      <w:r>
        <w:rPr>
          <w:rFonts w:ascii="Times New Roman" w:hAnsi="Times New Roman" w:cs="Times New Roman"/>
          <w:i/>
        </w:rPr>
        <w:t>'</w:t>
      </w:r>
      <w:r>
        <w:rPr>
          <w:rFonts w:ascii="Times New Roman" w:hAnsi="Times New Roman" w:cs="Times New Roman"/>
        </w:rPr>
        <w:t>,7</w:t>
      </w:r>
      <w:r>
        <w:rPr>
          <w:rFonts w:ascii="Times New Roman" w:hAnsi="Times New Roman" w:cs="Times New Roman"/>
          <w:i/>
        </w:rPr>
        <w:t>'</w:t>
      </w:r>
      <w:r>
        <w:rPr>
          <w:rFonts w:ascii="Times New Roman" w:hAnsi="Times New Roman" w:cs="Times New Roman"/>
        </w:rPr>
        <w:t>-dichlorofluorescin diacetate (DCFH-DA).</w:t>
      </w:r>
      <w:r>
        <w:rPr>
          <w:rFonts w:hint="eastAsia"/>
        </w:rPr>
        <w:t xml:space="preserve"> </w:t>
      </w:r>
      <w:r w:rsidR="00ED194E" w:rsidRPr="00ED194E">
        <w:rPr>
          <w:rFonts w:ascii="Times New Roman" w:hAnsi="Times New Roman" w:cs="Times New Roman"/>
        </w:rPr>
        <w:t>DCFH‑DA was diluted 1:1000 in serum‑free culture medium</w:t>
      </w:r>
      <w:r>
        <w:rPr>
          <w:rFonts w:ascii="Times New Roman" w:hAnsi="Times New Roman" w:cs="Times New Roman"/>
        </w:rPr>
        <w:t>. Subsequently, the diluted DCFH-DA solution (10 μM) was added to each well and incubated at 37 °C</w:t>
      </w:r>
      <w:r w:rsidR="00ED194E" w:rsidRPr="00ED194E">
        <w:rPr>
          <w:rFonts w:ascii="Times New Roman" w:hAnsi="Times New Roman" w:cs="Times New Roman"/>
        </w:rPr>
        <w:t xml:space="preserve"> </w:t>
      </w:r>
      <w:r w:rsidR="00ED194E">
        <w:rPr>
          <w:rFonts w:ascii="Times New Roman" w:hAnsi="Times New Roman" w:cs="Times New Roman"/>
        </w:rPr>
        <w:t>for 30 min</w:t>
      </w:r>
      <w:r>
        <w:rPr>
          <w:rFonts w:ascii="Times New Roman" w:hAnsi="Times New Roman" w:cs="Times New Roman"/>
        </w:rPr>
        <w:t>. After incubation, the cells were washed three times with PBS. ROS generation was</w:t>
      </w:r>
      <w:r w:rsidR="00ED194E" w:rsidRPr="00ED194E">
        <w:rPr>
          <w:rFonts w:ascii="Times New Roman" w:hAnsi="Times New Roman" w:cs="Times New Roman"/>
        </w:rPr>
        <w:t xml:space="preserve"> observed under</w:t>
      </w:r>
      <w:bookmarkStart w:id="35" w:name="OLE_LINK125"/>
      <w:bookmarkStart w:id="36" w:name="OLE_LINK126"/>
      <w:r>
        <w:rPr>
          <w:rFonts w:ascii="Times New Roman" w:hAnsi="Times New Roman" w:cs="Times New Roman"/>
        </w:rPr>
        <w:t xml:space="preserve"> a fluorescence microscope</w:t>
      </w:r>
      <w:bookmarkEnd w:id="31"/>
      <w:bookmarkEnd w:id="32"/>
      <w:r>
        <w:rPr>
          <w:rFonts w:ascii="Times New Roman" w:hAnsi="Times New Roman" w:cs="Times New Roman"/>
        </w:rPr>
        <w:t>.</w:t>
      </w:r>
      <w:bookmarkEnd w:id="29"/>
      <w:bookmarkEnd w:id="30"/>
    </w:p>
    <w:bookmarkEnd w:id="35"/>
    <w:bookmarkEnd w:id="36"/>
    <w:p w14:paraId="163EBA35" w14:textId="77777777" w:rsidR="001727E1" w:rsidRDefault="001727E1">
      <w:pPr>
        <w:rPr>
          <w:rFonts w:ascii="Times New Roman" w:hAnsi="Times New Roman" w:cs="Times New Roman"/>
          <w:b/>
        </w:rPr>
      </w:pPr>
      <w:r>
        <w:rPr>
          <w:rFonts w:ascii="Times New Roman" w:hAnsi="Times New Roman" w:cs="Times New Roman"/>
          <w:b/>
        </w:rPr>
        <w:t>Mitochondrial membrane potential evaluation</w:t>
      </w:r>
    </w:p>
    <w:p w14:paraId="7F7A2F15" w14:textId="3C00BD39" w:rsidR="001727E1" w:rsidRDefault="001727E1">
      <w:pPr>
        <w:spacing w:line="360" w:lineRule="auto"/>
        <w:ind w:firstLineChars="200" w:firstLine="420"/>
        <w:rPr>
          <w:rFonts w:ascii="Times New Roman" w:hAnsi="Times New Roman" w:cs="Times New Roman"/>
        </w:rPr>
      </w:pPr>
      <w:r>
        <w:rPr>
          <w:rFonts w:ascii="Times New Roman" w:hAnsi="Times New Roman" w:cs="Times New Roman"/>
        </w:rPr>
        <w:t xml:space="preserve">Mitochondrial </w:t>
      </w:r>
      <w:r>
        <w:rPr>
          <w:rFonts w:ascii="Times New Roman" w:hAnsi="Times New Roman" w:cs="Times New Roman"/>
          <w:szCs w:val="21"/>
        </w:rPr>
        <w:t>transmembrane</w:t>
      </w:r>
      <w:r>
        <w:rPr>
          <w:rFonts w:ascii="Times New Roman" w:hAnsi="Times New Roman" w:cs="Times New Roman"/>
        </w:rPr>
        <w:t xml:space="preserve"> potential (∆Ψ</w:t>
      </w:r>
      <w:r w:rsidRPr="00153990">
        <w:rPr>
          <w:rFonts w:ascii="Times New Roman" w:hAnsi="Times New Roman" w:cs="Times New Roman"/>
          <w:vertAlign w:val="subscript"/>
        </w:rPr>
        <w:t>m</w:t>
      </w:r>
      <w:r>
        <w:rPr>
          <w:rFonts w:ascii="Times New Roman" w:hAnsi="Times New Roman" w:cs="Times New Roman"/>
        </w:rPr>
        <w:t>) was detected using a JC-1 mitochondrial membrane potential assay kit. After the treatment, the cells were incubated with 5 μg/mL JC-1 (5,5,6,6-tetrachloro-1,1,3,3-tetraethylbenzimidazolylcarbocyanine iodide)</w:t>
      </w:r>
      <w:r w:rsidR="00E41FC9" w:rsidRPr="00E41FC9">
        <w:rPr>
          <w:rFonts w:ascii="Times New Roman" w:hAnsi="Times New Roman" w:cs="Times New Roman"/>
        </w:rPr>
        <w:t xml:space="preserve"> </w:t>
      </w:r>
      <w:r w:rsidR="00E41FC9">
        <w:rPr>
          <w:rFonts w:ascii="Times New Roman" w:hAnsi="Times New Roman" w:cs="Times New Roman"/>
        </w:rPr>
        <w:t>at 37 °C for 20 min</w:t>
      </w:r>
      <w:r>
        <w:rPr>
          <w:rFonts w:ascii="Times New Roman" w:hAnsi="Times New Roman" w:cs="Times New Roman"/>
        </w:rPr>
        <w:t xml:space="preserve">, and then washed </w:t>
      </w:r>
      <w:bookmarkStart w:id="37" w:name="OLE_LINK130"/>
      <w:bookmarkStart w:id="38" w:name="OLE_LINK129"/>
      <w:r>
        <w:rPr>
          <w:rFonts w:ascii="Times New Roman" w:hAnsi="Times New Roman" w:cs="Times New Roman"/>
        </w:rPr>
        <w:t>three times</w:t>
      </w:r>
      <w:bookmarkEnd w:id="37"/>
      <w:bookmarkEnd w:id="38"/>
      <w:r>
        <w:rPr>
          <w:rFonts w:ascii="Times New Roman" w:hAnsi="Times New Roman" w:cs="Times New Roman"/>
        </w:rPr>
        <w:t xml:space="preserve"> with PBS and </w:t>
      </w:r>
      <w:r w:rsidR="00ED194E" w:rsidRPr="00ED194E">
        <w:rPr>
          <w:rFonts w:ascii="Times New Roman" w:hAnsi="Times New Roman" w:cs="Times New Roman"/>
        </w:rPr>
        <w:t>resuspended</w:t>
      </w:r>
      <w:r>
        <w:rPr>
          <w:rFonts w:ascii="Times New Roman" w:hAnsi="Times New Roman" w:cs="Times New Roman"/>
        </w:rPr>
        <w:t xml:space="preserve"> in fresh serum-free medium. Samples were visually assessed using a fluorescence microscope.</w:t>
      </w:r>
    </w:p>
    <w:bookmarkEnd w:id="23"/>
    <w:bookmarkEnd w:id="24"/>
    <w:p w14:paraId="2772FBEE" w14:textId="77777777" w:rsidR="00ED194E" w:rsidRDefault="00ED194E" w:rsidP="00665736">
      <w:pPr>
        <w:spacing w:line="360" w:lineRule="auto"/>
        <w:rPr>
          <w:rFonts w:ascii="Times New Roman" w:hAnsi="Times New Roman" w:cs="Times New Roman"/>
          <w:b/>
        </w:rPr>
      </w:pPr>
      <w:r w:rsidRPr="00ED194E">
        <w:rPr>
          <w:rFonts w:ascii="Times New Roman" w:hAnsi="Times New Roman" w:cs="Times New Roman"/>
          <w:b/>
        </w:rPr>
        <w:t>Apoptosis assay</w:t>
      </w:r>
    </w:p>
    <w:p w14:paraId="33A863DA" w14:textId="55DA5115" w:rsidR="001727E1" w:rsidRDefault="001727E1">
      <w:pPr>
        <w:spacing w:line="360" w:lineRule="auto"/>
        <w:ind w:firstLineChars="200" w:firstLine="420"/>
        <w:rPr>
          <w:rFonts w:ascii="Times New Roman" w:hAnsi="Times New Roman" w:cs="Times New Roman"/>
        </w:rPr>
      </w:pPr>
      <w:r>
        <w:rPr>
          <w:rFonts w:ascii="Times New Roman" w:hAnsi="Times New Roman" w:cs="Times New Roman"/>
        </w:rPr>
        <w:t xml:space="preserve">AML-12 cells in the logarithmic growth phase were seeded in a 6-well plate at a density of 2 </w:t>
      </w:r>
      <w:bookmarkStart w:id="39" w:name="OLE_LINK127"/>
      <w:bookmarkStart w:id="40" w:name="OLE_LINK128"/>
      <w:r>
        <w:rPr>
          <w:rFonts w:ascii="Times New Roman" w:eastAsia="等线" w:hAnsi="Times New Roman" w:cs="Times New Roman"/>
        </w:rPr>
        <w:t>×</w:t>
      </w:r>
      <w:bookmarkEnd w:id="39"/>
      <w:bookmarkEnd w:id="40"/>
      <w:r>
        <w:rPr>
          <w:rFonts w:ascii="Times New Roman" w:hAnsi="Times New Roman" w:cs="Times New Roman"/>
        </w:rPr>
        <w:t xml:space="preserve"> 10</w:t>
      </w:r>
      <w:r>
        <w:rPr>
          <w:rFonts w:ascii="Times New Roman" w:hAnsi="Times New Roman" w:cs="Times New Roman"/>
          <w:vertAlign w:val="superscript"/>
        </w:rPr>
        <w:t>5</w:t>
      </w:r>
      <w:r>
        <w:rPr>
          <w:rFonts w:ascii="Times New Roman" w:hAnsi="Times New Roman" w:cs="Times New Roman"/>
        </w:rPr>
        <w:t xml:space="preserve"> per well. After 24 h of treatment, the cells were trypsinized, washed three times with PBS and centrifuged at 2000 rpm for 5 min. The </w:t>
      </w:r>
      <w:r w:rsidR="00ED194E" w:rsidRPr="00ED194E">
        <w:rPr>
          <w:rFonts w:ascii="Times New Roman" w:hAnsi="Times New Roman" w:cs="Times New Roman"/>
        </w:rPr>
        <w:t>cell pellets were gently resuspended</w:t>
      </w:r>
      <w:r>
        <w:rPr>
          <w:rFonts w:ascii="Times New Roman" w:hAnsi="Times New Roman" w:cs="Times New Roman"/>
        </w:rPr>
        <w:t xml:space="preserve"> in 500 μL of staining solution (containing 5 μL AnnexinV-FITC and 5 μL PI in </w:t>
      </w:r>
      <w:r w:rsidR="00ED194E">
        <w:rPr>
          <w:rFonts w:ascii="Times New Roman" w:hAnsi="Times New Roman" w:cs="Times New Roman"/>
        </w:rPr>
        <w:t>binding buffer</w:t>
      </w:r>
      <w:r>
        <w:rPr>
          <w:rFonts w:ascii="Times New Roman" w:hAnsi="Times New Roman" w:cs="Times New Roman"/>
        </w:rPr>
        <w:t xml:space="preserve">), mixed gently and incubated for 15 min at room temperature in the dark. </w:t>
      </w:r>
      <w:r w:rsidR="00ED194E">
        <w:rPr>
          <w:rFonts w:ascii="Times New Roman" w:hAnsi="Times New Roman" w:cs="Times New Roman"/>
        </w:rPr>
        <w:t>The cells</w:t>
      </w:r>
      <w:r>
        <w:rPr>
          <w:rFonts w:ascii="Times New Roman" w:hAnsi="Times New Roman" w:cs="Times New Roman"/>
        </w:rPr>
        <w:t xml:space="preserve"> were then analyzed using a FACSCalibur flow cytometer.</w:t>
      </w:r>
    </w:p>
    <w:p w14:paraId="5E0B7092" w14:textId="54161261" w:rsidR="001727E1" w:rsidRDefault="001727E1">
      <w:pPr>
        <w:rPr>
          <w:rFonts w:ascii="Times New Roman" w:hAnsi="Times New Roman" w:cs="Times New Roman"/>
        </w:rPr>
      </w:pPr>
      <w:r>
        <w:rPr>
          <w:rFonts w:ascii="Times New Roman" w:hAnsi="Times New Roman" w:cs="Times New Roman"/>
          <w:b/>
          <w:i/>
        </w:rPr>
        <w:t xml:space="preserve">In vivo </w:t>
      </w:r>
      <w:r>
        <w:rPr>
          <w:rFonts w:ascii="Times New Roman" w:hAnsi="Times New Roman" w:cs="Times New Roman"/>
          <w:b/>
        </w:rPr>
        <w:t xml:space="preserve">biocompatibility </w:t>
      </w:r>
      <w:r w:rsidR="00DC3483" w:rsidRPr="00DC3483">
        <w:rPr>
          <w:rFonts w:ascii="Times New Roman" w:hAnsi="Times New Roman" w:cs="Times New Roman"/>
          <w:b/>
        </w:rPr>
        <w:t xml:space="preserve">and pharmacokinetic </w:t>
      </w:r>
      <w:r>
        <w:rPr>
          <w:rFonts w:ascii="Times New Roman" w:hAnsi="Times New Roman" w:cs="Times New Roman"/>
          <w:b/>
        </w:rPr>
        <w:t xml:space="preserve">evaluation </w:t>
      </w:r>
    </w:p>
    <w:p w14:paraId="77EA6ABA" w14:textId="3365868B" w:rsidR="001727E1" w:rsidRDefault="001727E1">
      <w:pPr>
        <w:spacing w:line="360" w:lineRule="auto"/>
        <w:ind w:firstLineChars="200" w:firstLine="420"/>
        <w:rPr>
          <w:rFonts w:ascii="Times New Roman" w:hAnsi="Times New Roman" w:cs="Times New Roman"/>
        </w:rPr>
      </w:pPr>
      <w:r>
        <w:rPr>
          <w:rFonts w:ascii="Times New Roman" w:hAnsi="Times New Roman" w:cs="Times New Roman"/>
        </w:rPr>
        <w:t xml:space="preserve">To assess the </w:t>
      </w:r>
      <w:r w:rsidR="00DC3483">
        <w:rPr>
          <w:rFonts w:ascii="Times New Roman" w:hAnsi="Times New Roman" w:cs="Times New Roman"/>
          <w:i/>
        </w:rPr>
        <w:t>in vivo</w:t>
      </w:r>
      <w:r w:rsidR="00DC3483">
        <w:rPr>
          <w:rFonts w:ascii="Times New Roman" w:hAnsi="Times New Roman" w:cs="Times New Roman"/>
        </w:rPr>
        <w:t xml:space="preserve"> </w:t>
      </w:r>
      <w:r>
        <w:rPr>
          <w:rFonts w:ascii="Times New Roman" w:hAnsi="Times New Roman" w:cs="Times New Roman"/>
        </w:rPr>
        <w:t>biocompatibility</w:t>
      </w:r>
      <w:r w:rsidR="00DC3483" w:rsidRPr="00DC3483">
        <w:t xml:space="preserve"> </w:t>
      </w:r>
      <w:r w:rsidR="00DC3483" w:rsidRPr="00DC3483">
        <w:rPr>
          <w:rFonts w:ascii="Times New Roman" w:hAnsi="Times New Roman" w:cs="Times New Roman"/>
        </w:rPr>
        <w:t xml:space="preserve">and pharmacokinetic </w:t>
      </w:r>
      <w:r w:rsidR="00ED194E" w:rsidRPr="00ED194E">
        <w:rPr>
          <w:rFonts w:ascii="Times New Roman" w:hAnsi="Times New Roman" w:cs="Times New Roman"/>
        </w:rPr>
        <w:t>profiles</w:t>
      </w:r>
      <w:r w:rsidR="00DC3483" w:rsidRPr="00DC3483">
        <w:rPr>
          <w:rFonts w:ascii="Times New Roman" w:hAnsi="Times New Roman" w:cs="Times New Roman"/>
        </w:rPr>
        <w:t xml:space="preserve"> </w:t>
      </w:r>
      <w:r>
        <w:rPr>
          <w:rFonts w:ascii="Times New Roman" w:hAnsi="Times New Roman" w:cs="Times New Roman"/>
        </w:rPr>
        <w:t xml:space="preserve">of </w:t>
      </w:r>
      <w:bookmarkStart w:id="41" w:name="OLE_LINK58"/>
      <w:bookmarkStart w:id="42" w:name="OLE_LINK59"/>
      <w:r>
        <w:rPr>
          <w:rFonts w:ascii="Times New Roman" w:hAnsi="Times New Roman" w:cs="Times New Roman"/>
        </w:rPr>
        <w:t>MgMn@CDs</w:t>
      </w:r>
      <w:bookmarkEnd w:id="41"/>
      <w:bookmarkEnd w:id="42"/>
      <w:r>
        <w:rPr>
          <w:rFonts w:ascii="Times New Roman" w:hAnsi="Times New Roman" w:cs="Times New Roman"/>
        </w:rPr>
        <w:t xml:space="preserve">, ICR mice aged 6-8 weeks were </w:t>
      </w:r>
      <w:bookmarkStart w:id="43" w:name="OLE_LINK2"/>
      <w:r>
        <w:rPr>
          <w:rFonts w:ascii="Times New Roman" w:hAnsi="Times New Roman" w:cs="Times New Roman"/>
        </w:rPr>
        <w:t xml:space="preserve">intraperitoneally </w:t>
      </w:r>
      <w:r w:rsidR="00E41FC9" w:rsidRPr="00E41FC9">
        <w:rPr>
          <w:rFonts w:ascii="Times New Roman" w:hAnsi="Times New Roman" w:cs="Times New Roman"/>
        </w:rPr>
        <w:t>injected</w:t>
      </w:r>
      <w:bookmarkEnd w:id="43"/>
      <w:r>
        <w:rPr>
          <w:rFonts w:ascii="Times New Roman" w:hAnsi="Times New Roman" w:cs="Times New Roman"/>
        </w:rPr>
        <w:t xml:space="preserve"> with MgMn@CDs at a single dose of 20 mg/kg (n=6). A control group received an intraperitoneal injection of saline.</w:t>
      </w:r>
      <w:r w:rsidR="00DC3483" w:rsidRPr="00DC3483">
        <w:t xml:space="preserve"> </w:t>
      </w:r>
      <w:r w:rsidR="00DC3483" w:rsidRPr="00DC3483">
        <w:rPr>
          <w:rFonts w:ascii="Times New Roman" w:hAnsi="Times New Roman" w:cs="Times New Roman"/>
        </w:rPr>
        <w:t>For pharmacokinetic analysis, blood samples were collected from the mice at 10, 15, 20, 30, 40, 50, 60, 120, 240, and 480 minutes post-injection.</w:t>
      </w:r>
      <w:r>
        <w:rPr>
          <w:rFonts w:ascii="Times New Roman" w:hAnsi="Times New Roman" w:cs="Times New Roman"/>
        </w:rPr>
        <w:t xml:space="preserve"> </w:t>
      </w:r>
      <w:r w:rsidR="00DC3483" w:rsidRPr="00DC3483">
        <w:rPr>
          <w:rFonts w:ascii="Times New Roman" w:hAnsi="Times New Roman" w:cs="Times New Roman"/>
        </w:rPr>
        <w:t>Additionally, b</w:t>
      </w:r>
      <w:r>
        <w:rPr>
          <w:rFonts w:ascii="Times New Roman" w:hAnsi="Times New Roman" w:cs="Times New Roman"/>
        </w:rPr>
        <w:t xml:space="preserve">lood samples were collected at 30 days post-injection for serum biochemistry testing, including the measurement of a panel of hepatic and renal function markers. Subsequently, the mice were sacrificed, and major organs, including the heart, liver, spleen, lung, and kidney, were harvested for H&amp;E staining. </w:t>
      </w:r>
    </w:p>
    <w:p w14:paraId="770D4BAA" w14:textId="726AE913" w:rsidR="001727E1" w:rsidRDefault="00ED194E">
      <w:pPr>
        <w:rPr>
          <w:rFonts w:ascii="Times New Roman" w:hAnsi="Times New Roman" w:cs="Times New Roman"/>
          <w:b/>
        </w:rPr>
      </w:pPr>
      <w:r w:rsidRPr="00665736">
        <w:rPr>
          <w:rFonts w:ascii="Times New Roman" w:hAnsi="Times New Roman" w:cs="Times New Roman"/>
          <w:b/>
          <w:i/>
        </w:rPr>
        <w:t>In vivo</w:t>
      </w:r>
      <w:r w:rsidRPr="00ED194E">
        <w:rPr>
          <w:rFonts w:ascii="Times New Roman" w:hAnsi="Times New Roman" w:cs="Times New Roman"/>
          <w:b/>
        </w:rPr>
        <w:t xml:space="preserve"> and </w:t>
      </w:r>
      <w:r w:rsidRPr="00665736">
        <w:rPr>
          <w:rFonts w:ascii="Times New Roman" w:hAnsi="Times New Roman" w:cs="Times New Roman"/>
          <w:b/>
          <w:i/>
        </w:rPr>
        <w:t>ex vivo</w:t>
      </w:r>
      <w:r w:rsidRPr="00ED194E">
        <w:rPr>
          <w:rFonts w:ascii="Times New Roman" w:hAnsi="Times New Roman" w:cs="Times New Roman"/>
          <w:b/>
        </w:rPr>
        <w:t xml:space="preserve"> fluorescence imaging of MgMn@CDs in mice</w:t>
      </w:r>
    </w:p>
    <w:p w14:paraId="541CC0C0" w14:textId="7F96211D" w:rsidR="001727E1" w:rsidRDefault="00ED194E">
      <w:pPr>
        <w:spacing w:line="360" w:lineRule="auto"/>
        <w:ind w:firstLineChars="200" w:firstLine="420"/>
        <w:rPr>
          <w:rFonts w:ascii="Times New Roman" w:hAnsi="Times New Roman" w:cs="Times New Roman"/>
        </w:rPr>
      </w:pPr>
      <w:bookmarkStart w:id="44" w:name="OLE_LINK23"/>
      <w:r w:rsidRPr="00ED194E">
        <w:rPr>
          <w:rFonts w:ascii="Times New Roman" w:hAnsi="Times New Roman" w:cs="Times New Roman"/>
        </w:rPr>
        <w:t>The abdominal hair of ICR mice was removed.</w:t>
      </w:r>
      <w:r w:rsidR="001727E1">
        <w:rPr>
          <w:rFonts w:ascii="Times New Roman" w:hAnsi="Times New Roman" w:cs="Times New Roman"/>
        </w:rPr>
        <w:t xml:space="preserve"> Then,</w:t>
      </w:r>
      <w:r w:rsidR="001727E1">
        <w:rPr>
          <w:rFonts w:hint="eastAsia"/>
        </w:rPr>
        <w:t xml:space="preserve"> </w:t>
      </w:r>
      <w:r w:rsidR="001727E1">
        <w:rPr>
          <w:rFonts w:ascii="Times New Roman" w:hAnsi="Times New Roman" w:cs="Times New Roman"/>
        </w:rPr>
        <w:t xml:space="preserve">MgMn@CDs (10 mg/kg) were </w:t>
      </w:r>
      <w:r w:rsidR="00131BBE" w:rsidRPr="00131BBE">
        <w:rPr>
          <w:rFonts w:ascii="Times New Roman" w:hAnsi="Times New Roman" w:cs="Times New Roman"/>
        </w:rPr>
        <w:t>administered</w:t>
      </w:r>
      <w:r w:rsidR="001727E1">
        <w:rPr>
          <w:rFonts w:ascii="Times New Roman" w:hAnsi="Times New Roman" w:cs="Times New Roman"/>
        </w:rPr>
        <w:t xml:space="preserve"> intraperitoneally into the mice. </w:t>
      </w:r>
      <w:r w:rsidR="00131BBE">
        <w:rPr>
          <w:rFonts w:ascii="Times New Roman" w:hAnsi="Times New Roman" w:cs="Times New Roman" w:hint="eastAsia"/>
        </w:rPr>
        <w:t>The</w:t>
      </w:r>
      <w:r w:rsidR="00131BBE">
        <w:rPr>
          <w:rFonts w:ascii="Times New Roman" w:hAnsi="Times New Roman" w:cs="Times New Roman"/>
        </w:rPr>
        <w:t xml:space="preserve"> c</w:t>
      </w:r>
      <w:r w:rsidR="001727E1">
        <w:rPr>
          <w:rFonts w:ascii="Times New Roman" w:hAnsi="Times New Roman" w:cs="Times New Roman"/>
        </w:rPr>
        <w:t xml:space="preserve">ontrol group received MgMn@CDs in saline, while </w:t>
      </w:r>
      <w:r w:rsidR="00690B4D">
        <w:rPr>
          <w:rFonts w:ascii="Times New Roman" w:hAnsi="Times New Roman" w:cs="Times New Roman"/>
        </w:rPr>
        <w:t>treatment</w:t>
      </w:r>
      <w:r w:rsidR="001727E1">
        <w:rPr>
          <w:rFonts w:ascii="Times New Roman" w:hAnsi="Times New Roman" w:cs="Times New Roman"/>
        </w:rPr>
        <w:t xml:space="preserve"> group received MgMn@CDs with APAP. </w:t>
      </w:r>
      <w:r w:rsidR="001727E1">
        <w:rPr>
          <w:rFonts w:ascii="Times New Roman" w:hAnsi="Times New Roman" w:cs="Times New Roman"/>
          <w:i/>
        </w:rPr>
        <w:t>In vivo</w:t>
      </w:r>
      <w:r w:rsidR="001727E1">
        <w:rPr>
          <w:rFonts w:ascii="Times New Roman" w:hAnsi="Times New Roman" w:cs="Times New Roman"/>
        </w:rPr>
        <w:t xml:space="preserve"> imaging was performed at each time point. For</w:t>
      </w:r>
      <w:r w:rsidR="001727E1">
        <w:rPr>
          <w:rFonts w:ascii="Times New Roman" w:hAnsi="Times New Roman" w:cs="Times New Roman"/>
          <w:i/>
        </w:rPr>
        <w:t xml:space="preserve"> ex vivo</w:t>
      </w:r>
      <w:r w:rsidR="001727E1">
        <w:rPr>
          <w:rFonts w:ascii="Times New Roman" w:hAnsi="Times New Roman" w:cs="Times New Roman"/>
        </w:rPr>
        <w:t xml:space="preserve"> imaging, at the </w:t>
      </w:r>
      <w:r w:rsidR="00131BBE" w:rsidRPr="00131BBE">
        <w:rPr>
          <w:rFonts w:ascii="Times New Roman" w:hAnsi="Times New Roman" w:cs="Times New Roman"/>
        </w:rPr>
        <w:t>specified</w:t>
      </w:r>
      <w:r w:rsidR="001727E1">
        <w:rPr>
          <w:rFonts w:ascii="Times New Roman" w:hAnsi="Times New Roman" w:cs="Times New Roman"/>
        </w:rPr>
        <w:t xml:space="preserve"> time point after treatment, the mice were sacrificed</w:t>
      </w:r>
      <w:r w:rsidR="00131BBE" w:rsidRPr="00131BBE">
        <w:rPr>
          <w:rFonts w:ascii="Times New Roman" w:hAnsi="Times New Roman" w:cs="Times New Roman"/>
        </w:rPr>
        <w:t xml:space="preserve"> </w:t>
      </w:r>
      <w:r w:rsidR="00131BBE">
        <w:rPr>
          <w:rFonts w:ascii="Times New Roman" w:hAnsi="Times New Roman" w:cs="Times New Roman"/>
        </w:rPr>
        <w:t>humanely</w:t>
      </w:r>
      <w:r w:rsidR="001727E1">
        <w:rPr>
          <w:rFonts w:ascii="Times New Roman" w:hAnsi="Times New Roman" w:cs="Times New Roman"/>
        </w:rPr>
        <w:t>. Subsequently, the major organs,</w:t>
      </w:r>
      <w:r w:rsidRPr="00ED194E">
        <w:t xml:space="preserve"> </w:t>
      </w:r>
      <w:r w:rsidRPr="00ED194E">
        <w:rPr>
          <w:rFonts w:ascii="Times New Roman" w:hAnsi="Times New Roman" w:cs="Times New Roman"/>
        </w:rPr>
        <w:t>including</w:t>
      </w:r>
      <w:r w:rsidR="001727E1">
        <w:rPr>
          <w:rFonts w:ascii="Times New Roman" w:hAnsi="Times New Roman" w:cs="Times New Roman"/>
        </w:rPr>
        <w:t xml:space="preserve"> the heart, liver, spleen, lung, and kidney, were carefully </w:t>
      </w:r>
      <w:r w:rsidRPr="00ED194E">
        <w:rPr>
          <w:rFonts w:ascii="Times New Roman" w:hAnsi="Times New Roman" w:cs="Times New Roman"/>
        </w:rPr>
        <w:t>dissected</w:t>
      </w:r>
      <w:r w:rsidR="001727E1">
        <w:rPr>
          <w:rFonts w:ascii="Times New Roman" w:hAnsi="Times New Roman" w:cs="Times New Roman"/>
        </w:rPr>
        <w:t xml:space="preserve"> and immediately subjected to </w:t>
      </w:r>
      <w:r w:rsidR="001727E1" w:rsidRPr="006904FA">
        <w:rPr>
          <w:rFonts w:ascii="Times New Roman" w:hAnsi="Times New Roman" w:cs="Times New Roman"/>
          <w:i/>
        </w:rPr>
        <w:t>ex vivo</w:t>
      </w:r>
      <w:r w:rsidR="001727E1">
        <w:rPr>
          <w:rFonts w:ascii="Times New Roman" w:hAnsi="Times New Roman" w:cs="Times New Roman"/>
        </w:rPr>
        <w:t xml:space="preserve"> imaging to </w:t>
      </w:r>
      <w:r w:rsidRPr="00ED194E">
        <w:rPr>
          <w:rFonts w:ascii="Times New Roman" w:hAnsi="Times New Roman" w:cs="Times New Roman"/>
        </w:rPr>
        <w:t>accuratel</w:t>
      </w:r>
      <w:r>
        <w:rPr>
          <w:rFonts w:ascii="Times New Roman" w:hAnsi="Times New Roman" w:cs="Times New Roman"/>
        </w:rPr>
        <w:t>y evaluate</w:t>
      </w:r>
      <w:r w:rsidR="001727E1">
        <w:rPr>
          <w:rFonts w:ascii="Times New Roman" w:hAnsi="Times New Roman" w:cs="Times New Roman"/>
        </w:rPr>
        <w:t xml:space="preserve"> the distribution and accumulation of MgMn@CDs.</w:t>
      </w:r>
    </w:p>
    <w:p w14:paraId="52B7D28E" w14:textId="77777777" w:rsidR="00ED194E" w:rsidRDefault="00ED194E" w:rsidP="00665736">
      <w:pPr>
        <w:spacing w:line="360" w:lineRule="auto"/>
        <w:rPr>
          <w:rFonts w:ascii="Times New Roman" w:hAnsi="Times New Roman" w:cs="Times New Roman"/>
          <w:b/>
        </w:rPr>
      </w:pPr>
      <w:bookmarkStart w:id="45" w:name="OLE_LINK4"/>
      <w:bookmarkStart w:id="46" w:name="OLE_LINK5"/>
      <w:bookmarkStart w:id="47" w:name="OLE_LINK6"/>
      <w:bookmarkStart w:id="48" w:name="OLE_LINK48"/>
      <w:bookmarkStart w:id="49" w:name="OLE_LINK49"/>
      <w:bookmarkEnd w:id="44"/>
      <w:r w:rsidRPr="00ED194E">
        <w:rPr>
          <w:rFonts w:ascii="Times New Roman" w:hAnsi="Times New Roman" w:cs="Times New Roman"/>
          <w:b/>
        </w:rPr>
        <w:t xml:space="preserve">Animal model and experimental design </w:t>
      </w:r>
    </w:p>
    <w:p w14:paraId="2F174886" w14:textId="201AFCA5" w:rsidR="001727E1" w:rsidRDefault="001727E1">
      <w:pPr>
        <w:spacing w:line="360" w:lineRule="auto"/>
        <w:ind w:firstLineChars="200" w:firstLine="420"/>
        <w:rPr>
          <w:rFonts w:ascii="Times New Roman" w:hAnsi="Times New Roman" w:cs="Times New Roman"/>
        </w:rPr>
      </w:pPr>
      <w:r>
        <w:rPr>
          <w:rFonts w:ascii="Times New Roman" w:hAnsi="Times New Roman" w:cs="Times New Roman"/>
        </w:rPr>
        <w:t xml:space="preserve">After a 7-day acclimation period, the mice were randomly divided into six groups: a normal control group, an APAP-induced acute liver injury model group, a </w:t>
      </w:r>
      <w:bookmarkStart w:id="50" w:name="OLE_LINK1"/>
      <w:r>
        <w:rPr>
          <w:rFonts w:ascii="Times New Roman" w:hAnsi="Times New Roman" w:cs="Times New Roman"/>
        </w:rPr>
        <w:t>positive control group</w:t>
      </w:r>
      <w:bookmarkEnd w:id="50"/>
      <w:r>
        <w:rPr>
          <w:rFonts w:ascii="Times New Roman" w:hAnsi="Times New Roman" w:cs="Times New Roman"/>
        </w:rPr>
        <w:t xml:space="preserve"> (NAC, 150 mg/kg), and three treatment groups that receiving MgMn@CDs at 5, 10, or 20 mg/kg. All mice were fasted overnight. Two hours prior to APAP challenge, the positive control group was administered NAC (150 mg/kg, i.p.), and the treatment groups received MgMn@CDs (5, 10, or 20 mg/kg, i.p.), while the normal control and model groups were given saline vehicle. Subsequently, mice in the model, positive control, and treatment groups received an intraperitoneal injection of APAP (3</w:t>
      </w:r>
      <w:r w:rsidR="00AE5C20">
        <w:rPr>
          <w:rFonts w:ascii="Times New Roman" w:hAnsi="Times New Roman" w:cs="Times New Roman" w:hint="eastAsia"/>
        </w:rPr>
        <w:t>00</w:t>
      </w:r>
      <w:r>
        <w:rPr>
          <w:rFonts w:ascii="Times New Roman" w:hAnsi="Times New Roman" w:cs="Times New Roman"/>
        </w:rPr>
        <w:t xml:space="preserve"> mg/kg) to induce liver injury; the normal control group received an equivalen</w:t>
      </w:r>
      <w:r w:rsidRPr="00665736">
        <w:rPr>
          <w:rFonts w:ascii="Times New Roman" w:hAnsi="Times New Roman" w:cs="Times New Roman"/>
        </w:rPr>
        <w:t>t volume of saline. Blood samples were collected from the mice 24 hours after APAP exposure for serum</w:t>
      </w:r>
      <w:r w:rsidR="00183CD1" w:rsidRPr="00665736">
        <w:rPr>
          <w:rFonts w:ascii="Times New Roman" w:hAnsi="Times New Roman" w:cs="Times New Roman"/>
        </w:rPr>
        <w:t xml:space="preserve"> </w:t>
      </w:r>
      <w:r w:rsidR="00AF5CD9" w:rsidRPr="00665736">
        <w:rPr>
          <w:rFonts w:ascii="Times New Roman" w:hAnsi="Times New Roman" w:cs="Times New Roman"/>
        </w:rPr>
        <w:t>biochemical</w:t>
      </w:r>
      <w:r w:rsidR="00AF5CD9" w:rsidRPr="00AF5CD9">
        <w:rPr>
          <w:rFonts w:ascii="Times New Roman" w:hAnsi="Times New Roman" w:cs="Times New Roman"/>
        </w:rPr>
        <w:t xml:space="preserve"> analysis</w:t>
      </w:r>
      <w:r>
        <w:rPr>
          <w:rFonts w:ascii="Times New Roman" w:hAnsi="Times New Roman" w:cs="Times New Roman"/>
        </w:rPr>
        <w:t>, including</w:t>
      </w:r>
      <w:r w:rsidR="00AF5CD9" w:rsidRPr="00AF5CD9">
        <w:t xml:space="preserve"> </w:t>
      </w:r>
      <w:r w:rsidR="00AF5CD9" w:rsidRPr="00AF5CD9">
        <w:rPr>
          <w:rFonts w:ascii="Times New Roman" w:hAnsi="Times New Roman" w:cs="Times New Roman"/>
        </w:rPr>
        <w:t>hepatic function markers</w:t>
      </w:r>
      <w:r>
        <w:rPr>
          <w:rFonts w:ascii="Times New Roman" w:hAnsi="Times New Roman" w:cs="Times New Roman"/>
        </w:rPr>
        <w:t xml:space="preserve"> (AST and ALT). Finally, the mice were euthanized</w:t>
      </w:r>
      <w:r w:rsidR="00690B4D" w:rsidRPr="00690B4D">
        <w:t xml:space="preserve"> </w:t>
      </w:r>
      <w:r w:rsidR="00690B4D" w:rsidRPr="00690B4D">
        <w:rPr>
          <w:rFonts w:ascii="Times New Roman" w:hAnsi="Times New Roman" w:cs="Times New Roman"/>
        </w:rPr>
        <w:t>humanely</w:t>
      </w:r>
      <w:r>
        <w:rPr>
          <w:rFonts w:ascii="Times New Roman" w:hAnsi="Times New Roman" w:cs="Times New Roman"/>
        </w:rPr>
        <w:t>, and liver tissues were harvested for further analysis.</w:t>
      </w:r>
      <w:bookmarkEnd w:id="45"/>
      <w:bookmarkEnd w:id="46"/>
      <w:bookmarkEnd w:id="47"/>
    </w:p>
    <w:p w14:paraId="2B460789" w14:textId="53E3ECCC" w:rsidR="001727E1" w:rsidRDefault="001727E1">
      <w:pPr>
        <w:rPr>
          <w:rFonts w:ascii="Times New Roman" w:hAnsi="Times New Roman" w:cs="Times New Roman"/>
          <w:b/>
        </w:rPr>
      </w:pPr>
      <w:bookmarkStart w:id="51" w:name="OLE_LINK3"/>
      <w:bookmarkStart w:id="52" w:name="OLE_LINK7"/>
      <w:r>
        <w:rPr>
          <w:rFonts w:ascii="Times New Roman" w:hAnsi="Times New Roman" w:cs="Times New Roman"/>
          <w:b/>
        </w:rPr>
        <w:t xml:space="preserve">Transmission electron microscopy </w:t>
      </w:r>
      <w:r w:rsidR="00AF5CD9" w:rsidRPr="00AF5CD9">
        <w:rPr>
          <w:rFonts w:ascii="Times New Roman" w:hAnsi="Times New Roman" w:cs="Times New Roman"/>
          <w:b/>
        </w:rPr>
        <w:t>analysis</w:t>
      </w:r>
    </w:p>
    <w:p w14:paraId="389BD7DB" w14:textId="397F0F5E" w:rsidR="001727E1" w:rsidRDefault="001727E1">
      <w:pPr>
        <w:spacing w:line="360" w:lineRule="auto"/>
        <w:ind w:firstLineChars="200" w:firstLine="420"/>
        <w:rPr>
          <w:rFonts w:ascii="Times New Roman" w:hAnsi="Times New Roman" w:cs="Times New Roman"/>
        </w:rPr>
      </w:pPr>
      <w:r>
        <w:rPr>
          <w:rFonts w:ascii="Times New Roman" w:hAnsi="Times New Roman" w:cs="Times New Roman"/>
        </w:rPr>
        <w:t>Liver tissues were collected from euthanized mice and cut into</w:t>
      </w:r>
      <w:r>
        <w:rPr>
          <w:rFonts w:hint="eastAsia"/>
        </w:rPr>
        <w:t xml:space="preserve"> </w:t>
      </w:r>
      <w:r>
        <w:rPr>
          <w:rFonts w:ascii="Times New Roman" w:hAnsi="Times New Roman" w:cs="Times New Roman"/>
        </w:rPr>
        <w:t xml:space="preserve">small cubes. Tissues were fixed in 2.5% glutaraldehyde in 0.1 M phosphate buffer at 4 </w:t>
      </w:r>
      <w:bookmarkStart w:id="53" w:name="OLE_LINK140"/>
      <w:bookmarkStart w:id="54" w:name="OLE_LINK139"/>
      <w:r>
        <w:rPr>
          <w:rFonts w:ascii="Times New Roman" w:hAnsi="Times New Roman" w:cs="Times New Roman"/>
        </w:rPr>
        <w:t>℃</w:t>
      </w:r>
      <w:bookmarkEnd w:id="53"/>
      <w:bookmarkEnd w:id="54"/>
      <w:r>
        <w:rPr>
          <w:rFonts w:ascii="Times New Roman" w:hAnsi="Times New Roman" w:cs="Times New Roman"/>
        </w:rPr>
        <w:t>, then post-fixed with 1% OsO</w:t>
      </w:r>
      <w:r w:rsidR="00D972AD" w:rsidRPr="00665736">
        <w:rPr>
          <w:rFonts w:ascii="Times New Roman" w:hAnsi="Times New Roman" w:cs="Times New Roman"/>
          <w:vertAlign w:val="subscript"/>
        </w:rPr>
        <w:t>4</w:t>
      </w:r>
      <w:r w:rsidR="00D972AD">
        <w:rPr>
          <w:rFonts w:ascii="Times New Roman" w:hAnsi="Times New Roman" w:cs="Times New Roman"/>
        </w:rPr>
        <w:t xml:space="preserve"> </w:t>
      </w:r>
      <w:r>
        <w:rPr>
          <w:rFonts w:ascii="Times New Roman" w:hAnsi="Times New Roman" w:cs="Times New Roman"/>
        </w:rPr>
        <w:t>for 1 h at room temperature. After dehydration with graded ethanol solutions, tissues were embedded in epoxy resin. Ultrathin sections (70 nm) were cut, stained with lead citrate and uranyl acetate, and imaged using a Hitachi H-7650 TEM</w:t>
      </w:r>
      <w:r w:rsidR="00AF5CD9">
        <w:rPr>
          <w:rFonts w:ascii="Times New Roman" w:hAnsi="Times New Roman" w:cs="Times New Roman"/>
        </w:rPr>
        <w:t xml:space="preserve"> at </w:t>
      </w:r>
      <w:r>
        <w:rPr>
          <w:rFonts w:ascii="Times New Roman" w:hAnsi="Times New Roman" w:cs="Times New Roman"/>
        </w:rPr>
        <w:t>100 kV. The experiment was repeated three times with consistent results.</w:t>
      </w:r>
      <w:bookmarkEnd w:id="48"/>
      <w:bookmarkEnd w:id="49"/>
    </w:p>
    <w:p w14:paraId="4DB4B22B" w14:textId="1D2C622E" w:rsidR="001727E1" w:rsidRDefault="001727E1">
      <w:pPr>
        <w:rPr>
          <w:rFonts w:ascii="Times New Roman" w:hAnsi="Times New Roman" w:cs="Times New Roman"/>
          <w:b/>
        </w:rPr>
      </w:pPr>
      <w:r>
        <w:rPr>
          <w:rFonts w:ascii="Times New Roman" w:hAnsi="Times New Roman" w:cs="Times New Roman"/>
          <w:b/>
        </w:rPr>
        <w:t>Western blotting</w:t>
      </w:r>
      <w:r w:rsidR="00AF5CD9" w:rsidRPr="00AF5CD9">
        <w:t xml:space="preserve"> </w:t>
      </w:r>
      <w:r w:rsidR="00AF5CD9" w:rsidRPr="00AF5CD9">
        <w:rPr>
          <w:rFonts w:ascii="Times New Roman" w:hAnsi="Times New Roman" w:cs="Times New Roman"/>
          <w:b/>
        </w:rPr>
        <w:t>analysis</w:t>
      </w:r>
    </w:p>
    <w:p w14:paraId="0513F27C" w14:textId="3BA2648E" w:rsidR="001727E1" w:rsidRDefault="001727E1" w:rsidP="00665736">
      <w:pPr>
        <w:spacing w:line="360" w:lineRule="auto"/>
        <w:ind w:firstLineChars="200" w:firstLine="420"/>
        <w:rPr>
          <w:rFonts w:ascii="Times New Roman" w:hAnsi="Times New Roman" w:cs="Times New Roman"/>
        </w:rPr>
      </w:pPr>
      <w:bookmarkStart w:id="55" w:name="OLE_LINK50"/>
      <w:bookmarkStart w:id="56" w:name="OLE_LINK51"/>
      <w:r>
        <w:rPr>
          <w:rFonts w:ascii="Times New Roman" w:hAnsi="Times New Roman" w:cs="Times New Roman"/>
        </w:rPr>
        <w:t>Cells in 6-well plates were rinsed twice with cold PBS and lysed in RIPA lysis buffer</w:t>
      </w:r>
      <w:r>
        <w:rPr>
          <w:rFonts w:ascii="Times New Roman" w:hAnsi="Times New Roman" w:cs="Times New Roman"/>
          <w:lang w:val="de-DE"/>
        </w:rPr>
        <w:t xml:space="preserve"> containing a protease inhibitor (</w:t>
      </w:r>
      <w:r>
        <w:rPr>
          <w:rFonts w:ascii="Times New Roman" w:hAnsi="Times New Roman" w:cs="Times New Roman"/>
        </w:rPr>
        <w:t>PMSF</w:t>
      </w:r>
      <w:r>
        <w:rPr>
          <w:rFonts w:ascii="Times New Roman" w:hAnsi="Times New Roman" w:cs="Times New Roman"/>
          <w:lang w:val="de-DE"/>
        </w:rPr>
        <w:t xml:space="preserve">) </w:t>
      </w:r>
      <w:r>
        <w:rPr>
          <w:rFonts w:ascii="Times New Roman" w:hAnsi="Times New Roman" w:cs="Times New Roman"/>
        </w:rPr>
        <w:t xml:space="preserve">at a 1:100 dilution on ice for 30 min. Insoluble debris was removed by centrifugation </w:t>
      </w:r>
      <w:r w:rsidR="00AF5CD9" w:rsidRPr="00AF5CD9">
        <w:rPr>
          <w:rFonts w:ascii="Times New Roman" w:hAnsi="Times New Roman" w:cs="Times New Roman"/>
        </w:rPr>
        <w:t>at 12000 × g for 10 min at 4 ℃,</w:t>
      </w:r>
      <w:r>
        <w:rPr>
          <w:rFonts w:ascii="Times New Roman" w:hAnsi="Times New Roman" w:cs="Times New Roman"/>
        </w:rPr>
        <w:t xml:space="preserve"> and protein concentrations were measured using a Pierce BCA protein assay kit. Proteins were separated by sodium dodecyl sulfate-polyacrylamide gel electrophoresis (SDS-PAGE) and transferred onto polyvinylidene difluoride (PVDF) membranes. Membranes were blocked with </w:t>
      </w:r>
      <w:r>
        <w:rPr>
          <w:rFonts w:ascii="Times New Roman" w:hAnsi="Times New Roman" w:cs="Times New Roman"/>
          <w:lang w:val="de-DE"/>
        </w:rPr>
        <w:t>5% skim milk in TBST</w:t>
      </w:r>
      <w:bookmarkEnd w:id="55"/>
      <w:bookmarkEnd w:id="56"/>
      <w:r>
        <w:rPr>
          <w:rFonts w:ascii="Times New Roman" w:hAnsi="Times New Roman" w:cs="Times New Roman"/>
          <w:lang w:val="de-DE"/>
        </w:rPr>
        <w:t>,</w:t>
      </w:r>
      <w:r>
        <w:rPr>
          <w:rFonts w:ascii="Times New Roman" w:hAnsi="Times New Roman" w:cs="Times New Roman"/>
        </w:rPr>
        <w:t xml:space="preserve"> incubated with primary antibodies overnight at 4 ℃, washed five times with TBST (5 min each), and then incubated with HRP-conjugated goat anti-rabbit IgG for 1 h at room temperature. </w:t>
      </w:r>
      <w:r w:rsidR="00AF5CD9" w:rsidRPr="00AF5CD9">
        <w:rPr>
          <w:rFonts w:ascii="Times New Roman" w:hAnsi="Times New Roman" w:cs="Times New Roman"/>
        </w:rPr>
        <w:t>Protein bands were visualized</w:t>
      </w:r>
      <w:r>
        <w:rPr>
          <w:rFonts w:ascii="Times New Roman" w:hAnsi="Times New Roman" w:cs="Times New Roman"/>
        </w:rPr>
        <w:t xml:space="preserve"> using an ECL kit and imaged </w:t>
      </w:r>
      <w:r w:rsidR="00AF5CD9">
        <w:rPr>
          <w:rFonts w:ascii="Times New Roman" w:hAnsi="Times New Roman" w:cs="Times New Roman"/>
        </w:rPr>
        <w:t xml:space="preserve">with </w:t>
      </w:r>
      <w:r>
        <w:rPr>
          <w:rFonts w:ascii="Times New Roman" w:hAnsi="Times New Roman" w:cs="Times New Roman"/>
        </w:rPr>
        <w:t>a ChemiDoc system.</w:t>
      </w:r>
      <w:bookmarkEnd w:id="51"/>
      <w:bookmarkEnd w:id="52"/>
    </w:p>
    <w:p w14:paraId="694A34D8" w14:textId="77777777" w:rsidR="001727E1" w:rsidRDefault="001727E1">
      <w:pPr>
        <w:rPr>
          <w:rFonts w:ascii="Times New Roman" w:hAnsi="Times New Roman" w:cs="Times New Roman"/>
          <w:b/>
        </w:rPr>
      </w:pPr>
      <w:r>
        <w:rPr>
          <w:rFonts w:ascii="Times New Roman" w:hAnsi="Times New Roman" w:cs="Times New Roman"/>
          <w:b/>
        </w:rPr>
        <w:t>RNA extraction and qRT-PCR analysis</w:t>
      </w:r>
    </w:p>
    <w:p w14:paraId="5EDA2C57" w14:textId="2E31421F" w:rsidR="001727E1" w:rsidRDefault="00AF5CD9">
      <w:pPr>
        <w:spacing w:line="360" w:lineRule="auto"/>
        <w:ind w:firstLineChars="200" w:firstLine="420"/>
        <w:rPr>
          <w:rFonts w:ascii="Times New Roman" w:hAnsi="Times New Roman" w:cs="Times New Roman"/>
        </w:rPr>
      </w:pPr>
      <w:r w:rsidRPr="00AF5CD9">
        <w:rPr>
          <w:rFonts w:ascii="Times New Roman" w:hAnsi="Times New Roman" w:cs="Times New Roman"/>
        </w:rPr>
        <w:t>Liver tissues or cultured cells were homogenized</w:t>
      </w:r>
      <w:r w:rsidR="001727E1">
        <w:rPr>
          <w:rFonts w:ascii="Times New Roman" w:hAnsi="Times New Roman" w:cs="Times New Roman"/>
        </w:rPr>
        <w:t xml:space="preserve"> in TRIzol (1 mL). After standing for 5 min, chloroform was added</w:t>
      </w:r>
      <w:r w:rsidRPr="00AF5CD9">
        <w:rPr>
          <w:rFonts w:ascii="Times New Roman" w:hAnsi="Times New Roman" w:cs="Times New Roman"/>
        </w:rPr>
        <w:t xml:space="preserve">, and the mixture was vigorously shaken and incubated </w:t>
      </w:r>
      <w:r w:rsidR="001727E1">
        <w:rPr>
          <w:rFonts w:ascii="Times New Roman" w:hAnsi="Times New Roman" w:cs="Times New Roman"/>
        </w:rPr>
        <w:t xml:space="preserve">for 5 min. After centrifugation at 12,000 </w:t>
      </w:r>
      <w:r w:rsidR="0036742A">
        <w:rPr>
          <w:rFonts w:ascii="Times New Roman" w:eastAsia="等线" w:hAnsi="Times New Roman" w:cs="Times New Roman"/>
        </w:rPr>
        <w:t>×</w:t>
      </w:r>
      <w:r w:rsidR="0036742A">
        <w:rPr>
          <w:rFonts w:ascii="Times New Roman" w:eastAsia="等线" w:hAnsi="Times New Roman" w:cs="Times New Roman" w:hint="eastAsia"/>
        </w:rPr>
        <w:t xml:space="preserve"> </w:t>
      </w:r>
      <w:r w:rsidR="001727E1">
        <w:rPr>
          <w:rFonts w:ascii="Times New Roman" w:hAnsi="Times New Roman" w:cs="Times New Roman"/>
        </w:rPr>
        <w:t>g at 4 °C for 15 min, the supernatant was transferred into a new tube. Then,</w:t>
      </w:r>
      <w:r w:rsidR="001727E1">
        <w:t xml:space="preserve"> </w:t>
      </w:r>
      <w:r w:rsidR="001727E1">
        <w:rPr>
          <w:rFonts w:ascii="Times New Roman" w:hAnsi="Times New Roman" w:cs="Times New Roman"/>
        </w:rPr>
        <w:t xml:space="preserve">isopropanol was added, followed by gently shaking and incubated at room temperature for 10 min. The precipitate was collected by centrifugation at 12,000 </w:t>
      </w:r>
      <w:r w:rsidR="0036742A">
        <w:rPr>
          <w:rFonts w:ascii="Times New Roman" w:eastAsia="等线" w:hAnsi="Times New Roman" w:cs="Times New Roman"/>
        </w:rPr>
        <w:t>×</w:t>
      </w:r>
      <w:r w:rsidR="0036742A">
        <w:rPr>
          <w:rFonts w:ascii="Times New Roman" w:eastAsia="等线" w:hAnsi="Times New Roman" w:cs="Times New Roman" w:hint="eastAsia"/>
        </w:rPr>
        <w:t xml:space="preserve"> </w:t>
      </w:r>
      <w:r w:rsidR="001727E1">
        <w:rPr>
          <w:rFonts w:ascii="Times New Roman" w:hAnsi="Times New Roman" w:cs="Times New Roman"/>
        </w:rPr>
        <w:t xml:space="preserve">g, 4 °C for 10 min, resuspended in pre-cooled 75% ethanol, and centrifuged again. The </w:t>
      </w:r>
      <w:r w:rsidRPr="00AF5CD9">
        <w:rPr>
          <w:rFonts w:ascii="Times New Roman" w:hAnsi="Times New Roman" w:cs="Times New Roman"/>
        </w:rPr>
        <w:t>RNA pellets</w:t>
      </w:r>
      <w:r w:rsidRPr="00AF5CD9" w:rsidDel="00AF5CD9">
        <w:rPr>
          <w:rFonts w:ascii="Times New Roman" w:hAnsi="Times New Roman" w:cs="Times New Roman"/>
        </w:rPr>
        <w:t xml:space="preserve"> </w:t>
      </w:r>
      <w:r w:rsidR="001727E1">
        <w:rPr>
          <w:rFonts w:ascii="Times New Roman" w:hAnsi="Times New Roman" w:cs="Times New Roman"/>
        </w:rPr>
        <w:t xml:space="preserve">was air-dried and dissolved in 50 μL DEPC-treated water. </w:t>
      </w:r>
      <w:r w:rsidRPr="00AF5CD9">
        <w:rPr>
          <w:rFonts w:ascii="Times New Roman" w:hAnsi="Times New Roman" w:cs="Times New Roman"/>
        </w:rPr>
        <w:t>The purity and concentration of total RNA were determined.</w:t>
      </w:r>
      <w:r w:rsidR="001727E1">
        <w:rPr>
          <w:rFonts w:ascii="Times New Roman" w:hAnsi="Times New Roman" w:cs="Times New Roman"/>
        </w:rPr>
        <w:t xml:space="preserve"> Total RNA was reverse-transcribed to cDNA. </w:t>
      </w:r>
      <w:r w:rsidRPr="00AF5CD9">
        <w:rPr>
          <w:rFonts w:ascii="Times New Roman" w:hAnsi="Times New Roman" w:cs="Times New Roman"/>
        </w:rPr>
        <w:t>Quantitative real</w:t>
      </w:r>
      <w:r w:rsidR="001727E1">
        <w:rPr>
          <w:rFonts w:ascii="Times New Roman" w:hAnsi="Times New Roman" w:cs="Times New Roman"/>
        </w:rPr>
        <w:t>-time PCR was performed in triplicate with a SYBR Green Premix qPCR kit on the CFX96 Touch. Relative mRNA expression levels were calculated using 2</w:t>
      </w:r>
      <w:r w:rsidR="001727E1">
        <w:rPr>
          <w:rFonts w:ascii="Times New Roman" w:hAnsi="Times New Roman" w:cs="Times New Roman"/>
          <w:vertAlign w:val="superscript"/>
        </w:rPr>
        <w:t>-</w:t>
      </w:r>
      <w:r w:rsidR="001727E1">
        <w:rPr>
          <w:rFonts w:ascii="Cambria Math" w:eastAsia="等线" w:hAnsi="Cambria Math" w:cs="Cambria Math" w:hint="eastAsia"/>
          <w:vertAlign w:val="superscript"/>
        </w:rPr>
        <w:t>△△</w:t>
      </w:r>
      <w:r w:rsidR="001727E1">
        <w:rPr>
          <w:rFonts w:ascii="Times New Roman" w:hAnsi="Times New Roman" w:cs="Times New Roman"/>
          <w:vertAlign w:val="superscript"/>
        </w:rPr>
        <w:t>Ct</w:t>
      </w:r>
      <w:r w:rsidR="001727E1">
        <w:rPr>
          <w:rFonts w:ascii="Times New Roman" w:hAnsi="Times New Roman" w:cs="Times New Roman"/>
        </w:rPr>
        <w:t xml:space="preserve"> method, with GAPDH as the internal reference.</w:t>
      </w:r>
    </w:p>
    <w:p w14:paraId="72E3F8B1" w14:textId="77777777" w:rsidR="001727E1" w:rsidRDefault="001727E1">
      <w:pPr>
        <w:rPr>
          <w:rFonts w:ascii="Times New Roman" w:hAnsi="Times New Roman" w:cs="Times New Roman"/>
          <w:b/>
        </w:rPr>
      </w:pPr>
      <w:r>
        <w:rPr>
          <w:rFonts w:ascii="Times New Roman" w:hAnsi="Times New Roman" w:cs="Times New Roman"/>
          <w:b/>
        </w:rPr>
        <w:t>Statistical analysis</w:t>
      </w:r>
    </w:p>
    <w:p w14:paraId="2EC89E81" w14:textId="77777777" w:rsidR="001727E1" w:rsidRDefault="001727E1">
      <w:pPr>
        <w:spacing w:line="360" w:lineRule="auto"/>
        <w:ind w:firstLineChars="200" w:firstLine="420"/>
        <w:rPr>
          <w:rFonts w:ascii="Times New Roman" w:hAnsi="Times New Roman" w:cs="Times New Roman"/>
        </w:rPr>
      </w:pPr>
      <w:r>
        <w:rPr>
          <w:rFonts w:ascii="Times New Roman" w:hAnsi="Times New Roman" w:cs="Times New Roman"/>
        </w:rPr>
        <w:t>Quantitative data are displayed as means ± SD. Statistical differences were determined using Student's t-test for two groups or one-way analysis of variance (ANOVA) for three or more groups. Statistical analyses were performed using GraphPad Prism 8.</w:t>
      </w:r>
      <w:r>
        <w:rPr>
          <w:rFonts w:hint="eastAsia"/>
        </w:rPr>
        <w:t xml:space="preserve"> </w:t>
      </w:r>
      <w:r w:rsidRPr="006904FA">
        <w:rPr>
          <w:rFonts w:ascii="Times New Roman" w:hAnsi="Times New Roman" w:cs="Times New Roman"/>
        </w:rPr>
        <w:t xml:space="preserve">Statistical </w:t>
      </w:r>
      <w:r>
        <w:rPr>
          <w:rFonts w:ascii="Times New Roman" w:hAnsi="Times New Roman" w:cs="Times New Roman"/>
        </w:rPr>
        <w:t>significance was denoted as *p &lt; 0.05, **p &lt; 0.01, ***p &lt; 0.001, ****p &lt; 0.0001.</w:t>
      </w:r>
    </w:p>
    <w:p w14:paraId="1A868603" w14:textId="77777777" w:rsidR="001727E1" w:rsidRDefault="001727E1">
      <w:pPr>
        <w:tabs>
          <w:tab w:val="left" w:pos="4714"/>
        </w:tabs>
        <w:jc w:val="left"/>
        <w:rPr>
          <w:rFonts w:ascii="Times New Roman" w:hAnsi="Times New Roman" w:cs="Times New Roman"/>
          <w:b/>
          <w:bCs/>
          <w:sz w:val="28"/>
          <w:szCs w:val="20"/>
        </w:rPr>
      </w:pPr>
      <w:bookmarkStart w:id="57" w:name="_Hlk212453238"/>
      <w:r>
        <w:rPr>
          <w:rFonts w:ascii="Times New Roman" w:hAnsi="Times New Roman" w:cs="Times New Roman"/>
          <w:b/>
          <w:bCs/>
          <w:sz w:val="28"/>
          <w:szCs w:val="20"/>
        </w:rPr>
        <w:t>Supplementary Figures</w:t>
      </w:r>
    </w:p>
    <w:bookmarkEnd w:id="57"/>
    <w:p w14:paraId="35CFED4B" w14:textId="77777777" w:rsidR="001727E1" w:rsidRDefault="001727E1">
      <w:pPr>
        <w:jc w:val="center"/>
      </w:pPr>
    </w:p>
    <w:p w14:paraId="04CF25AD" w14:textId="289D5C08" w:rsidR="001727E1" w:rsidRDefault="001727E1">
      <w:pPr>
        <w:jc w:val="center"/>
        <w:rPr>
          <w:sz w:val="24"/>
          <w:szCs w:val="24"/>
        </w:rPr>
      </w:pPr>
      <w:r>
        <w:rPr>
          <w:noProof/>
          <w:sz w:val="24"/>
          <w:szCs w:val="24"/>
        </w:rPr>
        <w:drawing>
          <wp:inline distT="0" distB="0" distL="0" distR="0" wp14:anchorId="2F575094" wp14:editId="2689302C">
            <wp:extent cx="4006850" cy="25806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7358" cy="2580894"/>
                    </a:xfrm>
                    <a:prstGeom prst="rect">
                      <a:avLst/>
                    </a:prstGeom>
                  </pic:spPr>
                </pic:pic>
              </a:graphicData>
            </a:graphic>
          </wp:inline>
        </w:drawing>
      </w:r>
    </w:p>
    <w:p w14:paraId="19E4FFA5" w14:textId="662614B9" w:rsidR="001727E1" w:rsidRPr="00B84B02" w:rsidRDefault="00AF5CD9">
      <w:pPr>
        <w:jc w:val="center"/>
        <w:rPr>
          <w:rFonts w:ascii="Times New Roman" w:hAnsi="Times New Roman" w:cs="Times New Roman"/>
          <w:sz w:val="24"/>
          <w:szCs w:val="24"/>
        </w:rPr>
      </w:pPr>
      <w:r w:rsidRPr="00B84B02">
        <w:rPr>
          <w:rFonts w:ascii="Times New Roman" w:hAnsi="Times New Roman" w:cs="Times New Roman"/>
          <w:b/>
          <w:bCs/>
          <w:sz w:val="24"/>
          <w:szCs w:val="24"/>
        </w:rPr>
        <w:t>Fig</w:t>
      </w:r>
      <w:r>
        <w:rPr>
          <w:rFonts w:ascii="Times New Roman" w:hAnsi="Times New Roman" w:cs="Times New Roman"/>
          <w:b/>
          <w:bCs/>
          <w:sz w:val="24"/>
          <w:szCs w:val="24"/>
        </w:rPr>
        <w:t>.</w:t>
      </w:r>
      <w:r w:rsidRPr="00B84B02">
        <w:rPr>
          <w:rFonts w:ascii="Times New Roman" w:hAnsi="Times New Roman" w:cs="Times New Roman"/>
          <w:b/>
          <w:bCs/>
          <w:sz w:val="24"/>
          <w:szCs w:val="24"/>
        </w:rPr>
        <w:t xml:space="preserve"> </w:t>
      </w:r>
      <w:r w:rsidR="001727E1" w:rsidRPr="00B84B02">
        <w:rPr>
          <w:rFonts w:ascii="Times New Roman" w:hAnsi="Times New Roman" w:cs="Times New Roman"/>
          <w:b/>
          <w:bCs/>
          <w:sz w:val="24"/>
          <w:szCs w:val="24"/>
        </w:rPr>
        <w:t xml:space="preserve">S1. </w:t>
      </w:r>
      <w:r w:rsidR="001727E1" w:rsidRPr="00B84B02">
        <w:rPr>
          <w:rFonts w:ascii="Times New Roman" w:hAnsi="Times New Roman" w:cs="Times New Roman"/>
          <w:sz w:val="24"/>
          <w:szCs w:val="24"/>
        </w:rPr>
        <w:t xml:space="preserve">Histogram of particle size distribution of MgMn@CDs. </w:t>
      </w:r>
    </w:p>
    <w:p w14:paraId="558AE019" w14:textId="7C14B491" w:rsidR="000854B6" w:rsidRPr="00B84B02" w:rsidRDefault="00840D40" w:rsidP="000854B6">
      <w:pPr>
        <w:spacing w:line="360" w:lineRule="auto"/>
        <w:jc w:val="center"/>
        <w:rPr>
          <w:rFonts w:ascii="Times New Roman" w:hAnsi="Times New Roman" w:cs="Times New Roman"/>
          <w:i/>
          <w:iCs/>
          <w:sz w:val="24"/>
          <w:szCs w:val="24"/>
        </w:rPr>
      </w:pPr>
      <w:r>
        <w:rPr>
          <w:rFonts w:ascii="Times New Roman" w:hAnsi="Times New Roman" w:cs="Times New Roman"/>
          <w:i/>
          <w:iCs/>
          <w:noProof/>
          <w:sz w:val="24"/>
          <w:szCs w:val="24"/>
          <w14:ligatures w14:val="none"/>
        </w:rPr>
        <w:drawing>
          <wp:inline distT="0" distB="0" distL="0" distR="0" wp14:anchorId="138E6E94" wp14:editId="4BDB45B9">
            <wp:extent cx="3286144" cy="2329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tif"/>
                    <pic:cNvPicPr/>
                  </pic:nvPicPr>
                  <pic:blipFill>
                    <a:blip r:embed="rId8">
                      <a:extLst>
                        <a:ext uri="{28A0092B-C50C-407E-A947-70E740481C1C}">
                          <a14:useLocalDpi xmlns:a14="http://schemas.microsoft.com/office/drawing/2010/main" val="0"/>
                        </a:ext>
                      </a:extLst>
                    </a:blip>
                    <a:stretch>
                      <a:fillRect/>
                    </a:stretch>
                  </pic:blipFill>
                  <pic:spPr>
                    <a:xfrm>
                      <a:off x="0" y="0"/>
                      <a:ext cx="3286144" cy="2329200"/>
                    </a:xfrm>
                    <a:prstGeom prst="rect">
                      <a:avLst/>
                    </a:prstGeom>
                  </pic:spPr>
                </pic:pic>
              </a:graphicData>
            </a:graphic>
          </wp:inline>
        </w:drawing>
      </w:r>
    </w:p>
    <w:p w14:paraId="4BC402F6" w14:textId="1C0441A6" w:rsidR="000854B6" w:rsidRPr="00B84B02" w:rsidRDefault="00AF5CD9" w:rsidP="00153990">
      <w:pPr>
        <w:rPr>
          <w:rFonts w:ascii="Times New Roman" w:hAnsi="Times New Roman" w:cs="Times New Roman"/>
          <w:bCs/>
          <w:sz w:val="24"/>
          <w:szCs w:val="24"/>
        </w:rPr>
      </w:pPr>
      <w:r w:rsidRPr="00B84B02">
        <w:rPr>
          <w:rFonts w:ascii="Times New Roman" w:hAnsi="Times New Roman" w:cs="Times New Roman"/>
          <w:b/>
          <w:sz w:val="24"/>
          <w:szCs w:val="24"/>
        </w:rPr>
        <w:t>Fig</w:t>
      </w:r>
      <w:r>
        <w:rPr>
          <w:rFonts w:ascii="Times New Roman" w:hAnsi="Times New Roman" w:cs="Times New Roman"/>
          <w:b/>
          <w:sz w:val="24"/>
          <w:szCs w:val="24"/>
        </w:rPr>
        <w:t>.</w:t>
      </w:r>
      <w:r w:rsidRPr="00B84B02">
        <w:rPr>
          <w:rFonts w:ascii="Times New Roman" w:hAnsi="Times New Roman" w:cs="Times New Roman"/>
          <w:b/>
          <w:sz w:val="24"/>
          <w:szCs w:val="24"/>
        </w:rPr>
        <w:t xml:space="preserve"> </w:t>
      </w:r>
      <w:r w:rsidR="007153A8" w:rsidRPr="00B84B02">
        <w:rPr>
          <w:rFonts w:ascii="Times New Roman" w:hAnsi="Times New Roman" w:cs="Times New Roman"/>
          <w:b/>
          <w:sz w:val="24"/>
          <w:szCs w:val="24"/>
        </w:rPr>
        <w:t>S</w:t>
      </w:r>
      <w:r w:rsidR="007153A8">
        <w:rPr>
          <w:rFonts w:ascii="Times New Roman" w:hAnsi="Times New Roman" w:cs="Times New Roman" w:hint="eastAsia"/>
          <w:b/>
          <w:sz w:val="24"/>
          <w:szCs w:val="24"/>
        </w:rPr>
        <w:t>2</w:t>
      </w:r>
      <w:r w:rsidR="000854B6" w:rsidRPr="00B84B02">
        <w:rPr>
          <w:rFonts w:ascii="Times New Roman" w:hAnsi="Times New Roman" w:cs="Times New Roman"/>
          <w:bCs/>
          <w:sz w:val="24"/>
          <w:szCs w:val="24"/>
        </w:rPr>
        <w:t>. The UV-vis absorption spectra of CDs, Mg-CDs, Mn-CDs, and MgMn@CDs.</w:t>
      </w:r>
    </w:p>
    <w:p w14:paraId="6A04DA52" w14:textId="77777777" w:rsidR="00C73EAC" w:rsidRPr="00B84B02" w:rsidRDefault="00C73EAC" w:rsidP="00C73EAC">
      <w:pPr>
        <w:jc w:val="center"/>
        <w:rPr>
          <w:rFonts w:ascii="Times New Roman" w:hAnsi="Times New Roman" w:cs="Times New Roman"/>
          <w:sz w:val="24"/>
          <w:szCs w:val="24"/>
        </w:rPr>
      </w:pPr>
      <w:r w:rsidRPr="00B84B02">
        <w:rPr>
          <w:noProof/>
        </w:rPr>
        <w:drawing>
          <wp:inline distT="0" distB="0" distL="0" distR="0" wp14:anchorId="27A9EE1E" wp14:editId="3D20C705">
            <wp:extent cx="4065270" cy="2820035"/>
            <wp:effectExtent l="0" t="0" r="0" b="0"/>
            <wp:docPr id="17190985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5270" cy="2820035"/>
                    </a:xfrm>
                    <a:prstGeom prst="rect">
                      <a:avLst/>
                    </a:prstGeom>
                    <a:noFill/>
                    <a:ln>
                      <a:noFill/>
                    </a:ln>
                  </pic:spPr>
                </pic:pic>
              </a:graphicData>
            </a:graphic>
          </wp:inline>
        </w:drawing>
      </w:r>
    </w:p>
    <w:p w14:paraId="5738588D" w14:textId="017D4EBB" w:rsidR="00C73EAC" w:rsidRPr="00B84B02" w:rsidRDefault="00AF5CD9" w:rsidP="00C73EAC">
      <w:pPr>
        <w:jc w:val="center"/>
        <w:rPr>
          <w:rFonts w:ascii="Times New Roman" w:hAnsi="Times New Roman" w:cs="Times New Roman"/>
          <w:sz w:val="24"/>
          <w:szCs w:val="24"/>
        </w:rPr>
      </w:pPr>
      <w:bookmarkStart w:id="58" w:name="OLE_LINK8"/>
      <w:r w:rsidRPr="00B84B02">
        <w:rPr>
          <w:rFonts w:ascii="Times New Roman" w:hAnsi="Times New Roman" w:cs="Times New Roman"/>
          <w:b/>
          <w:bCs/>
          <w:sz w:val="24"/>
          <w:szCs w:val="24"/>
        </w:rPr>
        <w:t>Fig</w:t>
      </w:r>
      <w:r>
        <w:rPr>
          <w:rFonts w:ascii="Times New Roman" w:hAnsi="Times New Roman" w:cs="Times New Roman"/>
          <w:b/>
          <w:bCs/>
          <w:sz w:val="24"/>
          <w:szCs w:val="24"/>
        </w:rPr>
        <w:t>.</w:t>
      </w:r>
      <w:r w:rsidRPr="00B84B02">
        <w:rPr>
          <w:rFonts w:ascii="Times New Roman" w:hAnsi="Times New Roman" w:cs="Times New Roman"/>
          <w:b/>
          <w:bCs/>
          <w:sz w:val="24"/>
          <w:szCs w:val="24"/>
        </w:rPr>
        <w:t xml:space="preserve"> </w:t>
      </w:r>
      <w:bookmarkEnd w:id="58"/>
      <w:r w:rsidR="007153A8" w:rsidRPr="00B84B02">
        <w:rPr>
          <w:rFonts w:ascii="Times New Roman" w:hAnsi="Times New Roman" w:cs="Times New Roman"/>
          <w:b/>
          <w:bCs/>
          <w:sz w:val="24"/>
          <w:szCs w:val="24"/>
        </w:rPr>
        <w:t>S</w:t>
      </w:r>
      <w:r w:rsidR="007153A8">
        <w:rPr>
          <w:rFonts w:ascii="Times New Roman" w:hAnsi="Times New Roman" w:cs="Times New Roman" w:hint="eastAsia"/>
          <w:b/>
          <w:bCs/>
          <w:sz w:val="24"/>
          <w:szCs w:val="24"/>
        </w:rPr>
        <w:t>3</w:t>
      </w:r>
      <w:r w:rsidR="00C73EAC" w:rsidRPr="00B84B02">
        <w:rPr>
          <w:rFonts w:ascii="Times New Roman" w:hAnsi="Times New Roman" w:cs="Times New Roman"/>
          <w:b/>
          <w:bCs/>
          <w:sz w:val="24"/>
          <w:szCs w:val="24"/>
        </w:rPr>
        <w:t xml:space="preserve">. </w:t>
      </w:r>
      <w:r w:rsidR="00C73EAC" w:rsidRPr="00B84B02">
        <w:rPr>
          <w:rFonts w:ascii="Times New Roman" w:hAnsi="Times New Roman" w:cs="Times New Roman"/>
          <w:sz w:val="24"/>
          <w:szCs w:val="24"/>
        </w:rPr>
        <w:t xml:space="preserve">Fluorescence decay curves of CDs and MgMn@CDs. </w:t>
      </w:r>
    </w:p>
    <w:p w14:paraId="4D1CEEE0" w14:textId="77777777" w:rsidR="00C73EAC" w:rsidRPr="00B84B02" w:rsidRDefault="00C73EAC" w:rsidP="00153990">
      <w:pPr>
        <w:rPr>
          <w:rFonts w:ascii="Times New Roman" w:hAnsi="Times New Roman" w:cs="Times New Roman"/>
          <w:bCs/>
          <w:sz w:val="24"/>
          <w:szCs w:val="24"/>
        </w:rPr>
      </w:pPr>
    </w:p>
    <w:p w14:paraId="6DE958E0" w14:textId="3F42025F" w:rsidR="001727E1" w:rsidRPr="00B84B02" w:rsidRDefault="007153A8">
      <w:pPr>
        <w:jc w:val="center"/>
        <w:rPr>
          <w:rFonts w:ascii="Times New Roman" w:hAnsi="Times New Roman" w:cs="Times New Roman"/>
          <w:sz w:val="24"/>
          <w:szCs w:val="24"/>
        </w:rPr>
      </w:pPr>
      <w:r w:rsidRPr="00B84B02">
        <w:rPr>
          <w:noProof/>
        </w:rPr>
        <w:drawing>
          <wp:inline distT="0" distB="0" distL="0" distR="0" wp14:anchorId="633FA263" wp14:editId="1B4597F8">
            <wp:extent cx="3844686" cy="2351314"/>
            <wp:effectExtent l="0" t="0" r="0" b="0"/>
            <wp:docPr id="17086884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5762" cy="2358088"/>
                    </a:xfrm>
                    <a:prstGeom prst="rect">
                      <a:avLst/>
                    </a:prstGeom>
                    <a:noFill/>
                    <a:ln>
                      <a:noFill/>
                    </a:ln>
                  </pic:spPr>
                </pic:pic>
              </a:graphicData>
            </a:graphic>
          </wp:inline>
        </w:drawing>
      </w:r>
    </w:p>
    <w:p w14:paraId="2C038130" w14:textId="6634363D" w:rsidR="001727E1" w:rsidRPr="00B84B02" w:rsidRDefault="00AF5CD9">
      <w:pPr>
        <w:jc w:val="center"/>
        <w:rPr>
          <w:rFonts w:ascii="Times New Roman" w:hAnsi="Times New Roman" w:cs="Times New Roman"/>
          <w:sz w:val="24"/>
          <w:szCs w:val="24"/>
        </w:rPr>
      </w:pPr>
      <w:r w:rsidRPr="00B84B02">
        <w:rPr>
          <w:rFonts w:ascii="Times New Roman" w:hAnsi="Times New Roman" w:cs="Times New Roman"/>
          <w:b/>
          <w:bCs/>
          <w:sz w:val="24"/>
          <w:szCs w:val="24"/>
        </w:rPr>
        <w:t>Fig</w:t>
      </w:r>
      <w:r>
        <w:rPr>
          <w:rFonts w:ascii="Times New Roman" w:hAnsi="Times New Roman" w:cs="Times New Roman"/>
          <w:b/>
          <w:bCs/>
          <w:sz w:val="24"/>
          <w:szCs w:val="24"/>
        </w:rPr>
        <w:t>.</w:t>
      </w:r>
      <w:r w:rsidRPr="00B84B02">
        <w:rPr>
          <w:rFonts w:ascii="Times New Roman" w:hAnsi="Times New Roman" w:cs="Times New Roman"/>
          <w:b/>
          <w:bCs/>
          <w:sz w:val="24"/>
          <w:szCs w:val="24"/>
        </w:rPr>
        <w:t xml:space="preserve"> </w:t>
      </w:r>
      <w:r w:rsidR="000854B6" w:rsidRPr="00B84B02">
        <w:rPr>
          <w:rFonts w:ascii="Times New Roman" w:hAnsi="Times New Roman" w:cs="Times New Roman"/>
          <w:b/>
          <w:bCs/>
          <w:sz w:val="24"/>
          <w:szCs w:val="24"/>
        </w:rPr>
        <w:t>S</w:t>
      </w:r>
      <w:r w:rsidR="000854B6" w:rsidRPr="00B84B02">
        <w:rPr>
          <w:rFonts w:ascii="Times New Roman" w:hAnsi="Times New Roman" w:cs="Times New Roman" w:hint="eastAsia"/>
          <w:b/>
          <w:bCs/>
          <w:sz w:val="24"/>
          <w:szCs w:val="24"/>
        </w:rPr>
        <w:t>4</w:t>
      </w:r>
      <w:r w:rsidR="001727E1" w:rsidRPr="00B84B02">
        <w:rPr>
          <w:rFonts w:ascii="Times New Roman" w:hAnsi="Times New Roman" w:cs="Times New Roman"/>
          <w:b/>
          <w:bCs/>
          <w:sz w:val="24"/>
          <w:szCs w:val="24"/>
        </w:rPr>
        <w:t xml:space="preserve">. </w:t>
      </w:r>
      <w:r w:rsidR="001727E1" w:rsidRPr="00B84B02">
        <w:rPr>
          <w:rFonts w:ascii="Times New Roman" w:hAnsi="Times New Roman" w:cs="Times New Roman"/>
          <w:bCs/>
          <w:sz w:val="24"/>
          <w:szCs w:val="24"/>
        </w:rPr>
        <w:t>The FT-IR spectra of CDs, Mg-CDs, Mn-CDs, and MgMn@CDs.</w:t>
      </w:r>
    </w:p>
    <w:p w14:paraId="4799DEAC" w14:textId="77777777" w:rsidR="001727E1" w:rsidRPr="00B84B02" w:rsidRDefault="001727E1">
      <w:pPr>
        <w:jc w:val="center"/>
        <w:rPr>
          <w:rFonts w:ascii="Times New Roman" w:hAnsi="Times New Roman" w:cs="Times New Roman"/>
          <w:sz w:val="24"/>
          <w:szCs w:val="24"/>
        </w:rPr>
      </w:pPr>
      <w:r w:rsidRPr="00B84B02">
        <w:rPr>
          <w:noProof/>
          <w:sz w:val="24"/>
          <w:szCs w:val="24"/>
        </w:rPr>
        <w:drawing>
          <wp:inline distT="0" distB="0" distL="0" distR="0" wp14:anchorId="4565D171" wp14:editId="0E138E60">
            <wp:extent cx="2076450" cy="4460240"/>
            <wp:effectExtent l="0" t="0" r="0" b="0"/>
            <wp:docPr id="8826208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20857"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081332" cy="4471097"/>
                    </a:xfrm>
                    <a:prstGeom prst="rect">
                      <a:avLst/>
                    </a:prstGeom>
                    <a:noFill/>
                    <a:ln>
                      <a:noFill/>
                    </a:ln>
                  </pic:spPr>
                </pic:pic>
              </a:graphicData>
            </a:graphic>
          </wp:inline>
        </w:drawing>
      </w:r>
    </w:p>
    <w:p w14:paraId="75004366" w14:textId="4B807353" w:rsidR="001727E1" w:rsidRPr="00B84B02" w:rsidRDefault="00AF5CD9" w:rsidP="008D5CE9">
      <w:pPr>
        <w:ind w:firstLineChars="350" w:firstLine="840"/>
        <w:jc w:val="center"/>
        <w:rPr>
          <w:rFonts w:ascii="Times New Roman" w:hAnsi="Times New Roman" w:cs="Times New Roman"/>
          <w:sz w:val="24"/>
          <w:szCs w:val="24"/>
        </w:rPr>
      </w:pPr>
      <w:r w:rsidRPr="00B84B02">
        <w:rPr>
          <w:rFonts w:ascii="Times New Roman" w:hAnsi="Times New Roman" w:cs="Times New Roman"/>
          <w:b/>
          <w:bCs/>
          <w:sz w:val="24"/>
          <w:szCs w:val="24"/>
        </w:rPr>
        <w:t>Fig</w:t>
      </w:r>
      <w:r>
        <w:rPr>
          <w:rFonts w:ascii="Times New Roman" w:hAnsi="Times New Roman" w:cs="Times New Roman"/>
          <w:b/>
          <w:bCs/>
          <w:sz w:val="24"/>
          <w:szCs w:val="24"/>
        </w:rPr>
        <w:t>.</w:t>
      </w:r>
      <w:r w:rsidRPr="00B84B02">
        <w:rPr>
          <w:rFonts w:ascii="Times New Roman" w:hAnsi="Times New Roman" w:cs="Times New Roman"/>
          <w:b/>
          <w:bCs/>
          <w:sz w:val="24"/>
          <w:szCs w:val="24"/>
        </w:rPr>
        <w:t xml:space="preserve"> </w:t>
      </w:r>
      <w:r w:rsidR="000854B6" w:rsidRPr="00B84B02">
        <w:rPr>
          <w:rFonts w:ascii="Times New Roman" w:hAnsi="Times New Roman" w:cs="Times New Roman"/>
          <w:b/>
          <w:bCs/>
          <w:sz w:val="24"/>
          <w:szCs w:val="24"/>
        </w:rPr>
        <w:t>S</w:t>
      </w:r>
      <w:r w:rsidR="000854B6" w:rsidRPr="00B84B02">
        <w:rPr>
          <w:rFonts w:ascii="Times New Roman" w:hAnsi="Times New Roman" w:cs="Times New Roman" w:hint="eastAsia"/>
          <w:b/>
          <w:bCs/>
          <w:sz w:val="24"/>
          <w:szCs w:val="24"/>
        </w:rPr>
        <w:t>5</w:t>
      </w:r>
      <w:r w:rsidR="001727E1" w:rsidRPr="00B84B02">
        <w:rPr>
          <w:rFonts w:ascii="Times New Roman" w:hAnsi="Times New Roman" w:cs="Times New Roman"/>
          <w:b/>
          <w:bCs/>
          <w:sz w:val="24"/>
          <w:szCs w:val="24"/>
        </w:rPr>
        <w:t>.</w:t>
      </w:r>
      <w:r w:rsidR="001727E1" w:rsidRPr="00B84B02">
        <w:rPr>
          <w:rFonts w:ascii="Times New Roman" w:hAnsi="Times New Roman" w:cs="Times New Roman" w:hint="eastAsia"/>
          <w:sz w:val="24"/>
          <w:szCs w:val="24"/>
        </w:rPr>
        <w:t xml:space="preserve"> XPS survey spectra of CDs, Mg-CDs, Mn-CDs and MgMn</w:t>
      </w:r>
      <w:r w:rsidR="00CA18BD" w:rsidRPr="00B84B02">
        <w:rPr>
          <w:rFonts w:ascii="Times New Roman" w:hAnsi="Times New Roman" w:cs="Times New Roman" w:hint="eastAsia"/>
          <w:sz w:val="24"/>
          <w:szCs w:val="24"/>
        </w:rPr>
        <w:t>@</w:t>
      </w:r>
      <w:r w:rsidR="001727E1" w:rsidRPr="00B84B02">
        <w:rPr>
          <w:rFonts w:ascii="Times New Roman" w:hAnsi="Times New Roman" w:cs="Times New Roman" w:hint="eastAsia"/>
          <w:sz w:val="24"/>
          <w:szCs w:val="24"/>
        </w:rPr>
        <w:t>CDs.</w:t>
      </w:r>
    </w:p>
    <w:p w14:paraId="262694DF" w14:textId="77777777" w:rsidR="001727E1" w:rsidRPr="00B84B02" w:rsidRDefault="001727E1">
      <w:pPr>
        <w:jc w:val="center"/>
        <w:rPr>
          <w:rFonts w:ascii="Times New Roman" w:hAnsi="Times New Roman" w:cs="Times New Roman"/>
          <w:sz w:val="24"/>
          <w:szCs w:val="24"/>
        </w:rPr>
      </w:pPr>
      <w:r w:rsidRPr="00B84B02">
        <w:rPr>
          <w:noProof/>
          <w:sz w:val="24"/>
          <w:szCs w:val="24"/>
        </w:rPr>
        <w:drawing>
          <wp:inline distT="0" distB="0" distL="0" distR="0" wp14:anchorId="75E0B52A" wp14:editId="0A7A3A19">
            <wp:extent cx="5274310" cy="2453640"/>
            <wp:effectExtent l="0" t="0" r="0" b="0"/>
            <wp:docPr id="2720136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13630" name="图片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2453640"/>
                    </a:xfrm>
                    <a:prstGeom prst="rect">
                      <a:avLst/>
                    </a:prstGeom>
                    <a:noFill/>
                    <a:ln>
                      <a:noFill/>
                    </a:ln>
                  </pic:spPr>
                </pic:pic>
              </a:graphicData>
            </a:graphic>
          </wp:inline>
        </w:drawing>
      </w:r>
      <w:bookmarkStart w:id="59" w:name="_GoBack"/>
      <w:bookmarkEnd w:id="59"/>
    </w:p>
    <w:p w14:paraId="3129E962" w14:textId="20441791" w:rsidR="001727E1" w:rsidRDefault="00AF5CD9" w:rsidP="008D5CE9">
      <w:pPr>
        <w:jc w:val="center"/>
        <w:rPr>
          <w:rFonts w:ascii="Times New Roman" w:eastAsia="宋体" w:hAnsi="Times New Roman" w:cs="Times New Roman"/>
          <w:bCs/>
          <w:kern w:val="0"/>
          <w:sz w:val="24"/>
          <w:szCs w:val="24"/>
        </w:rPr>
      </w:pPr>
      <w:r w:rsidRPr="00B84B02">
        <w:rPr>
          <w:rFonts w:ascii="Times New Roman" w:hAnsi="Times New Roman" w:cs="Times New Roman"/>
          <w:b/>
          <w:bCs/>
          <w:sz w:val="24"/>
          <w:szCs w:val="24"/>
        </w:rPr>
        <w:t>Fig</w:t>
      </w:r>
      <w:r>
        <w:rPr>
          <w:rFonts w:ascii="Times New Roman" w:hAnsi="Times New Roman" w:cs="Times New Roman"/>
          <w:b/>
          <w:bCs/>
          <w:sz w:val="24"/>
          <w:szCs w:val="24"/>
        </w:rPr>
        <w:t>.</w:t>
      </w:r>
      <w:r w:rsidRPr="00B84B02">
        <w:rPr>
          <w:rFonts w:ascii="Times New Roman" w:hAnsi="Times New Roman" w:cs="Times New Roman"/>
          <w:b/>
          <w:bCs/>
          <w:sz w:val="24"/>
          <w:szCs w:val="24"/>
        </w:rPr>
        <w:t xml:space="preserve"> </w:t>
      </w:r>
      <w:r w:rsidR="000854B6" w:rsidRPr="00B84B02">
        <w:rPr>
          <w:rFonts w:ascii="Times New Roman" w:hAnsi="Times New Roman" w:cs="Times New Roman"/>
          <w:b/>
          <w:bCs/>
          <w:sz w:val="24"/>
          <w:szCs w:val="24"/>
        </w:rPr>
        <w:t>S</w:t>
      </w:r>
      <w:r w:rsidR="000854B6" w:rsidRPr="00B84B02">
        <w:rPr>
          <w:rFonts w:ascii="Times New Roman" w:hAnsi="Times New Roman" w:cs="Times New Roman" w:hint="eastAsia"/>
          <w:b/>
          <w:bCs/>
          <w:sz w:val="24"/>
          <w:szCs w:val="24"/>
        </w:rPr>
        <w:t>6</w:t>
      </w:r>
      <w:r w:rsidR="001727E1" w:rsidRPr="00B84B02">
        <w:rPr>
          <w:rFonts w:ascii="Times New Roman" w:hAnsi="Times New Roman" w:cs="Times New Roman"/>
          <w:b/>
          <w:bCs/>
          <w:sz w:val="24"/>
          <w:szCs w:val="24"/>
        </w:rPr>
        <w:t>.</w:t>
      </w:r>
      <w:r w:rsidR="001727E1" w:rsidRPr="00B84B02">
        <w:rPr>
          <w:rFonts w:ascii="Times New Roman" w:hAnsi="Times New Roman" w:cs="Times New Roman" w:hint="eastAsia"/>
          <w:sz w:val="24"/>
          <w:szCs w:val="24"/>
        </w:rPr>
        <w:t xml:space="preserve"> </w:t>
      </w:r>
      <w:r w:rsidR="001727E1" w:rsidRPr="00B84B02">
        <w:rPr>
          <w:rFonts w:ascii="Times New Roman" w:eastAsia="宋体" w:hAnsi="Times New Roman" w:cs="Times New Roman" w:hint="eastAsia"/>
          <w:bCs/>
          <w:kern w:val="0"/>
          <w:sz w:val="24"/>
          <w:szCs w:val="24"/>
          <w:lang w:eastAsia="en-US"/>
        </w:rPr>
        <w:t>HR</w:t>
      </w:r>
      <w:r w:rsidR="001727E1" w:rsidRPr="00B84B02">
        <w:rPr>
          <w:rFonts w:ascii="Times New Roman" w:eastAsia="宋体" w:hAnsi="Times New Roman" w:cs="Times New Roman"/>
          <w:bCs/>
          <w:kern w:val="0"/>
          <w:sz w:val="24"/>
          <w:szCs w:val="24"/>
          <w:lang w:eastAsia="en-US"/>
        </w:rPr>
        <w:t xml:space="preserve"> M</w:t>
      </w:r>
      <w:r w:rsidR="001727E1">
        <w:rPr>
          <w:rFonts w:ascii="Times New Roman" w:eastAsia="宋体" w:hAnsi="Times New Roman" w:cs="Times New Roman"/>
          <w:bCs/>
          <w:kern w:val="0"/>
          <w:sz w:val="24"/>
          <w:szCs w:val="24"/>
          <w:lang w:eastAsia="en-US"/>
        </w:rPr>
        <w:t xml:space="preserve">n 2p spectra of </w:t>
      </w:r>
      <w:r w:rsidR="001727E1">
        <w:rPr>
          <w:rFonts w:ascii="Times New Roman" w:eastAsia="宋体" w:hAnsi="Times New Roman" w:cs="Times New Roman" w:hint="eastAsia"/>
          <w:bCs/>
          <w:kern w:val="0"/>
          <w:sz w:val="24"/>
          <w:szCs w:val="24"/>
        </w:rPr>
        <w:t xml:space="preserve">(a) </w:t>
      </w:r>
      <w:r w:rsidR="001727E1">
        <w:rPr>
          <w:rFonts w:ascii="Times New Roman" w:eastAsia="宋体" w:hAnsi="Times New Roman" w:cs="Times New Roman"/>
          <w:bCs/>
          <w:kern w:val="0"/>
          <w:sz w:val="24"/>
          <w:szCs w:val="24"/>
          <w:lang w:eastAsia="en-US"/>
        </w:rPr>
        <w:t>Mn</w:t>
      </w:r>
      <w:r w:rsidR="001727E1">
        <w:rPr>
          <w:rFonts w:ascii="Times New Roman" w:eastAsia="宋体" w:hAnsi="Times New Roman" w:cs="Times New Roman" w:hint="eastAsia"/>
          <w:bCs/>
          <w:kern w:val="0"/>
          <w:sz w:val="24"/>
          <w:szCs w:val="24"/>
        </w:rPr>
        <w:t>-</w:t>
      </w:r>
      <w:r w:rsidR="001727E1">
        <w:rPr>
          <w:rFonts w:ascii="Times New Roman" w:eastAsia="宋体" w:hAnsi="Times New Roman" w:cs="Times New Roman"/>
          <w:bCs/>
          <w:kern w:val="0"/>
          <w:sz w:val="24"/>
          <w:szCs w:val="24"/>
          <w:lang w:eastAsia="en-US"/>
        </w:rPr>
        <w:t>CDs</w:t>
      </w:r>
      <w:r w:rsidR="001727E1">
        <w:rPr>
          <w:rFonts w:ascii="Times New Roman" w:eastAsia="宋体" w:hAnsi="Times New Roman" w:cs="Times New Roman" w:hint="eastAsia"/>
          <w:bCs/>
          <w:kern w:val="0"/>
          <w:sz w:val="24"/>
          <w:szCs w:val="24"/>
        </w:rPr>
        <w:t xml:space="preserve"> and (b)</w:t>
      </w:r>
      <w:r w:rsidR="001727E1">
        <w:rPr>
          <w:rFonts w:ascii="Times New Roman" w:eastAsia="宋体" w:hAnsi="Times New Roman" w:cs="Times New Roman"/>
          <w:bCs/>
          <w:kern w:val="0"/>
          <w:sz w:val="24"/>
          <w:szCs w:val="24"/>
          <w:lang w:eastAsia="en-US"/>
        </w:rPr>
        <w:t xml:space="preserve"> </w:t>
      </w:r>
      <w:r w:rsidR="001727E1">
        <w:rPr>
          <w:rFonts w:ascii="Times New Roman" w:eastAsia="宋体" w:hAnsi="Times New Roman" w:cs="Times New Roman" w:hint="eastAsia"/>
          <w:bCs/>
          <w:kern w:val="0"/>
          <w:sz w:val="24"/>
          <w:szCs w:val="24"/>
        </w:rPr>
        <w:t>Mg</w:t>
      </w:r>
      <w:r w:rsidR="001727E1">
        <w:rPr>
          <w:rFonts w:ascii="Times New Roman" w:eastAsia="宋体" w:hAnsi="Times New Roman" w:cs="Times New Roman"/>
          <w:bCs/>
          <w:kern w:val="0"/>
          <w:sz w:val="24"/>
          <w:szCs w:val="24"/>
          <w:lang w:eastAsia="en-US"/>
        </w:rPr>
        <w:t>Mn@CDs</w:t>
      </w:r>
      <w:r w:rsidR="001727E1">
        <w:rPr>
          <w:rFonts w:ascii="Times New Roman" w:eastAsia="宋体" w:hAnsi="Times New Roman" w:cs="Times New Roman" w:hint="eastAsia"/>
          <w:bCs/>
          <w:kern w:val="0"/>
          <w:sz w:val="24"/>
          <w:szCs w:val="24"/>
        </w:rPr>
        <w:t>.</w:t>
      </w:r>
    </w:p>
    <w:p w14:paraId="2FEB1B2F" w14:textId="16BEFCFD" w:rsidR="001727E1" w:rsidRDefault="00BC34BF">
      <w:pPr>
        <w:jc w:val="center"/>
        <w:rPr>
          <w:rFonts w:ascii="Times New Roman" w:hAnsi="Times New Roman" w:cs="Times New Roman"/>
          <w:sz w:val="24"/>
          <w:szCs w:val="24"/>
        </w:rPr>
      </w:pPr>
      <w:r>
        <w:rPr>
          <w:noProof/>
        </w:rPr>
        <w:drawing>
          <wp:inline distT="0" distB="0" distL="0" distR="0" wp14:anchorId="4313B55D" wp14:editId="24941934">
            <wp:extent cx="5274310" cy="2404745"/>
            <wp:effectExtent l="0" t="0" r="0" b="0"/>
            <wp:docPr id="20681164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404745"/>
                    </a:xfrm>
                    <a:prstGeom prst="rect">
                      <a:avLst/>
                    </a:prstGeom>
                    <a:noFill/>
                    <a:ln>
                      <a:noFill/>
                    </a:ln>
                  </pic:spPr>
                </pic:pic>
              </a:graphicData>
            </a:graphic>
          </wp:inline>
        </w:drawing>
      </w:r>
    </w:p>
    <w:p w14:paraId="697EB7F5" w14:textId="56C6E9ED" w:rsidR="001727E1" w:rsidRDefault="00AF5CD9">
      <w:pPr>
        <w:jc w:val="center"/>
        <w:rPr>
          <w:rFonts w:ascii="Times New Roman" w:eastAsia="宋体" w:hAnsi="Times New Roman" w:cs="Times New Roman"/>
          <w:bCs/>
          <w:kern w:val="0"/>
          <w:sz w:val="24"/>
          <w:szCs w:val="24"/>
        </w:rPr>
      </w:pPr>
      <w:r>
        <w:rPr>
          <w:rFonts w:ascii="Times New Roman" w:hAnsi="Times New Roman" w:cs="Times New Roman"/>
          <w:b/>
          <w:bCs/>
          <w:sz w:val="24"/>
          <w:szCs w:val="24"/>
        </w:rPr>
        <w:t xml:space="preserve">Fig. </w:t>
      </w:r>
      <w:r w:rsidR="000854B6">
        <w:rPr>
          <w:rFonts w:ascii="Times New Roman" w:hAnsi="Times New Roman" w:cs="Times New Roman"/>
          <w:b/>
          <w:bCs/>
          <w:sz w:val="24"/>
          <w:szCs w:val="24"/>
        </w:rPr>
        <w:t>S</w:t>
      </w:r>
      <w:r w:rsidR="000854B6">
        <w:rPr>
          <w:rFonts w:ascii="Times New Roman" w:hAnsi="Times New Roman" w:cs="Times New Roman" w:hint="eastAsia"/>
          <w:b/>
          <w:bCs/>
          <w:sz w:val="24"/>
          <w:szCs w:val="24"/>
        </w:rPr>
        <w:t>7</w:t>
      </w:r>
      <w:r w:rsidR="001727E1">
        <w:rPr>
          <w:rFonts w:ascii="Times New Roman" w:hAnsi="Times New Roman" w:cs="Times New Roman"/>
          <w:b/>
          <w:bCs/>
          <w:sz w:val="24"/>
          <w:szCs w:val="24"/>
        </w:rPr>
        <w:t>.</w:t>
      </w:r>
      <w:r w:rsidR="001727E1">
        <w:rPr>
          <w:rFonts w:ascii="Times New Roman" w:hAnsi="Times New Roman" w:cs="Times New Roman" w:hint="eastAsia"/>
          <w:sz w:val="24"/>
          <w:szCs w:val="24"/>
        </w:rPr>
        <w:t xml:space="preserve"> </w:t>
      </w:r>
      <w:r w:rsidR="001727E1">
        <w:rPr>
          <w:rFonts w:ascii="Times New Roman" w:eastAsia="宋体" w:hAnsi="Times New Roman" w:cs="Times New Roman" w:hint="eastAsia"/>
          <w:bCs/>
          <w:kern w:val="0"/>
          <w:sz w:val="24"/>
          <w:szCs w:val="24"/>
          <w:lang w:eastAsia="en-US"/>
        </w:rPr>
        <w:t>HR</w:t>
      </w:r>
      <w:r w:rsidR="001727E1">
        <w:rPr>
          <w:rFonts w:ascii="Times New Roman" w:eastAsia="宋体" w:hAnsi="Times New Roman" w:cs="Times New Roman"/>
          <w:bCs/>
          <w:kern w:val="0"/>
          <w:sz w:val="24"/>
          <w:szCs w:val="24"/>
          <w:lang w:eastAsia="en-US"/>
        </w:rPr>
        <w:t xml:space="preserve"> M</w:t>
      </w:r>
      <w:r w:rsidR="001727E1">
        <w:rPr>
          <w:rFonts w:ascii="Times New Roman" w:eastAsia="宋体" w:hAnsi="Times New Roman" w:cs="Times New Roman" w:hint="eastAsia"/>
          <w:bCs/>
          <w:kern w:val="0"/>
          <w:sz w:val="24"/>
          <w:szCs w:val="24"/>
        </w:rPr>
        <w:t>g</w:t>
      </w:r>
      <w:r w:rsidR="001727E1">
        <w:rPr>
          <w:rFonts w:ascii="Times New Roman" w:eastAsia="宋体" w:hAnsi="Times New Roman" w:cs="Times New Roman"/>
          <w:bCs/>
          <w:kern w:val="0"/>
          <w:sz w:val="24"/>
          <w:szCs w:val="24"/>
          <w:lang w:eastAsia="en-US"/>
        </w:rPr>
        <w:t xml:space="preserve"> </w:t>
      </w:r>
      <w:r w:rsidR="001727E1">
        <w:rPr>
          <w:rFonts w:ascii="Times New Roman" w:eastAsia="宋体" w:hAnsi="Times New Roman" w:cs="Times New Roman" w:hint="eastAsia"/>
          <w:bCs/>
          <w:kern w:val="0"/>
          <w:sz w:val="24"/>
          <w:szCs w:val="24"/>
        </w:rPr>
        <w:t>1s</w:t>
      </w:r>
      <w:r w:rsidR="001727E1">
        <w:rPr>
          <w:rFonts w:ascii="Times New Roman" w:eastAsia="宋体" w:hAnsi="Times New Roman" w:cs="Times New Roman"/>
          <w:bCs/>
          <w:kern w:val="0"/>
          <w:sz w:val="24"/>
          <w:szCs w:val="24"/>
          <w:lang w:eastAsia="en-US"/>
        </w:rPr>
        <w:t xml:space="preserve"> spectra of </w:t>
      </w:r>
      <w:r w:rsidR="001727E1">
        <w:rPr>
          <w:rFonts w:ascii="Times New Roman" w:eastAsia="宋体" w:hAnsi="Times New Roman" w:cs="Times New Roman" w:hint="eastAsia"/>
          <w:bCs/>
          <w:kern w:val="0"/>
          <w:sz w:val="24"/>
          <w:szCs w:val="24"/>
        </w:rPr>
        <w:t xml:space="preserve">(a) </w:t>
      </w:r>
      <w:r w:rsidR="001727E1">
        <w:rPr>
          <w:rFonts w:ascii="Times New Roman" w:eastAsia="宋体" w:hAnsi="Times New Roman" w:cs="Times New Roman"/>
          <w:bCs/>
          <w:kern w:val="0"/>
          <w:sz w:val="24"/>
          <w:szCs w:val="24"/>
          <w:lang w:eastAsia="en-US"/>
        </w:rPr>
        <w:t>Mg</w:t>
      </w:r>
      <w:r w:rsidR="001727E1">
        <w:rPr>
          <w:rFonts w:ascii="Times New Roman" w:eastAsia="宋体" w:hAnsi="Times New Roman" w:cs="Times New Roman" w:hint="eastAsia"/>
          <w:bCs/>
          <w:kern w:val="0"/>
          <w:sz w:val="24"/>
          <w:szCs w:val="24"/>
        </w:rPr>
        <w:t>-</w:t>
      </w:r>
      <w:r w:rsidR="001727E1">
        <w:rPr>
          <w:rFonts w:ascii="Times New Roman" w:eastAsia="宋体" w:hAnsi="Times New Roman" w:cs="Times New Roman"/>
          <w:bCs/>
          <w:kern w:val="0"/>
          <w:sz w:val="24"/>
          <w:szCs w:val="24"/>
          <w:lang w:eastAsia="en-US"/>
        </w:rPr>
        <w:t>CDs</w:t>
      </w:r>
      <w:r w:rsidR="001727E1">
        <w:rPr>
          <w:rFonts w:ascii="Times New Roman" w:eastAsia="宋体" w:hAnsi="Times New Roman" w:cs="Times New Roman" w:hint="eastAsia"/>
          <w:bCs/>
          <w:kern w:val="0"/>
          <w:sz w:val="24"/>
          <w:szCs w:val="24"/>
        </w:rPr>
        <w:t xml:space="preserve"> and (b)</w:t>
      </w:r>
      <w:r w:rsidR="001727E1">
        <w:rPr>
          <w:rFonts w:ascii="Times New Roman" w:eastAsia="宋体" w:hAnsi="Times New Roman" w:cs="Times New Roman"/>
          <w:bCs/>
          <w:kern w:val="0"/>
          <w:sz w:val="24"/>
          <w:szCs w:val="24"/>
          <w:lang w:eastAsia="en-US"/>
        </w:rPr>
        <w:t xml:space="preserve"> </w:t>
      </w:r>
      <w:r w:rsidR="001727E1">
        <w:rPr>
          <w:rFonts w:ascii="Times New Roman" w:eastAsia="宋体" w:hAnsi="Times New Roman" w:cs="Times New Roman" w:hint="eastAsia"/>
          <w:bCs/>
          <w:kern w:val="0"/>
          <w:sz w:val="24"/>
          <w:szCs w:val="24"/>
        </w:rPr>
        <w:t>Mg</w:t>
      </w:r>
      <w:r w:rsidR="001727E1">
        <w:rPr>
          <w:rFonts w:ascii="Times New Roman" w:eastAsia="宋体" w:hAnsi="Times New Roman" w:cs="Times New Roman"/>
          <w:bCs/>
          <w:kern w:val="0"/>
          <w:sz w:val="24"/>
          <w:szCs w:val="24"/>
          <w:lang w:eastAsia="en-US"/>
        </w:rPr>
        <w:t>Mn@CDs</w:t>
      </w:r>
      <w:r w:rsidR="001727E1">
        <w:rPr>
          <w:rFonts w:ascii="Times New Roman" w:eastAsia="宋体" w:hAnsi="Times New Roman" w:cs="Times New Roman" w:hint="eastAsia"/>
          <w:bCs/>
          <w:kern w:val="0"/>
          <w:sz w:val="24"/>
          <w:szCs w:val="24"/>
        </w:rPr>
        <w:t>.</w:t>
      </w:r>
    </w:p>
    <w:p w14:paraId="3D6422B2" w14:textId="6260BA53" w:rsidR="001727E1" w:rsidRDefault="00AF1ED0">
      <w:pPr>
        <w:jc w:val="center"/>
        <w:rPr>
          <w:rFonts w:ascii="Times New Roman" w:hAnsi="Times New Roman" w:cs="Times New Roman"/>
          <w:sz w:val="24"/>
          <w:szCs w:val="24"/>
        </w:rPr>
      </w:pPr>
      <w:r>
        <w:rPr>
          <w:noProof/>
        </w:rPr>
        <w:drawing>
          <wp:inline distT="0" distB="0" distL="0" distR="0" wp14:anchorId="090B78DB" wp14:editId="3757F525">
            <wp:extent cx="3120659" cy="4745620"/>
            <wp:effectExtent l="0" t="0" r="0" b="0"/>
            <wp:docPr id="941911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9898" cy="4759670"/>
                    </a:xfrm>
                    <a:prstGeom prst="rect">
                      <a:avLst/>
                    </a:prstGeom>
                    <a:noFill/>
                    <a:ln>
                      <a:noFill/>
                    </a:ln>
                  </pic:spPr>
                </pic:pic>
              </a:graphicData>
            </a:graphic>
          </wp:inline>
        </w:drawing>
      </w:r>
    </w:p>
    <w:p w14:paraId="4593E7B2" w14:textId="7C388910" w:rsidR="001727E1" w:rsidRDefault="00AF5CD9">
      <w:pPr>
        <w:jc w:val="center"/>
        <w:rPr>
          <w:rFonts w:ascii="Times New Roman" w:hAnsi="Times New Roman" w:cs="Times New Roman"/>
          <w:sz w:val="24"/>
          <w:szCs w:val="24"/>
        </w:rPr>
      </w:pPr>
      <w:bookmarkStart w:id="60" w:name="OLE_LINK13"/>
      <w:r>
        <w:rPr>
          <w:rFonts w:ascii="Times New Roman" w:hAnsi="Times New Roman" w:cs="Times New Roman"/>
          <w:b/>
          <w:bCs/>
          <w:sz w:val="24"/>
          <w:szCs w:val="24"/>
        </w:rPr>
        <w:t xml:space="preserve">Fig. </w:t>
      </w:r>
      <w:r w:rsidR="000854B6">
        <w:rPr>
          <w:rFonts w:ascii="Times New Roman" w:hAnsi="Times New Roman" w:cs="Times New Roman"/>
          <w:b/>
          <w:bCs/>
          <w:sz w:val="24"/>
          <w:szCs w:val="24"/>
        </w:rPr>
        <w:t>S</w:t>
      </w:r>
      <w:r w:rsidR="000854B6">
        <w:rPr>
          <w:rFonts w:ascii="Times New Roman" w:hAnsi="Times New Roman" w:cs="Times New Roman" w:hint="eastAsia"/>
          <w:b/>
          <w:bCs/>
          <w:sz w:val="24"/>
          <w:szCs w:val="24"/>
        </w:rPr>
        <w:t>8</w:t>
      </w:r>
      <w:r w:rsidR="00CA18BD">
        <w:rPr>
          <w:rFonts w:ascii="Times New Roman" w:hAnsi="Times New Roman" w:cs="Times New Roman" w:hint="eastAsia"/>
          <w:b/>
          <w:bCs/>
          <w:sz w:val="24"/>
          <w:szCs w:val="24"/>
        </w:rPr>
        <w:t>.</w:t>
      </w:r>
      <w:r w:rsidR="001727E1">
        <w:rPr>
          <w:rFonts w:ascii="Times New Roman" w:hAnsi="Times New Roman" w:cs="Times New Roman"/>
          <w:b/>
          <w:bCs/>
          <w:sz w:val="24"/>
          <w:szCs w:val="24"/>
        </w:rPr>
        <w:t xml:space="preserve"> </w:t>
      </w:r>
      <w:bookmarkEnd w:id="60"/>
      <w:r w:rsidR="001727E1">
        <w:rPr>
          <w:rFonts w:ascii="Times New Roman" w:hAnsi="Times New Roman" w:cs="Times New Roman" w:hint="eastAsia"/>
          <w:sz w:val="24"/>
          <w:szCs w:val="24"/>
        </w:rPr>
        <w:t>Mn</w:t>
      </w:r>
      <w:r w:rsidR="001727E1">
        <w:rPr>
          <w:rFonts w:hint="eastAsia"/>
          <w:sz w:val="24"/>
          <w:szCs w:val="24"/>
        </w:rPr>
        <w:t xml:space="preserve"> </w:t>
      </w:r>
      <w:r w:rsidR="001727E1">
        <w:rPr>
          <w:rFonts w:ascii="Times New Roman" w:hAnsi="Times New Roman" w:cs="Times New Roman" w:hint="eastAsia"/>
          <w:sz w:val="24"/>
          <w:szCs w:val="24"/>
        </w:rPr>
        <w:t>K-edge</w:t>
      </w:r>
      <w:r w:rsidR="001727E1">
        <w:rPr>
          <w:rFonts w:hint="eastAsia"/>
          <w:sz w:val="24"/>
          <w:szCs w:val="24"/>
        </w:rPr>
        <w:t xml:space="preserve"> </w:t>
      </w:r>
      <w:r w:rsidR="001727E1">
        <w:rPr>
          <w:rFonts w:ascii="Times New Roman" w:hAnsi="Times New Roman" w:cs="Times New Roman" w:hint="eastAsia"/>
          <w:sz w:val="24"/>
          <w:szCs w:val="24"/>
        </w:rPr>
        <w:t>WT-EXAFS curves of MgMn@CDs and reference samples.</w:t>
      </w:r>
    </w:p>
    <w:p w14:paraId="562C7A1E" w14:textId="5F371939" w:rsidR="001727E1" w:rsidRDefault="00AF1ED0">
      <w:pPr>
        <w:jc w:val="center"/>
        <w:rPr>
          <w:rFonts w:ascii="Times New Roman" w:hAnsi="Times New Roman" w:cs="Times New Roman"/>
          <w:sz w:val="24"/>
          <w:szCs w:val="24"/>
        </w:rPr>
      </w:pPr>
      <w:r>
        <w:rPr>
          <w:noProof/>
        </w:rPr>
        <w:drawing>
          <wp:inline distT="0" distB="0" distL="0" distR="0" wp14:anchorId="4D3C00A2" wp14:editId="4B8FF9C1">
            <wp:extent cx="3408744" cy="3366356"/>
            <wp:effectExtent l="0" t="0" r="0" b="0"/>
            <wp:docPr id="11781896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1854" cy="3369427"/>
                    </a:xfrm>
                    <a:prstGeom prst="rect">
                      <a:avLst/>
                    </a:prstGeom>
                    <a:noFill/>
                    <a:ln>
                      <a:noFill/>
                    </a:ln>
                  </pic:spPr>
                </pic:pic>
              </a:graphicData>
            </a:graphic>
          </wp:inline>
        </w:drawing>
      </w:r>
    </w:p>
    <w:p w14:paraId="0355C4AB" w14:textId="029B49FA" w:rsidR="001727E1" w:rsidRDefault="00AF5CD9">
      <w:pPr>
        <w:jc w:val="center"/>
        <w:rPr>
          <w:rFonts w:ascii="Times New Roman" w:hAnsi="Times New Roman" w:cs="Times New Roman"/>
          <w:sz w:val="24"/>
          <w:szCs w:val="24"/>
        </w:rPr>
      </w:pPr>
      <w:r>
        <w:rPr>
          <w:rFonts w:ascii="Times New Roman" w:hAnsi="Times New Roman" w:cs="Times New Roman"/>
          <w:b/>
          <w:bCs/>
          <w:sz w:val="24"/>
          <w:szCs w:val="24"/>
        </w:rPr>
        <w:t xml:space="preserve">Fig. </w:t>
      </w:r>
      <w:r w:rsidR="000854B6">
        <w:rPr>
          <w:rFonts w:ascii="Times New Roman" w:hAnsi="Times New Roman" w:cs="Times New Roman"/>
          <w:b/>
          <w:bCs/>
          <w:sz w:val="24"/>
          <w:szCs w:val="24"/>
        </w:rPr>
        <w:t>S</w:t>
      </w:r>
      <w:r w:rsidR="000854B6">
        <w:rPr>
          <w:rFonts w:ascii="Times New Roman" w:hAnsi="Times New Roman" w:cs="Times New Roman" w:hint="eastAsia"/>
          <w:b/>
          <w:bCs/>
          <w:sz w:val="24"/>
          <w:szCs w:val="24"/>
        </w:rPr>
        <w:t>9</w:t>
      </w:r>
      <w:r w:rsidR="00CA18BD">
        <w:rPr>
          <w:rFonts w:ascii="Times New Roman" w:hAnsi="Times New Roman" w:cs="Times New Roman" w:hint="eastAsia"/>
          <w:b/>
          <w:bCs/>
          <w:sz w:val="24"/>
          <w:szCs w:val="24"/>
        </w:rPr>
        <w:t>.</w:t>
      </w:r>
      <w:r w:rsidR="001727E1">
        <w:rPr>
          <w:rFonts w:ascii="Times New Roman" w:hAnsi="Times New Roman" w:cs="Times New Roman"/>
          <w:b/>
          <w:bCs/>
          <w:sz w:val="24"/>
          <w:szCs w:val="24"/>
        </w:rPr>
        <w:t xml:space="preserve"> </w:t>
      </w:r>
      <w:r w:rsidR="001727E1">
        <w:rPr>
          <w:rFonts w:ascii="Times New Roman" w:hAnsi="Times New Roman" w:cs="Times New Roman" w:hint="eastAsia"/>
          <w:sz w:val="24"/>
          <w:szCs w:val="24"/>
        </w:rPr>
        <w:t>Mg</w:t>
      </w:r>
      <w:r w:rsidR="001727E1">
        <w:rPr>
          <w:rFonts w:hint="eastAsia"/>
          <w:sz w:val="24"/>
          <w:szCs w:val="24"/>
        </w:rPr>
        <w:t xml:space="preserve"> </w:t>
      </w:r>
      <w:r w:rsidR="001727E1">
        <w:rPr>
          <w:rFonts w:ascii="Times New Roman" w:hAnsi="Times New Roman" w:cs="Times New Roman" w:hint="eastAsia"/>
          <w:sz w:val="24"/>
          <w:szCs w:val="24"/>
        </w:rPr>
        <w:t>K-edge</w:t>
      </w:r>
      <w:r w:rsidR="001727E1">
        <w:rPr>
          <w:rFonts w:hint="eastAsia"/>
          <w:sz w:val="24"/>
          <w:szCs w:val="24"/>
        </w:rPr>
        <w:t xml:space="preserve"> </w:t>
      </w:r>
      <w:r w:rsidR="001727E1">
        <w:rPr>
          <w:rFonts w:ascii="Times New Roman" w:hAnsi="Times New Roman" w:cs="Times New Roman" w:hint="eastAsia"/>
          <w:sz w:val="24"/>
          <w:szCs w:val="24"/>
        </w:rPr>
        <w:t>WT-EXAFS curves of MgMn@CDs and reference samples.</w:t>
      </w:r>
    </w:p>
    <w:p w14:paraId="0C667997" w14:textId="32B81F07" w:rsidR="001727E1" w:rsidRDefault="00444689">
      <w:pPr>
        <w:jc w:val="center"/>
        <w:rPr>
          <w:rFonts w:ascii="Times New Roman" w:hAnsi="Times New Roman" w:cs="Times New Roman"/>
          <w:sz w:val="24"/>
          <w:szCs w:val="24"/>
        </w:rPr>
      </w:pPr>
      <w:r w:rsidRPr="00444689">
        <w:t xml:space="preserve"> </w:t>
      </w:r>
      <w:r w:rsidR="00B14EA3">
        <w:rPr>
          <w:noProof/>
        </w:rPr>
        <w:drawing>
          <wp:inline distT="0" distB="0" distL="0" distR="0" wp14:anchorId="6E1C075F" wp14:editId="3B6AADE8">
            <wp:extent cx="5274310" cy="2295525"/>
            <wp:effectExtent l="0" t="0" r="0" b="9525"/>
            <wp:docPr id="13737675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295525"/>
                    </a:xfrm>
                    <a:prstGeom prst="rect">
                      <a:avLst/>
                    </a:prstGeom>
                    <a:noFill/>
                    <a:ln>
                      <a:noFill/>
                    </a:ln>
                  </pic:spPr>
                </pic:pic>
              </a:graphicData>
            </a:graphic>
          </wp:inline>
        </w:drawing>
      </w:r>
    </w:p>
    <w:p w14:paraId="52534270" w14:textId="160E4BE8" w:rsidR="001727E1" w:rsidRDefault="00AF5CD9" w:rsidP="00665736">
      <w:pPr>
        <w:rPr>
          <w:rFonts w:ascii="Times New Roman" w:hAnsi="Times New Roman" w:cs="Times New Roman"/>
          <w:sz w:val="24"/>
          <w:szCs w:val="24"/>
        </w:rPr>
      </w:pPr>
      <w:r>
        <w:rPr>
          <w:rFonts w:ascii="Times New Roman" w:hAnsi="Times New Roman" w:cs="Times New Roman" w:hint="eastAsia"/>
          <w:b/>
          <w:bCs/>
          <w:sz w:val="24"/>
          <w:szCs w:val="24"/>
        </w:rPr>
        <w:t>Fig</w:t>
      </w:r>
      <w:r>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0854B6">
        <w:rPr>
          <w:rFonts w:ascii="Times New Roman" w:hAnsi="Times New Roman" w:cs="Times New Roman" w:hint="eastAsia"/>
          <w:b/>
          <w:bCs/>
          <w:sz w:val="24"/>
          <w:szCs w:val="24"/>
        </w:rPr>
        <w:t>S10</w:t>
      </w:r>
      <w:r w:rsidR="00CA18BD">
        <w:rPr>
          <w:rFonts w:ascii="Times New Roman" w:hAnsi="Times New Roman" w:cs="Times New Roman" w:hint="eastAsia"/>
          <w:b/>
          <w:bCs/>
          <w:sz w:val="24"/>
          <w:szCs w:val="24"/>
        </w:rPr>
        <w:t>.</w:t>
      </w:r>
      <w:r w:rsidR="001727E1">
        <w:rPr>
          <w:rFonts w:ascii="Times New Roman" w:hAnsi="Times New Roman" w:cs="Times New Roman" w:hint="eastAsia"/>
          <w:sz w:val="24"/>
          <w:szCs w:val="24"/>
        </w:rPr>
        <w:t xml:space="preserve"> </w:t>
      </w:r>
      <w:r w:rsidR="001727E1">
        <w:rPr>
          <w:rFonts w:ascii="Times New Roman" w:hAnsi="Times New Roman" w:cs="Times New Roman"/>
          <w:sz w:val="24"/>
          <w:szCs w:val="24"/>
        </w:rPr>
        <w:t>The (</w:t>
      </w:r>
      <w:r w:rsidR="001727E1">
        <w:rPr>
          <w:rFonts w:ascii="Times New Roman" w:hAnsi="Times New Roman" w:cs="Times New Roman" w:hint="eastAsia"/>
          <w:b/>
          <w:bCs/>
          <w:sz w:val="24"/>
          <w:szCs w:val="24"/>
        </w:rPr>
        <w:t>a</w:t>
      </w:r>
      <w:r w:rsidR="001727E1">
        <w:rPr>
          <w:rFonts w:ascii="Times New Roman" w:hAnsi="Times New Roman" w:cs="Times New Roman"/>
          <w:sz w:val="24"/>
          <w:szCs w:val="24"/>
        </w:rPr>
        <w:t>) Mn</w:t>
      </w:r>
      <w:r w:rsidR="001727E1">
        <w:rPr>
          <w:rFonts w:ascii="Times New Roman" w:hAnsi="Times New Roman" w:cs="Times New Roman" w:hint="eastAsia"/>
          <w:sz w:val="24"/>
          <w:szCs w:val="24"/>
        </w:rPr>
        <w:t xml:space="preserve"> </w:t>
      </w:r>
      <w:r w:rsidR="001727E1">
        <w:rPr>
          <w:rFonts w:ascii="Times New Roman" w:hAnsi="Times New Roman" w:cs="Times New Roman"/>
          <w:sz w:val="24"/>
          <w:szCs w:val="24"/>
        </w:rPr>
        <w:t>and (</w:t>
      </w:r>
      <w:r w:rsidR="001727E1">
        <w:rPr>
          <w:rFonts w:ascii="Times New Roman" w:hAnsi="Times New Roman" w:cs="Times New Roman" w:hint="eastAsia"/>
          <w:b/>
          <w:bCs/>
          <w:sz w:val="24"/>
          <w:szCs w:val="24"/>
        </w:rPr>
        <w:t>b</w:t>
      </w:r>
      <w:r w:rsidR="001727E1">
        <w:rPr>
          <w:rFonts w:ascii="Times New Roman" w:hAnsi="Times New Roman" w:cs="Times New Roman"/>
          <w:sz w:val="24"/>
          <w:szCs w:val="24"/>
        </w:rPr>
        <w:t xml:space="preserve">) </w:t>
      </w:r>
      <w:r w:rsidR="001727E1">
        <w:rPr>
          <w:rFonts w:ascii="Times New Roman" w:hAnsi="Times New Roman" w:cs="Times New Roman" w:hint="eastAsia"/>
          <w:sz w:val="24"/>
          <w:szCs w:val="24"/>
        </w:rPr>
        <w:t>Mg</w:t>
      </w:r>
      <w:r w:rsidR="001727E1">
        <w:rPr>
          <w:rFonts w:ascii="Times New Roman" w:hAnsi="Times New Roman" w:cs="Times New Roman"/>
          <w:sz w:val="24"/>
          <w:szCs w:val="24"/>
        </w:rPr>
        <w:t xml:space="preserve"> K-edge </w:t>
      </w:r>
      <w:r w:rsidR="001727E1">
        <w:rPr>
          <w:rFonts w:ascii="Times New Roman" w:hAnsi="Times New Roman" w:cs="Times New Roman" w:hint="eastAsia"/>
          <w:sz w:val="24"/>
          <w:szCs w:val="24"/>
        </w:rPr>
        <w:t>FT-</w:t>
      </w:r>
      <w:r w:rsidR="001727E1">
        <w:rPr>
          <w:rFonts w:ascii="Times New Roman" w:hAnsi="Times New Roman" w:cs="Times New Roman"/>
          <w:sz w:val="24"/>
          <w:szCs w:val="24"/>
        </w:rPr>
        <w:t>EXAFS</w:t>
      </w:r>
      <w:r w:rsidR="001727E1">
        <w:rPr>
          <w:rFonts w:ascii="Times New Roman" w:hAnsi="Times New Roman" w:cs="Times New Roman" w:hint="eastAsia"/>
          <w:sz w:val="24"/>
          <w:szCs w:val="24"/>
        </w:rPr>
        <w:t xml:space="preserve"> of MgMn@CDs with different scattering path.</w:t>
      </w:r>
    </w:p>
    <w:p w14:paraId="5F289F72" w14:textId="77777777" w:rsidR="001727E1" w:rsidRDefault="001727E1">
      <w:pPr>
        <w:rPr>
          <w:rFonts w:ascii="Times New Roman" w:hAnsi="Times New Roman" w:cs="Times New Roman"/>
          <w:sz w:val="24"/>
          <w:szCs w:val="24"/>
        </w:rPr>
      </w:pPr>
    </w:p>
    <w:p w14:paraId="3479D3AC" w14:textId="77777777" w:rsidR="001727E1" w:rsidRDefault="001727E1">
      <w:pPr>
        <w:jc w:val="center"/>
        <w:rPr>
          <w:rFonts w:ascii="Times New Roman" w:hAnsi="Times New Roman" w:cs="Times New Roman"/>
          <w:sz w:val="24"/>
          <w:szCs w:val="24"/>
        </w:rPr>
      </w:pPr>
      <w:r>
        <w:rPr>
          <w:noProof/>
        </w:rPr>
        <w:drawing>
          <wp:inline distT="0" distB="0" distL="0" distR="0" wp14:anchorId="3F1ADD6C" wp14:editId="1921C8F8">
            <wp:extent cx="4972050" cy="2541097"/>
            <wp:effectExtent l="0" t="0" r="0" b="0"/>
            <wp:docPr id="9421512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51206" name="图片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982931" cy="2546658"/>
                    </a:xfrm>
                    <a:prstGeom prst="rect">
                      <a:avLst/>
                    </a:prstGeom>
                    <a:noFill/>
                    <a:ln>
                      <a:noFill/>
                    </a:ln>
                  </pic:spPr>
                </pic:pic>
              </a:graphicData>
            </a:graphic>
          </wp:inline>
        </w:drawing>
      </w:r>
    </w:p>
    <w:p w14:paraId="40BA3F9B" w14:textId="5E16BAB4" w:rsidR="001727E1" w:rsidRDefault="00AF5CD9" w:rsidP="00153990">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Fig. </w:t>
      </w:r>
      <w:r w:rsidR="000854B6">
        <w:rPr>
          <w:rFonts w:ascii="Times New Roman" w:hAnsi="Times New Roman" w:cs="Times New Roman"/>
          <w:b/>
          <w:bCs/>
          <w:sz w:val="24"/>
          <w:szCs w:val="24"/>
        </w:rPr>
        <w:t>S1</w:t>
      </w:r>
      <w:r w:rsidR="000854B6">
        <w:rPr>
          <w:rFonts w:ascii="Times New Roman" w:hAnsi="Times New Roman" w:cs="Times New Roman" w:hint="eastAsia"/>
          <w:b/>
          <w:bCs/>
          <w:sz w:val="24"/>
          <w:szCs w:val="24"/>
        </w:rPr>
        <w:t>1</w:t>
      </w:r>
      <w:r w:rsidR="001727E1">
        <w:rPr>
          <w:rFonts w:ascii="Times New Roman" w:hAnsi="Times New Roman" w:cs="Times New Roman"/>
          <w:b/>
          <w:bCs/>
          <w:sz w:val="24"/>
          <w:szCs w:val="24"/>
        </w:rPr>
        <w:t xml:space="preserve">. </w:t>
      </w:r>
      <w:r w:rsidR="001727E1">
        <w:rPr>
          <w:rFonts w:ascii="Times New Roman" w:hAnsi="Times New Roman" w:cs="Times New Roman"/>
          <w:sz w:val="24"/>
          <w:szCs w:val="24"/>
        </w:rPr>
        <w:t>Stability of optical properties of</w:t>
      </w:r>
      <w:bookmarkStart w:id="61" w:name="OLE_LINK14"/>
      <w:r w:rsidR="001727E1">
        <w:rPr>
          <w:rFonts w:ascii="Times New Roman" w:hAnsi="Times New Roman" w:cs="Times New Roman"/>
          <w:sz w:val="24"/>
          <w:szCs w:val="24"/>
        </w:rPr>
        <w:t xml:space="preserve"> MgMn@CDs</w:t>
      </w:r>
      <w:bookmarkEnd w:id="61"/>
      <w:r w:rsidR="001727E1">
        <w:rPr>
          <w:rFonts w:ascii="Times New Roman" w:hAnsi="Times New Roman" w:cs="Times New Roman"/>
          <w:sz w:val="24"/>
          <w:szCs w:val="24"/>
        </w:rPr>
        <w:t xml:space="preserve"> after incubation in (a) water, (b) PBS, and (c) FBS for 0, 3, and 7 days (final concentration of 10 μg/mL). Stability of SOD-like activity of MgMn@CDs after incubation in (d) PBS and (e) FBS for 0, 3, and 7 days (final concentration of 0.65 μg/mL). (f) Stability of SOD-like activity of MgMn@CDs at 25 °C, 35 °C, and 45 °C (final concentration of 0.65 μg/mL).</w:t>
      </w:r>
    </w:p>
    <w:p w14:paraId="2657394E" w14:textId="77777777" w:rsidR="001727E1" w:rsidRDefault="001727E1">
      <w:pPr>
        <w:rPr>
          <w:rFonts w:ascii="Times New Roman" w:hAnsi="Times New Roman" w:cs="Times New Roman"/>
          <w:sz w:val="24"/>
          <w:szCs w:val="24"/>
        </w:rPr>
      </w:pPr>
    </w:p>
    <w:p w14:paraId="7B3E3355" w14:textId="1CBC0EDE" w:rsidR="001727E1" w:rsidRDefault="00AF5CD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8D3CC4" wp14:editId="7DC1643D">
            <wp:extent cx="5180400" cy="1648800"/>
            <wp:effectExtent l="0" t="0" r="127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0400" cy="1648800"/>
                    </a:xfrm>
                    <a:prstGeom prst="rect">
                      <a:avLst/>
                    </a:prstGeom>
                    <a:noFill/>
                  </pic:spPr>
                </pic:pic>
              </a:graphicData>
            </a:graphic>
          </wp:inline>
        </w:drawing>
      </w:r>
    </w:p>
    <w:p w14:paraId="1C444775" w14:textId="56896D09" w:rsidR="001727E1" w:rsidRDefault="00AF5CD9" w:rsidP="008D5CE9">
      <w:pPr>
        <w:jc w:val="center"/>
        <w:rPr>
          <w:rFonts w:ascii="Times New Roman" w:hAnsi="Times New Roman" w:cs="Times New Roman"/>
          <w:sz w:val="24"/>
          <w:szCs w:val="24"/>
        </w:rPr>
      </w:pPr>
      <w:r>
        <w:rPr>
          <w:rFonts w:ascii="Times New Roman" w:hAnsi="Times New Roman" w:cs="Times New Roman" w:hint="eastAsia"/>
          <w:b/>
          <w:bCs/>
          <w:sz w:val="24"/>
          <w:szCs w:val="24"/>
        </w:rPr>
        <w:t>Fig</w:t>
      </w:r>
      <w:r>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0854B6">
        <w:rPr>
          <w:rFonts w:ascii="Times New Roman" w:hAnsi="Times New Roman" w:cs="Times New Roman" w:hint="eastAsia"/>
          <w:b/>
          <w:sz w:val="24"/>
          <w:szCs w:val="24"/>
        </w:rPr>
        <w:t>S</w:t>
      </w:r>
      <w:r w:rsidR="000854B6">
        <w:rPr>
          <w:rFonts w:ascii="Times New Roman" w:hAnsi="Times New Roman" w:cs="Times New Roman"/>
          <w:b/>
          <w:sz w:val="24"/>
          <w:szCs w:val="24"/>
        </w:rPr>
        <w:t>1</w:t>
      </w:r>
      <w:r w:rsidR="000854B6">
        <w:rPr>
          <w:rFonts w:ascii="Times New Roman" w:hAnsi="Times New Roman" w:cs="Times New Roman" w:hint="eastAsia"/>
          <w:b/>
          <w:sz w:val="24"/>
          <w:szCs w:val="24"/>
        </w:rPr>
        <w:t>2</w:t>
      </w:r>
      <w:r w:rsidR="00CA18BD">
        <w:rPr>
          <w:rFonts w:ascii="Times New Roman" w:hAnsi="Times New Roman" w:cs="Times New Roman" w:hint="eastAsia"/>
          <w:b/>
          <w:sz w:val="24"/>
          <w:szCs w:val="24"/>
        </w:rPr>
        <w:t>.</w:t>
      </w:r>
      <w:r w:rsidR="001727E1">
        <w:rPr>
          <w:rFonts w:ascii="Times New Roman" w:hAnsi="Times New Roman" w:cs="Times New Roman" w:hint="eastAsia"/>
          <w:sz w:val="24"/>
          <w:szCs w:val="24"/>
        </w:rPr>
        <w:t xml:space="preserve"> </w:t>
      </w:r>
      <w:r w:rsidR="001727E1">
        <w:rPr>
          <w:rFonts w:ascii="Times New Roman" w:hAnsi="Times New Roman" w:cs="Times New Roman"/>
          <w:sz w:val="24"/>
          <w:szCs w:val="24"/>
        </w:rPr>
        <w:t>Levels of oxidative stress biomarkers: (</w:t>
      </w:r>
      <w:r w:rsidR="001727E1">
        <w:rPr>
          <w:rFonts w:ascii="Times New Roman" w:hAnsi="Times New Roman" w:cs="Times New Roman" w:hint="eastAsia"/>
          <w:b/>
          <w:sz w:val="24"/>
          <w:szCs w:val="24"/>
        </w:rPr>
        <w:t>a</w:t>
      </w:r>
      <w:r w:rsidR="001727E1">
        <w:rPr>
          <w:rFonts w:ascii="Times New Roman" w:hAnsi="Times New Roman" w:cs="Times New Roman"/>
          <w:sz w:val="24"/>
          <w:szCs w:val="24"/>
        </w:rPr>
        <w:t xml:space="preserve">) </w:t>
      </w:r>
      <w:r w:rsidR="008C171F">
        <w:rPr>
          <w:rFonts w:ascii="Times New Roman" w:hAnsi="Times New Roman" w:cs="Times New Roman"/>
          <w:sz w:val="24"/>
          <w:szCs w:val="24"/>
        </w:rPr>
        <w:t>MDA</w:t>
      </w:r>
      <w:r w:rsidR="001727E1">
        <w:rPr>
          <w:rFonts w:ascii="Times New Roman" w:hAnsi="Times New Roman" w:cs="Times New Roman"/>
          <w:sz w:val="24"/>
          <w:szCs w:val="24"/>
        </w:rPr>
        <w:t>, (</w:t>
      </w:r>
      <w:r w:rsidR="001727E1">
        <w:rPr>
          <w:rFonts w:ascii="Times New Roman" w:hAnsi="Times New Roman" w:cs="Times New Roman"/>
          <w:b/>
          <w:sz w:val="24"/>
          <w:szCs w:val="24"/>
        </w:rPr>
        <w:t>b</w:t>
      </w:r>
      <w:r w:rsidR="001727E1">
        <w:rPr>
          <w:rFonts w:ascii="Times New Roman" w:hAnsi="Times New Roman" w:cs="Times New Roman"/>
          <w:sz w:val="24"/>
          <w:szCs w:val="24"/>
        </w:rPr>
        <w:t xml:space="preserve">) </w:t>
      </w:r>
      <w:r w:rsidR="008C171F">
        <w:rPr>
          <w:rFonts w:ascii="Times New Roman" w:hAnsi="Times New Roman" w:cs="Times New Roman"/>
          <w:sz w:val="24"/>
          <w:szCs w:val="24"/>
        </w:rPr>
        <w:t xml:space="preserve">SOD </w:t>
      </w:r>
      <w:r w:rsidR="001727E1">
        <w:rPr>
          <w:rFonts w:ascii="Times New Roman" w:hAnsi="Times New Roman" w:cs="Times New Roman"/>
          <w:sz w:val="24"/>
          <w:szCs w:val="24"/>
        </w:rPr>
        <w:t>and (</w:t>
      </w:r>
      <w:r w:rsidR="001727E1">
        <w:rPr>
          <w:rFonts w:ascii="Times New Roman" w:hAnsi="Times New Roman" w:cs="Times New Roman"/>
          <w:b/>
          <w:sz w:val="24"/>
          <w:szCs w:val="24"/>
        </w:rPr>
        <w:t>c</w:t>
      </w:r>
      <w:r w:rsidR="001727E1">
        <w:rPr>
          <w:rFonts w:ascii="Times New Roman" w:hAnsi="Times New Roman" w:cs="Times New Roman"/>
          <w:sz w:val="24"/>
          <w:szCs w:val="24"/>
        </w:rPr>
        <w:t xml:space="preserve">) </w:t>
      </w:r>
      <w:r w:rsidR="008C171F">
        <w:rPr>
          <w:rFonts w:ascii="Times New Roman" w:hAnsi="Times New Roman" w:cs="Times New Roman"/>
          <w:sz w:val="24"/>
          <w:szCs w:val="24"/>
        </w:rPr>
        <w:t>GSH</w:t>
      </w:r>
      <w:r w:rsidR="001727E1">
        <w:rPr>
          <w:rFonts w:ascii="Times New Roman" w:hAnsi="Times New Roman" w:cs="Times New Roman"/>
          <w:sz w:val="24"/>
          <w:szCs w:val="24"/>
        </w:rPr>
        <w:t>.</w:t>
      </w:r>
    </w:p>
    <w:p w14:paraId="0276057C" w14:textId="77777777" w:rsidR="001727E1" w:rsidRDefault="001727E1">
      <w:pPr>
        <w:jc w:val="center"/>
        <w:rPr>
          <w:rFonts w:ascii="Times New Roman" w:hAnsi="Times New Roman" w:cs="Times New Roman"/>
          <w:sz w:val="24"/>
          <w:szCs w:val="24"/>
        </w:rPr>
      </w:pPr>
    </w:p>
    <w:p w14:paraId="04BD1F72" w14:textId="58B4F68D" w:rsidR="001727E1" w:rsidRDefault="00AF5CD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4843BF" wp14:editId="127F9DE1">
            <wp:extent cx="5148000" cy="1573200"/>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8000" cy="1573200"/>
                    </a:xfrm>
                    <a:prstGeom prst="rect">
                      <a:avLst/>
                    </a:prstGeom>
                    <a:noFill/>
                  </pic:spPr>
                </pic:pic>
              </a:graphicData>
            </a:graphic>
          </wp:inline>
        </w:drawing>
      </w:r>
    </w:p>
    <w:p w14:paraId="666C1123" w14:textId="60082DEF" w:rsidR="001727E1" w:rsidRDefault="00AF5CD9" w:rsidP="00153990">
      <w:pPr>
        <w:spacing w:line="360" w:lineRule="auto"/>
        <w:rPr>
          <w:rFonts w:ascii="Times New Roman" w:hAnsi="Times New Roman" w:cs="Times New Roman"/>
          <w:sz w:val="24"/>
          <w:szCs w:val="24"/>
        </w:rPr>
      </w:pPr>
      <w:r>
        <w:rPr>
          <w:rFonts w:ascii="Times New Roman" w:hAnsi="Times New Roman" w:cs="Times New Roman" w:hint="eastAsia"/>
          <w:b/>
          <w:bCs/>
          <w:sz w:val="24"/>
          <w:szCs w:val="24"/>
        </w:rPr>
        <w:t>Fig</w:t>
      </w:r>
      <w:r>
        <w:rPr>
          <w:rFonts w:ascii="Times New Roman" w:hAnsi="Times New Roman" w:cs="Times New Roman"/>
          <w:b/>
          <w:bCs/>
          <w:sz w:val="24"/>
          <w:szCs w:val="24"/>
        </w:rPr>
        <w:t xml:space="preserve">. </w:t>
      </w:r>
      <w:r w:rsidR="000854B6">
        <w:rPr>
          <w:rFonts w:ascii="Times New Roman" w:hAnsi="Times New Roman" w:cs="Times New Roman" w:hint="eastAsia"/>
          <w:b/>
          <w:sz w:val="24"/>
          <w:szCs w:val="24"/>
        </w:rPr>
        <w:t>S</w:t>
      </w:r>
      <w:r w:rsidR="000854B6">
        <w:rPr>
          <w:rFonts w:ascii="Times New Roman" w:hAnsi="Times New Roman" w:cs="Times New Roman"/>
          <w:b/>
          <w:sz w:val="24"/>
          <w:szCs w:val="24"/>
        </w:rPr>
        <w:t>1</w:t>
      </w:r>
      <w:r w:rsidR="000854B6">
        <w:rPr>
          <w:rFonts w:ascii="Times New Roman" w:hAnsi="Times New Roman" w:cs="Times New Roman" w:hint="eastAsia"/>
          <w:b/>
          <w:sz w:val="24"/>
          <w:szCs w:val="24"/>
        </w:rPr>
        <w:t>3</w:t>
      </w:r>
      <w:r w:rsidR="00CA18BD">
        <w:rPr>
          <w:rFonts w:ascii="Times New Roman" w:hAnsi="Times New Roman" w:cs="Times New Roman" w:hint="eastAsia"/>
          <w:b/>
          <w:sz w:val="24"/>
          <w:szCs w:val="24"/>
        </w:rPr>
        <w:t>.</w:t>
      </w:r>
      <w:r w:rsidR="001727E1">
        <w:rPr>
          <w:rFonts w:ascii="Times New Roman" w:hAnsi="Times New Roman" w:cs="Times New Roman" w:hint="eastAsia"/>
          <w:sz w:val="24"/>
          <w:szCs w:val="24"/>
        </w:rPr>
        <w:t xml:space="preserve"> </w:t>
      </w:r>
      <w:r w:rsidR="001727E1">
        <w:rPr>
          <w:rFonts w:ascii="Times New Roman" w:hAnsi="Times New Roman" w:cs="Times New Roman"/>
          <w:sz w:val="24"/>
          <w:szCs w:val="24"/>
        </w:rPr>
        <w:t>Levels of mRNA expression of key proinflammatory cytokines: (</w:t>
      </w:r>
      <w:r w:rsidR="001727E1">
        <w:rPr>
          <w:rFonts w:ascii="Times New Roman" w:hAnsi="Times New Roman" w:cs="Times New Roman"/>
          <w:b/>
          <w:sz w:val="24"/>
          <w:szCs w:val="24"/>
        </w:rPr>
        <w:t>a</w:t>
      </w:r>
      <w:r w:rsidR="001727E1">
        <w:rPr>
          <w:rFonts w:ascii="Times New Roman" w:hAnsi="Times New Roman" w:cs="Times New Roman"/>
          <w:sz w:val="24"/>
          <w:szCs w:val="24"/>
        </w:rPr>
        <w:t>) TNF-α, (</w:t>
      </w:r>
      <w:r w:rsidR="001727E1">
        <w:rPr>
          <w:rFonts w:ascii="Times New Roman" w:hAnsi="Times New Roman" w:cs="Times New Roman"/>
          <w:b/>
          <w:sz w:val="24"/>
          <w:szCs w:val="24"/>
        </w:rPr>
        <w:t>b</w:t>
      </w:r>
      <w:r w:rsidR="001727E1">
        <w:rPr>
          <w:rFonts w:ascii="Times New Roman" w:hAnsi="Times New Roman" w:cs="Times New Roman"/>
          <w:sz w:val="24"/>
          <w:szCs w:val="24"/>
        </w:rPr>
        <w:t>) IL-1β, and (</w:t>
      </w:r>
      <w:r w:rsidR="001727E1">
        <w:rPr>
          <w:rFonts w:ascii="Times New Roman" w:hAnsi="Times New Roman" w:cs="Times New Roman"/>
          <w:b/>
          <w:sz w:val="24"/>
          <w:szCs w:val="24"/>
        </w:rPr>
        <w:t>c</w:t>
      </w:r>
      <w:r w:rsidR="001727E1">
        <w:rPr>
          <w:rFonts w:ascii="Times New Roman" w:hAnsi="Times New Roman" w:cs="Times New Roman"/>
          <w:sz w:val="24"/>
          <w:szCs w:val="24"/>
        </w:rPr>
        <w:t>) IL-6.</w:t>
      </w:r>
    </w:p>
    <w:p w14:paraId="2E67B378" w14:textId="5B5CC73A" w:rsidR="00A92AE7" w:rsidRDefault="00A92AE7">
      <w:pPr>
        <w:rPr>
          <w:rFonts w:ascii="Times New Roman" w:hAnsi="Times New Roman" w:cs="Times New Roman"/>
          <w:sz w:val="24"/>
          <w:szCs w:val="24"/>
        </w:rPr>
      </w:pPr>
    </w:p>
    <w:p w14:paraId="1153E499" w14:textId="38338206" w:rsidR="00A92AE7" w:rsidRPr="00153990" w:rsidRDefault="002D7EEA" w:rsidP="00153990">
      <w:pPr>
        <w:jc w:val="center"/>
        <w:rPr>
          <w:rFonts w:ascii="Times New Roman" w:hAnsi="Times New Roman" w:cs="Times New Roman"/>
          <w:color w:val="EE0000"/>
          <w:sz w:val="24"/>
          <w:szCs w:val="24"/>
        </w:rPr>
      </w:pPr>
      <w:r w:rsidRPr="00153990">
        <w:rPr>
          <w:rFonts w:ascii="Times New Roman" w:hAnsi="Times New Roman" w:cs="Times New Roman"/>
          <w:noProof/>
          <w:color w:val="EE0000"/>
          <w:sz w:val="24"/>
          <w:szCs w:val="24"/>
          <w14:ligatures w14:val="none"/>
        </w:rPr>
        <w:drawing>
          <wp:inline distT="0" distB="0" distL="0" distR="0" wp14:anchorId="2B0FF42D" wp14:editId="75AF95E1">
            <wp:extent cx="3157200" cy="2156400"/>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全部数据.jpg"/>
                    <pic:cNvPicPr/>
                  </pic:nvPicPr>
                  <pic:blipFill>
                    <a:blip r:embed="rId20">
                      <a:extLst>
                        <a:ext uri="{28A0092B-C50C-407E-A947-70E740481C1C}">
                          <a14:useLocalDpi xmlns:a14="http://schemas.microsoft.com/office/drawing/2010/main" val="0"/>
                        </a:ext>
                      </a:extLst>
                    </a:blip>
                    <a:stretch>
                      <a:fillRect/>
                    </a:stretch>
                  </pic:blipFill>
                  <pic:spPr>
                    <a:xfrm>
                      <a:off x="0" y="0"/>
                      <a:ext cx="3157200" cy="2156400"/>
                    </a:xfrm>
                    <a:prstGeom prst="rect">
                      <a:avLst/>
                    </a:prstGeom>
                  </pic:spPr>
                </pic:pic>
              </a:graphicData>
            </a:graphic>
          </wp:inline>
        </w:drawing>
      </w:r>
    </w:p>
    <w:p w14:paraId="3C33F620" w14:textId="34D70144" w:rsidR="00A92AE7" w:rsidRPr="00167A4F" w:rsidRDefault="00AF5CD9" w:rsidP="00665736">
      <w:pPr>
        <w:jc w:val="center"/>
        <w:rPr>
          <w:rFonts w:ascii="Times New Roman" w:hAnsi="Times New Roman" w:cs="Times New Roman"/>
          <w:sz w:val="24"/>
          <w:szCs w:val="24"/>
        </w:rPr>
      </w:pPr>
      <w:r w:rsidRPr="00167A4F">
        <w:rPr>
          <w:rFonts w:ascii="Times New Roman" w:hAnsi="Times New Roman" w:cs="Times New Roman"/>
          <w:b/>
          <w:bCs/>
          <w:sz w:val="24"/>
          <w:szCs w:val="24"/>
        </w:rPr>
        <w:t>Fig</w:t>
      </w:r>
      <w:r>
        <w:rPr>
          <w:rFonts w:ascii="Times New Roman" w:hAnsi="Times New Roman" w:cs="Times New Roman"/>
          <w:b/>
          <w:bCs/>
          <w:sz w:val="24"/>
          <w:szCs w:val="24"/>
        </w:rPr>
        <w:t>.</w:t>
      </w:r>
      <w:r w:rsidRPr="00167A4F">
        <w:rPr>
          <w:rFonts w:ascii="Times New Roman" w:hAnsi="Times New Roman" w:cs="Times New Roman"/>
          <w:b/>
          <w:bCs/>
          <w:sz w:val="24"/>
          <w:szCs w:val="24"/>
        </w:rPr>
        <w:t xml:space="preserve"> </w:t>
      </w:r>
      <w:r w:rsidR="00A92AE7" w:rsidRPr="00167A4F">
        <w:rPr>
          <w:rFonts w:ascii="Times New Roman" w:hAnsi="Times New Roman" w:cs="Times New Roman"/>
          <w:b/>
          <w:sz w:val="24"/>
          <w:szCs w:val="24"/>
        </w:rPr>
        <w:t>S1</w:t>
      </w:r>
      <w:r w:rsidR="000854B6" w:rsidRPr="00167A4F">
        <w:rPr>
          <w:rFonts w:ascii="Times New Roman" w:hAnsi="Times New Roman" w:cs="Times New Roman"/>
          <w:b/>
          <w:sz w:val="24"/>
          <w:szCs w:val="24"/>
        </w:rPr>
        <w:t>4</w:t>
      </w:r>
      <w:r w:rsidR="00A92AE7" w:rsidRPr="00167A4F">
        <w:rPr>
          <w:rFonts w:ascii="Times New Roman" w:hAnsi="Times New Roman" w:cs="Times New Roman"/>
          <w:b/>
          <w:sz w:val="24"/>
          <w:szCs w:val="24"/>
        </w:rPr>
        <w:t>.</w:t>
      </w:r>
      <w:r w:rsidR="00A92AE7" w:rsidRPr="00167A4F">
        <w:rPr>
          <w:rFonts w:ascii="Times New Roman" w:hAnsi="Times New Roman" w:cs="Times New Roman"/>
          <w:b/>
          <w:i/>
          <w:sz w:val="24"/>
          <w:szCs w:val="24"/>
        </w:rPr>
        <w:t xml:space="preserve"> </w:t>
      </w:r>
      <w:r w:rsidR="002652B9" w:rsidRPr="00167A4F">
        <w:rPr>
          <w:rFonts w:ascii="Times New Roman" w:hAnsi="Times New Roman" w:cs="Times New Roman"/>
          <w:i/>
          <w:sz w:val="24"/>
          <w:szCs w:val="24"/>
        </w:rPr>
        <w:t>In vivo</w:t>
      </w:r>
      <w:r w:rsidR="002652B9" w:rsidRPr="00167A4F">
        <w:rPr>
          <w:rFonts w:ascii="Times New Roman" w:hAnsi="Times New Roman" w:cs="Times New Roman"/>
          <w:sz w:val="24"/>
          <w:szCs w:val="24"/>
        </w:rPr>
        <w:t xml:space="preserve"> pharmacokinetics of MgMn@CDs following i.p. administration.</w:t>
      </w:r>
    </w:p>
    <w:p w14:paraId="5ADA4971" w14:textId="77777777" w:rsidR="001727E1" w:rsidRDefault="001727E1">
      <w:pPr>
        <w:widowControl/>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4C29BA" wp14:editId="78E96696">
            <wp:extent cx="2786380" cy="193230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86380" cy="1932305"/>
                    </a:xfrm>
                    <a:prstGeom prst="rect">
                      <a:avLst/>
                    </a:prstGeom>
                    <a:noFill/>
                  </pic:spPr>
                </pic:pic>
              </a:graphicData>
            </a:graphic>
          </wp:inline>
        </w:drawing>
      </w:r>
    </w:p>
    <w:p w14:paraId="03404786" w14:textId="5563B2D9" w:rsidR="001727E1" w:rsidRDefault="00AF5CD9" w:rsidP="00153990">
      <w:pPr>
        <w:spacing w:line="360" w:lineRule="auto"/>
        <w:rPr>
          <w:rFonts w:ascii="Times New Roman" w:hAnsi="Times New Roman" w:cs="Times New Roman"/>
          <w:sz w:val="24"/>
          <w:szCs w:val="24"/>
        </w:rPr>
      </w:pPr>
      <w:r>
        <w:rPr>
          <w:rFonts w:ascii="Times New Roman" w:hAnsi="Times New Roman" w:cs="Times New Roman" w:hint="eastAsia"/>
          <w:b/>
          <w:bCs/>
          <w:sz w:val="24"/>
          <w:szCs w:val="24"/>
        </w:rPr>
        <w:t>Fig</w:t>
      </w:r>
      <w:r>
        <w:rPr>
          <w:rFonts w:ascii="Times New Roman" w:hAnsi="Times New Roman" w:cs="Times New Roman"/>
          <w:b/>
          <w:bCs/>
          <w:sz w:val="24"/>
          <w:szCs w:val="24"/>
        </w:rPr>
        <w:t>.</w:t>
      </w:r>
      <w:r>
        <w:rPr>
          <w:rFonts w:ascii="Times New Roman" w:hAnsi="Times New Roman" w:cs="Times New Roman" w:hint="eastAsia"/>
          <w:b/>
          <w:bCs/>
          <w:sz w:val="24"/>
          <w:szCs w:val="24"/>
        </w:rPr>
        <w:t xml:space="preserve"> </w:t>
      </w:r>
      <w:r w:rsidR="00A92AE7">
        <w:rPr>
          <w:rFonts w:ascii="Times New Roman" w:hAnsi="Times New Roman" w:cs="Times New Roman" w:hint="eastAsia"/>
          <w:b/>
          <w:sz w:val="24"/>
          <w:szCs w:val="24"/>
        </w:rPr>
        <w:t>S</w:t>
      </w:r>
      <w:r w:rsidR="00A92AE7">
        <w:rPr>
          <w:rFonts w:ascii="Times New Roman" w:hAnsi="Times New Roman" w:cs="Times New Roman"/>
          <w:b/>
          <w:sz w:val="24"/>
          <w:szCs w:val="24"/>
        </w:rPr>
        <w:t>1</w:t>
      </w:r>
      <w:r w:rsidR="000854B6">
        <w:rPr>
          <w:rFonts w:ascii="Times New Roman" w:hAnsi="Times New Roman" w:cs="Times New Roman" w:hint="eastAsia"/>
          <w:b/>
          <w:sz w:val="24"/>
          <w:szCs w:val="24"/>
        </w:rPr>
        <w:t>5</w:t>
      </w:r>
      <w:r w:rsidR="00CA18BD">
        <w:rPr>
          <w:rFonts w:ascii="Times New Roman" w:hAnsi="Times New Roman" w:cs="Times New Roman" w:hint="eastAsia"/>
          <w:b/>
          <w:sz w:val="24"/>
          <w:szCs w:val="24"/>
        </w:rPr>
        <w:t>.</w:t>
      </w:r>
      <w:r w:rsidR="001727E1">
        <w:rPr>
          <w:rFonts w:ascii="Times New Roman" w:hAnsi="Times New Roman" w:cs="Times New Roman"/>
          <w:b/>
          <w:sz w:val="24"/>
          <w:szCs w:val="24"/>
        </w:rPr>
        <w:t xml:space="preserve"> </w:t>
      </w:r>
      <w:r w:rsidR="001727E1">
        <w:rPr>
          <w:rFonts w:ascii="Times New Roman" w:hAnsi="Times New Roman" w:cs="Times New Roman"/>
          <w:sz w:val="24"/>
          <w:szCs w:val="24"/>
        </w:rPr>
        <w:t xml:space="preserve">Protein expression levels of key regulatory markers </w:t>
      </w:r>
      <w:bookmarkStart w:id="62" w:name="OLE_LINK37"/>
      <w:bookmarkStart w:id="63" w:name="OLE_LINK38"/>
      <w:r w:rsidR="001727E1">
        <w:rPr>
          <w:rFonts w:ascii="Times New Roman" w:hAnsi="Times New Roman" w:cs="Times New Roman"/>
          <w:sz w:val="24"/>
          <w:szCs w:val="24"/>
        </w:rPr>
        <w:t>for apoptosis (Bax and Bcl-2) and</w:t>
      </w:r>
      <w:bookmarkStart w:id="64" w:name="OLE_LINK27"/>
      <w:r w:rsidR="001727E1">
        <w:rPr>
          <w:rFonts w:ascii="Times New Roman" w:hAnsi="Times New Roman" w:cs="Times New Roman"/>
          <w:sz w:val="24"/>
          <w:szCs w:val="24"/>
        </w:rPr>
        <w:t xml:space="preserve"> ferroptosis</w:t>
      </w:r>
      <w:bookmarkEnd w:id="62"/>
      <w:bookmarkEnd w:id="63"/>
      <w:bookmarkEnd w:id="64"/>
      <w:r w:rsidR="001727E1">
        <w:rPr>
          <w:rFonts w:ascii="Times New Roman" w:hAnsi="Times New Roman" w:cs="Times New Roman"/>
          <w:sz w:val="24"/>
          <w:szCs w:val="24"/>
        </w:rPr>
        <w:t xml:space="preserve"> (GPX4 and SLC7A11).</w:t>
      </w:r>
    </w:p>
    <w:p w14:paraId="5404A07E" w14:textId="77777777" w:rsidR="001727E1" w:rsidRDefault="001727E1">
      <w:pPr>
        <w:widowControl/>
        <w:jc w:val="center"/>
        <w:rPr>
          <w:rFonts w:ascii="Times New Roman" w:hAnsi="Times New Roman" w:cs="Times New Roman"/>
          <w:sz w:val="24"/>
          <w:szCs w:val="24"/>
        </w:rPr>
      </w:pPr>
    </w:p>
    <w:p w14:paraId="508DE02F" w14:textId="77777777" w:rsidR="001727E1" w:rsidRDefault="001727E1">
      <w:pPr>
        <w:tabs>
          <w:tab w:val="left" w:pos="4714"/>
        </w:tabs>
        <w:jc w:val="left"/>
        <w:rPr>
          <w:rFonts w:ascii="Times New Roman" w:hAnsi="Times New Roman" w:cs="Times New Roman"/>
          <w:b/>
          <w:bCs/>
          <w:sz w:val="28"/>
          <w:szCs w:val="20"/>
        </w:rPr>
      </w:pPr>
      <w:r>
        <w:rPr>
          <w:rFonts w:ascii="Times New Roman" w:hAnsi="Times New Roman" w:cs="Times New Roman"/>
          <w:b/>
          <w:bCs/>
          <w:sz w:val="28"/>
          <w:szCs w:val="20"/>
        </w:rPr>
        <w:t xml:space="preserve">Supplementary </w:t>
      </w:r>
      <w:r>
        <w:rPr>
          <w:rFonts w:ascii="Times New Roman" w:hAnsi="Times New Roman" w:cs="Times New Roman" w:hint="eastAsia"/>
          <w:b/>
          <w:bCs/>
          <w:sz w:val="28"/>
          <w:szCs w:val="20"/>
        </w:rPr>
        <w:t>Table</w:t>
      </w:r>
      <w:r>
        <w:rPr>
          <w:rFonts w:ascii="Times New Roman" w:hAnsi="Times New Roman" w:cs="Times New Roman"/>
          <w:b/>
          <w:bCs/>
          <w:sz w:val="28"/>
          <w:szCs w:val="20"/>
        </w:rPr>
        <w:t>s</w:t>
      </w:r>
    </w:p>
    <w:p w14:paraId="6DDE56D2" w14:textId="54731E1B" w:rsidR="001727E1" w:rsidRDefault="001727E1">
      <w:pPr>
        <w:rPr>
          <w:rFonts w:ascii="Times New Roman" w:hAnsi="Times New Roman" w:cs="Times New Roman"/>
          <w:sz w:val="24"/>
          <w:szCs w:val="24"/>
        </w:rPr>
      </w:pPr>
      <w:r>
        <w:rPr>
          <w:rFonts w:ascii="Times New Roman" w:hAnsi="Times New Roman" w:cs="Times New Roman"/>
          <w:b/>
          <w:bCs/>
          <w:sz w:val="24"/>
          <w:szCs w:val="24"/>
        </w:rPr>
        <w:t>Table</w:t>
      </w:r>
      <w:r w:rsidR="00791B83">
        <w:rPr>
          <w:rFonts w:ascii="Times New Roman" w:hAnsi="Times New Roman" w:cs="Times New Roman" w:hint="eastAsia"/>
          <w:b/>
          <w:bCs/>
          <w:sz w:val="24"/>
          <w:szCs w:val="24"/>
        </w:rPr>
        <w:t>.</w:t>
      </w:r>
      <w:r>
        <w:rPr>
          <w:rFonts w:ascii="Times New Roman" w:hAnsi="Times New Roman" w:cs="Times New Roman"/>
          <w:b/>
          <w:bCs/>
          <w:sz w:val="24"/>
          <w:szCs w:val="24"/>
        </w:rPr>
        <w:t xml:space="preserve"> S1</w:t>
      </w:r>
      <w:r>
        <w:rPr>
          <w:rFonts w:ascii="Times New Roman" w:hAnsi="Times New Roman" w:cs="Times New Roman"/>
          <w:sz w:val="24"/>
          <w:szCs w:val="24"/>
        </w:rPr>
        <w:t xml:space="preserve"> Metal contents in Mg-CDs, Mn-CDs and MgMn@CDs</w:t>
      </w:r>
    </w:p>
    <w:tbl>
      <w:tblPr>
        <w:tblW w:w="8276" w:type="dxa"/>
        <w:tblCellMar>
          <w:left w:w="0" w:type="dxa"/>
          <w:right w:w="0" w:type="dxa"/>
        </w:tblCellMar>
        <w:tblLook w:val="04A0" w:firstRow="1" w:lastRow="0" w:firstColumn="1" w:lastColumn="0" w:noHBand="0" w:noVBand="1"/>
      </w:tblPr>
      <w:tblGrid>
        <w:gridCol w:w="2986"/>
        <w:gridCol w:w="2806"/>
        <w:gridCol w:w="2484"/>
      </w:tblGrid>
      <w:tr w:rsidR="001727E1" w14:paraId="613432D1" w14:textId="77777777">
        <w:trPr>
          <w:trHeight w:val="534"/>
        </w:trPr>
        <w:tc>
          <w:tcPr>
            <w:tcW w:w="2986" w:type="dxa"/>
            <w:tcBorders>
              <w:top w:val="single" w:sz="8" w:space="0" w:color="000000"/>
              <w:left w:val="nil"/>
              <w:bottom w:val="single" w:sz="8" w:space="0" w:color="000000"/>
              <w:right w:val="nil"/>
            </w:tcBorders>
            <w:tcMar>
              <w:top w:w="57" w:type="dxa"/>
              <w:left w:w="112" w:type="dxa"/>
              <w:bottom w:w="57" w:type="dxa"/>
              <w:right w:w="112" w:type="dxa"/>
            </w:tcMar>
            <w:vAlign w:val="center"/>
          </w:tcPr>
          <w:p w14:paraId="05B597C6"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Sample</w:t>
            </w:r>
          </w:p>
        </w:tc>
        <w:tc>
          <w:tcPr>
            <w:tcW w:w="2806" w:type="dxa"/>
            <w:tcBorders>
              <w:top w:val="single" w:sz="8" w:space="0" w:color="000000"/>
              <w:left w:val="nil"/>
              <w:bottom w:val="single" w:sz="8" w:space="0" w:color="000000"/>
              <w:right w:val="nil"/>
            </w:tcBorders>
            <w:tcMar>
              <w:top w:w="57" w:type="dxa"/>
              <w:left w:w="112" w:type="dxa"/>
              <w:bottom w:w="57" w:type="dxa"/>
              <w:right w:w="112" w:type="dxa"/>
            </w:tcMar>
            <w:vAlign w:val="center"/>
          </w:tcPr>
          <w:p w14:paraId="228C468C"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Content of Mg (wt %)</w:t>
            </w:r>
          </w:p>
        </w:tc>
        <w:tc>
          <w:tcPr>
            <w:tcW w:w="2484" w:type="dxa"/>
            <w:tcBorders>
              <w:top w:val="single" w:sz="8" w:space="0" w:color="000000"/>
              <w:left w:val="nil"/>
              <w:bottom w:val="single" w:sz="8" w:space="0" w:color="000000"/>
              <w:right w:val="nil"/>
            </w:tcBorders>
            <w:tcMar>
              <w:top w:w="57" w:type="dxa"/>
              <w:left w:w="112" w:type="dxa"/>
              <w:bottom w:w="57" w:type="dxa"/>
              <w:right w:w="112" w:type="dxa"/>
            </w:tcMar>
            <w:vAlign w:val="center"/>
          </w:tcPr>
          <w:p w14:paraId="7A7B2480"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Content of Mn (wt %)</w:t>
            </w:r>
          </w:p>
        </w:tc>
      </w:tr>
      <w:tr w:rsidR="001727E1" w14:paraId="196F25A1" w14:textId="77777777">
        <w:trPr>
          <w:trHeight w:val="534"/>
        </w:trPr>
        <w:tc>
          <w:tcPr>
            <w:tcW w:w="2986" w:type="dxa"/>
            <w:tcBorders>
              <w:top w:val="single" w:sz="8" w:space="0" w:color="000000"/>
              <w:left w:val="nil"/>
              <w:bottom w:val="nil"/>
              <w:right w:val="nil"/>
            </w:tcBorders>
            <w:tcMar>
              <w:top w:w="57" w:type="dxa"/>
              <w:left w:w="112" w:type="dxa"/>
              <w:bottom w:w="57" w:type="dxa"/>
              <w:right w:w="112" w:type="dxa"/>
            </w:tcMar>
            <w:vAlign w:val="center"/>
          </w:tcPr>
          <w:p w14:paraId="2A8E608E"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Mg-CDs</w:t>
            </w:r>
          </w:p>
        </w:tc>
        <w:tc>
          <w:tcPr>
            <w:tcW w:w="2806" w:type="dxa"/>
            <w:tcBorders>
              <w:top w:val="single" w:sz="8" w:space="0" w:color="000000"/>
              <w:left w:val="nil"/>
              <w:bottom w:val="nil"/>
              <w:right w:val="nil"/>
            </w:tcBorders>
            <w:tcMar>
              <w:top w:w="10" w:type="dxa"/>
              <w:left w:w="10" w:type="dxa"/>
              <w:bottom w:w="70" w:type="dxa"/>
              <w:right w:w="10" w:type="dxa"/>
            </w:tcMar>
            <w:vAlign w:val="center"/>
          </w:tcPr>
          <w:p w14:paraId="331AFF41"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2.66</w:t>
            </w:r>
          </w:p>
        </w:tc>
        <w:tc>
          <w:tcPr>
            <w:tcW w:w="2484" w:type="dxa"/>
            <w:tcBorders>
              <w:top w:val="single" w:sz="8" w:space="0" w:color="000000"/>
              <w:left w:val="nil"/>
              <w:bottom w:val="nil"/>
              <w:right w:val="nil"/>
            </w:tcBorders>
            <w:tcMar>
              <w:top w:w="8" w:type="dxa"/>
              <w:left w:w="8" w:type="dxa"/>
              <w:bottom w:w="70" w:type="dxa"/>
              <w:right w:w="8" w:type="dxa"/>
            </w:tcMar>
            <w:vAlign w:val="center"/>
          </w:tcPr>
          <w:p w14:paraId="2DBF2805"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w:t>
            </w:r>
          </w:p>
        </w:tc>
      </w:tr>
      <w:tr w:rsidR="001727E1" w14:paraId="42E5F769" w14:textId="77777777">
        <w:trPr>
          <w:trHeight w:val="534"/>
        </w:trPr>
        <w:tc>
          <w:tcPr>
            <w:tcW w:w="2986" w:type="dxa"/>
            <w:tcBorders>
              <w:top w:val="nil"/>
              <w:left w:val="nil"/>
              <w:bottom w:val="nil"/>
              <w:right w:val="nil"/>
            </w:tcBorders>
            <w:tcMar>
              <w:top w:w="57" w:type="dxa"/>
              <w:left w:w="112" w:type="dxa"/>
              <w:bottom w:w="57" w:type="dxa"/>
              <w:right w:w="112" w:type="dxa"/>
            </w:tcMar>
            <w:vAlign w:val="center"/>
          </w:tcPr>
          <w:p w14:paraId="580354D9"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Mn-CDs</w:t>
            </w:r>
          </w:p>
        </w:tc>
        <w:tc>
          <w:tcPr>
            <w:tcW w:w="2806" w:type="dxa"/>
            <w:tcBorders>
              <w:top w:val="nil"/>
              <w:left w:val="nil"/>
              <w:bottom w:val="nil"/>
              <w:right w:val="nil"/>
            </w:tcBorders>
            <w:tcMar>
              <w:top w:w="8" w:type="dxa"/>
              <w:left w:w="8" w:type="dxa"/>
              <w:bottom w:w="70" w:type="dxa"/>
              <w:right w:w="8" w:type="dxa"/>
            </w:tcMar>
            <w:vAlign w:val="center"/>
          </w:tcPr>
          <w:p w14:paraId="12DAEDFD"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w:t>
            </w:r>
          </w:p>
        </w:tc>
        <w:tc>
          <w:tcPr>
            <w:tcW w:w="2484" w:type="dxa"/>
            <w:tcBorders>
              <w:top w:val="nil"/>
              <w:left w:val="nil"/>
              <w:bottom w:val="nil"/>
              <w:right w:val="nil"/>
            </w:tcBorders>
            <w:tcMar>
              <w:top w:w="10" w:type="dxa"/>
              <w:left w:w="10" w:type="dxa"/>
              <w:bottom w:w="70" w:type="dxa"/>
              <w:right w:w="10" w:type="dxa"/>
            </w:tcMar>
            <w:vAlign w:val="center"/>
          </w:tcPr>
          <w:p w14:paraId="73E8BEA0"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2.40</w:t>
            </w:r>
          </w:p>
        </w:tc>
      </w:tr>
      <w:tr w:rsidR="001727E1" w14:paraId="47F8425E" w14:textId="77777777">
        <w:trPr>
          <w:trHeight w:val="534"/>
        </w:trPr>
        <w:tc>
          <w:tcPr>
            <w:tcW w:w="2986" w:type="dxa"/>
            <w:tcBorders>
              <w:top w:val="nil"/>
              <w:left w:val="nil"/>
              <w:bottom w:val="single" w:sz="8" w:space="0" w:color="000000"/>
              <w:right w:val="nil"/>
            </w:tcBorders>
            <w:tcMar>
              <w:top w:w="57" w:type="dxa"/>
              <w:left w:w="112" w:type="dxa"/>
              <w:bottom w:w="57" w:type="dxa"/>
              <w:right w:w="112" w:type="dxa"/>
            </w:tcMar>
            <w:vAlign w:val="center"/>
          </w:tcPr>
          <w:p w14:paraId="0B515795" w14:textId="512C5FC8" w:rsidR="001727E1" w:rsidRDefault="001727E1">
            <w:pPr>
              <w:jc w:val="center"/>
              <w:rPr>
                <w:rFonts w:ascii="Times New Roman" w:hAnsi="Times New Roman" w:cs="Times New Roman"/>
                <w:sz w:val="24"/>
                <w:szCs w:val="24"/>
              </w:rPr>
            </w:pPr>
            <w:r>
              <w:rPr>
                <w:rFonts w:ascii="Times New Roman" w:hAnsi="Times New Roman" w:cs="Times New Roman"/>
                <w:sz w:val="24"/>
                <w:szCs w:val="24"/>
              </w:rPr>
              <w:t>MgMn@CDs</w:t>
            </w:r>
          </w:p>
        </w:tc>
        <w:tc>
          <w:tcPr>
            <w:tcW w:w="2806" w:type="dxa"/>
            <w:tcBorders>
              <w:top w:val="nil"/>
              <w:left w:val="nil"/>
              <w:bottom w:val="single" w:sz="8" w:space="0" w:color="000000"/>
              <w:right w:val="nil"/>
            </w:tcBorders>
            <w:tcMar>
              <w:top w:w="10" w:type="dxa"/>
              <w:left w:w="10" w:type="dxa"/>
              <w:bottom w:w="70" w:type="dxa"/>
              <w:right w:w="10" w:type="dxa"/>
            </w:tcMar>
            <w:vAlign w:val="center"/>
          </w:tcPr>
          <w:p w14:paraId="4A9999D6"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2.09</w:t>
            </w:r>
          </w:p>
        </w:tc>
        <w:tc>
          <w:tcPr>
            <w:tcW w:w="2484" w:type="dxa"/>
            <w:tcBorders>
              <w:top w:val="nil"/>
              <w:left w:val="nil"/>
              <w:bottom w:val="single" w:sz="8" w:space="0" w:color="000000"/>
              <w:right w:val="nil"/>
            </w:tcBorders>
            <w:tcMar>
              <w:top w:w="10" w:type="dxa"/>
              <w:left w:w="10" w:type="dxa"/>
              <w:bottom w:w="70" w:type="dxa"/>
              <w:right w:w="10" w:type="dxa"/>
            </w:tcMar>
            <w:vAlign w:val="center"/>
          </w:tcPr>
          <w:p w14:paraId="01AF951E"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1.86</w:t>
            </w:r>
          </w:p>
        </w:tc>
      </w:tr>
    </w:tbl>
    <w:p w14:paraId="1A16D8E9" w14:textId="77777777" w:rsidR="001727E1" w:rsidRDefault="001727E1">
      <w:pPr>
        <w:jc w:val="center"/>
        <w:rPr>
          <w:rFonts w:ascii="Times New Roman" w:hAnsi="Times New Roman" w:cs="Times New Roman"/>
          <w:sz w:val="24"/>
          <w:szCs w:val="24"/>
        </w:rPr>
      </w:pPr>
    </w:p>
    <w:p w14:paraId="3E4F343C" w14:textId="77777777" w:rsidR="00153990" w:rsidRDefault="00153990">
      <w:pPr>
        <w:rPr>
          <w:rFonts w:ascii="Times New Roman" w:hAnsi="Times New Roman" w:cs="Times New Roman"/>
          <w:b/>
          <w:bCs/>
          <w:sz w:val="24"/>
          <w:szCs w:val="24"/>
        </w:rPr>
      </w:pPr>
    </w:p>
    <w:p w14:paraId="6C028DB2" w14:textId="77777777" w:rsidR="00153990" w:rsidRDefault="00153990">
      <w:pPr>
        <w:rPr>
          <w:rFonts w:ascii="Times New Roman" w:hAnsi="Times New Roman" w:cs="Times New Roman"/>
          <w:b/>
          <w:bCs/>
          <w:sz w:val="24"/>
          <w:szCs w:val="24"/>
        </w:rPr>
      </w:pPr>
    </w:p>
    <w:p w14:paraId="4CF70984" w14:textId="77777777" w:rsidR="00153990" w:rsidRDefault="00153990">
      <w:pPr>
        <w:rPr>
          <w:rFonts w:ascii="Times New Roman" w:hAnsi="Times New Roman" w:cs="Times New Roman"/>
          <w:b/>
          <w:bCs/>
          <w:sz w:val="24"/>
          <w:szCs w:val="24"/>
        </w:rPr>
      </w:pPr>
    </w:p>
    <w:p w14:paraId="21CFF8C1" w14:textId="77777777" w:rsidR="00153990" w:rsidRDefault="00153990">
      <w:pPr>
        <w:rPr>
          <w:rFonts w:ascii="Times New Roman" w:hAnsi="Times New Roman" w:cs="Times New Roman"/>
          <w:b/>
          <w:bCs/>
          <w:sz w:val="24"/>
          <w:szCs w:val="24"/>
        </w:rPr>
      </w:pPr>
    </w:p>
    <w:p w14:paraId="114047ED" w14:textId="77777777" w:rsidR="00153990" w:rsidRDefault="00153990">
      <w:pPr>
        <w:rPr>
          <w:rFonts w:ascii="Times New Roman" w:hAnsi="Times New Roman" w:cs="Times New Roman"/>
          <w:b/>
          <w:bCs/>
          <w:sz w:val="24"/>
          <w:szCs w:val="24"/>
        </w:rPr>
      </w:pPr>
    </w:p>
    <w:p w14:paraId="798C1511" w14:textId="04CB95D9" w:rsidR="001727E1" w:rsidRDefault="001727E1" w:rsidP="00153990">
      <w:pPr>
        <w:spacing w:line="360" w:lineRule="auto"/>
        <w:rPr>
          <w:rFonts w:ascii="Times New Roman" w:hAnsi="Times New Roman" w:cs="Times New Roman"/>
          <w:sz w:val="24"/>
          <w:szCs w:val="24"/>
        </w:rPr>
      </w:pPr>
      <w:r>
        <w:rPr>
          <w:rFonts w:ascii="Times New Roman" w:hAnsi="Times New Roman" w:cs="Times New Roman"/>
          <w:b/>
          <w:bCs/>
          <w:sz w:val="24"/>
          <w:szCs w:val="24"/>
        </w:rPr>
        <w:t>Table</w:t>
      </w:r>
      <w:r w:rsidR="00791B83">
        <w:rPr>
          <w:rFonts w:ascii="Times New Roman" w:hAnsi="Times New Roman" w:cs="Times New Roman" w:hint="eastAsia"/>
          <w:b/>
          <w:bCs/>
          <w:sz w:val="24"/>
          <w:szCs w:val="24"/>
        </w:rPr>
        <w:t>.</w:t>
      </w:r>
      <w:r>
        <w:rPr>
          <w:rFonts w:ascii="Times New Roman" w:hAnsi="Times New Roman" w:cs="Times New Roman"/>
          <w:b/>
          <w:bCs/>
          <w:sz w:val="24"/>
          <w:szCs w:val="24"/>
        </w:rPr>
        <w:t xml:space="preserve"> S2</w:t>
      </w:r>
      <w:r>
        <w:rPr>
          <w:rFonts w:ascii="Times New Roman" w:hAnsi="Times New Roman" w:cs="Times New Roman"/>
          <w:sz w:val="24"/>
          <w:szCs w:val="24"/>
        </w:rPr>
        <w:t xml:space="preserve"> Average fluorescence lifetime and absolute quantum yields of CDs and MgMn@CDs</w:t>
      </w:r>
      <w:r>
        <w:rPr>
          <w:rFonts w:ascii="Times New Roman" w:hAnsi="Times New Roman" w:cs="Times New Roman" w:hint="eastAsia"/>
          <w:sz w:val="24"/>
          <w:szCs w:val="24"/>
        </w:rPr>
        <w:t>.</w:t>
      </w:r>
    </w:p>
    <w:tbl>
      <w:tblPr>
        <w:tblW w:w="8330" w:type="dxa"/>
        <w:tblCellMar>
          <w:left w:w="0" w:type="dxa"/>
          <w:right w:w="0" w:type="dxa"/>
        </w:tblCellMar>
        <w:tblLook w:val="04A0" w:firstRow="1" w:lastRow="0" w:firstColumn="1" w:lastColumn="0" w:noHBand="0" w:noVBand="1"/>
      </w:tblPr>
      <w:tblGrid>
        <w:gridCol w:w="2170"/>
        <w:gridCol w:w="2961"/>
        <w:gridCol w:w="3199"/>
      </w:tblGrid>
      <w:tr w:rsidR="001727E1" w14:paraId="172D0FD8" w14:textId="77777777">
        <w:trPr>
          <w:trHeight w:val="726"/>
        </w:trPr>
        <w:tc>
          <w:tcPr>
            <w:tcW w:w="2170" w:type="dxa"/>
            <w:tcBorders>
              <w:top w:val="single" w:sz="8" w:space="0" w:color="000000"/>
              <w:left w:val="nil"/>
              <w:bottom w:val="single" w:sz="8" w:space="0" w:color="000000"/>
              <w:right w:val="nil"/>
            </w:tcBorders>
            <w:tcMar>
              <w:top w:w="64" w:type="dxa"/>
              <w:left w:w="128" w:type="dxa"/>
              <w:bottom w:w="64" w:type="dxa"/>
              <w:right w:w="128" w:type="dxa"/>
            </w:tcMar>
          </w:tcPr>
          <w:p w14:paraId="0E1136BF"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Sample</w:t>
            </w:r>
          </w:p>
        </w:tc>
        <w:tc>
          <w:tcPr>
            <w:tcW w:w="2961" w:type="dxa"/>
            <w:tcBorders>
              <w:top w:val="single" w:sz="8" w:space="0" w:color="000000"/>
              <w:left w:val="nil"/>
              <w:bottom w:val="single" w:sz="8" w:space="0" w:color="000000"/>
              <w:right w:val="nil"/>
            </w:tcBorders>
            <w:tcMar>
              <w:top w:w="64" w:type="dxa"/>
              <w:left w:w="128" w:type="dxa"/>
              <w:bottom w:w="64" w:type="dxa"/>
              <w:right w:w="128" w:type="dxa"/>
            </w:tcMar>
          </w:tcPr>
          <w:p w14:paraId="456E03BF" w14:textId="580046C5" w:rsidR="001727E1" w:rsidRDefault="001727E1">
            <w:pPr>
              <w:jc w:val="center"/>
              <w:rPr>
                <w:rFonts w:ascii="Times New Roman" w:hAnsi="Times New Roman" w:cs="Times New Roman"/>
                <w:sz w:val="24"/>
                <w:szCs w:val="24"/>
              </w:rPr>
            </w:pPr>
            <w:r>
              <w:rPr>
                <w:rFonts w:ascii="Times New Roman" w:hAnsi="Times New Roman" w:cs="Times New Roman"/>
                <w:sz w:val="24"/>
                <w:szCs w:val="24"/>
              </w:rPr>
              <w:t>average fluorescence lifetime</w:t>
            </w:r>
            <w:r w:rsidR="002508F7">
              <w:rPr>
                <w:rFonts w:ascii="Times New Roman" w:hAnsi="Times New Roman" w:cs="Times New Roman" w:hint="eastAsia"/>
                <w:sz w:val="24"/>
                <w:szCs w:val="24"/>
              </w:rPr>
              <w:t xml:space="preserve"> (</w:t>
            </w:r>
            <w:r>
              <w:rPr>
                <w:rFonts w:ascii="Times New Roman" w:hAnsi="Times New Roman" w:cs="Times New Roman"/>
                <w:sz w:val="24"/>
                <w:szCs w:val="24"/>
              </w:rPr>
              <w:t>ns)</w:t>
            </w:r>
          </w:p>
        </w:tc>
        <w:tc>
          <w:tcPr>
            <w:tcW w:w="3199" w:type="dxa"/>
            <w:tcBorders>
              <w:top w:val="single" w:sz="8" w:space="0" w:color="000000"/>
              <w:left w:val="nil"/>
              <w:bottom w:val="single" w:sz="8" w:space="0" w:color="000000"/>
              <w:right w:val="nil"/>
            </w:tcBorders>
            <w:tcMar>
              <w:top w:w="64" w:type="dxa"/>
              <w:left w:w="128" w:type="dxa"/>
              <w:bottom w:w="64" w:type="dxa"/>
              <w:right w:w="128" w:type="dxa"/>
            </w:tcMar>
          </w:tcPr>
          <w:p w14:paraId="28927F5E" w14:textId="2C7CC6AE" w:rsidR="001727E1" w:rsidRDefault="001727E1">
            <w:pPr>
              <w:jc w:val="center"/>
              <w:rPr>
                <w:rFonts w:ascii="Times New Roman" w:hAnsi="Times New Roman" w:cs="Times New Roman"/>
                <w:sz w:val="24"/>
                <w:szCs w:val="24"/>
              </w:rPr>
            </w:pPr>
            <w:r>
              <w:rPr>
                <w:rFonts w:ascii="Times New Roman" w:hAnsi="Times New Roman" w:cs="Times New Roman"/>
                <w:sz w:val="24"/>
                <w:szCs w:val="24"/>
              </w:rPr>
              <w:t>absolute quantum yield</w:t>
            </w:r>
            <w:r w:rsidR="0052582B">
              <w:rPr>
                <w:rFonts w:ascii="Times New Roman" w:hAnsi="Times New Roman" w:cs="Times New Roman" w:hint="eastAsia"/>
                <w:sz w:val="24"/>
                <w:szCs w:val="24"/>
              </w:rPr>
              <w:t xml:space="preserve"> (</w:t>
            </w:r>
            <w:r>
              <w:rPr>
                <w:rFonts w:ascii="Times New Roman" w:hAnsi="Times New Roman" w:cs="Times New Roman"/>
                <w:sz w:val="24"/>
                <w:szCs w:val="24"/>
              </w:rPr>
              <w:t>QY, %</w:t>
            </w:r>
            <w:r w:rsidR="0052582B">
              <w:rPr>
                <w:rFonts w:ascii="Times New Roman" w:hAnsi="Times New Roman" w:cs="Times New Roman" w:hint="eastAsia"/>
                <w:sz w:val="24"/>
                <w:szCs w:val="24"/>
              </w:rPr>
              <w:t>)</w:t>
            </w:r>
          </w:p>
        </w:tc>
      </w:tr>
      <w:tr w:rsidR="001727E1" w14:paraId="2E8144C1" w14:textId="77777777">
        <w:trPr>
          <w:trHeight w:val="556"/>
        </w:trPr>
        <w:tc>
          <w:tcPr>
            <w:tcW w:w="2170" w:type="dxa"/>
            <w:tcBorders>
              <w:top w:val="single" w:sz="8" w:space="0" w:color="000000"/>
              <w:left w:val="nil"/>
              <w:bottom w:val="nil"/>
              <w:right w:val="nil"/>
            </w:tcBorders>
            <w:tcMar>
              <w:top w:w="64" w:type="dxa"/>
              <w:left w:w="128" w:type="dxa"/>
              <w:bottom w:w="64" w:type="dxa"/>
              <w:right w:w="128" w:type="dxa"/>
            </w:tcMar>
          </w:tcPr>
          <w:p w14:paraId="36C58B04"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CDs</w:t>
            </w:r>
          </w:p>
        </w:tc>
        <w:tc>
          <w:tcPr>
            <w:tcW w:w="2961" w:type="dxa"/>
            <w:tcBorders>
              <w:top w:val="single" w:sz="8" w:space="0" w:color="000000"/>
              <w:left w:val="nil"/>
              <w:bottom w:val="nil"/>
              <w:right w:val="nil"/>
            </w:tcBorders>
            <w:tcMar>
              <w:top w:w="64" w:type="dxa"/>
              <w:left w:w="128" w:type="dxa"/>
              <w:bottom w:w="64" w:type="dxa"/>
              <w:right w:w="128" w:type="dxa"/>
            </w:tcMar>
          </w:tcPr>
          <w:p w14:paraId="5372DF1C"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4.73</w:t>
            </w:r>
          </w:p>
        </w:tc>
        <w:tc>
          <w:tcPr>
            <w:tcW w:w="3199" w:type="dxa"/>
            <w:tcBorders>
              <w:top w:val="single" w:sz="8" w:space="0" w:color="000000"/>
              <w:left w:val="nil"/>
              <w:bottom w:val="nil"/>
              <w:right w:val="nil"/>
            </w:tcBorders>
            <w:tcMar>
              <w:top w:w="64" w:type="dxa"/>
              <w:left w:w="128" w:type="dxa"/>
              <w:bottom w:w="64" w:type="dxa"/>
              <w:right w:w="128" w:type="dxa"/>
            </w:tcMar>
          </w:tcPr>
          <w:p w14:paraId="78E61A06"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21.9</w:t>
            </w:r>
          </w:p>
        </w:tc>
      </w:tr>
      <w:tr w:rsidR="001727E1" w14:paraId="4A6CCA3B" w14:textId="77777777">
        <w:trPr>
          <w:trHeight w:val="594"/>
        </w:trPr>
        <w:tc>
          <w:tcPr>
            <w:tcW w:w="2170" w:type="dxa"/>
            <w:tcBorders>
              <w:top w:val="nil"/>
              <w:left w:val="nil"/>
              <w:bottom w:val="single" w:sz="8" w:space="0" w:color="000000"/>
              <w:right w:val="nil"/>
            </w:tcBorders>
            <w:tcMar>
              <w:top w:w="64" w:type="dxa"/>
              <w:left w:w="128" w:type="dxa"/>
              <w:bottom w:w="64" w:type="dxa"/>
              <w:right w:w="128" w:type="dxa"/>
            </w:tcMar>
          </w:tcPr>
          <w:p w14:paraId="30375B3C" w14:textId="2E63599E" w:rsidR="001727E1" w:rsidRDefault="001727E1">
            <w:pPr>
              <w:jc w:val="center"/>
              <w:rPr>
                <w:rFonts w:ascii="Times New Roman" w:hAnsi="Times New Roman" w:cs="Times New Roman"/>
                <w:sz w:val="24"/>
                <w:szCs w:val="24"/>
              </w:rPr>
            </w:pPr>
            <w:r>
              <w:rPr>
                <w:rFonts w:ascii="Times New Roman" w:hAnsi="Times New Roman" w:cs="Times New Roman"/>
                <w:sz w:val="24"/>
                <w:szCs w:val="24"/>
              </w:rPr>
              <w:t>MgMn@CDs</w:t>
            </w:r>
          </w:p>
        </w:tc>
        <w:tc>
          <w:tcPr>
            <w:tcW w:w="2961" w:type="dxa"/>
            <w:tcBorders>
              <w:top w:val="nil"/>
              <w:left w:val="nil"/>
              <w:bottom w:val="single" w:sz="8" w:space="0" w:color="000000"/>
              <w:right w:val="nil"/>
            </w:tcBorders>
            <w:tcMar>
              <w:top w:w="64" w:type="dxa"/>
              <w:left w:w="128" w:type="dxa"/>
              <w:bottom w:w="64" w:type="dxa"/>
              <w:right w:w="128" w:type="dxa"/>
            </w:tcMar>
          </w:tcPr>
          <w:p w14:paraId="56B3CC56"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3.14</w:t>
            </w:r>
          </w:p>
        </w:tc>
        <w:tc>
          <w:tcPr>
            <w:tcW w:w="3199" w:type="dxa"/>
            <w:tcBorders>
              <w:top w:val="nil"/>
              <w:left w:val="nil"/>
              <w:bottom w:val="single" w:sz="8" w:space="0" w:color="000000"/>
              <w:right w:val="nil"/>
            </w:tcBorders>
            <w:tcMar>
              <w:top w:w="64" w:type="dxa"/>
              <w:left w:w="128" w:type="dxa"/>
              <w:bottom w:w="64" w:type="dxa"/>
              <w:right w:w="128" w:type="dxa"/>
            </w:tcMar>
          </w:tcPr>
          <w:p w14:paraId="4AB2DA48"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16.4</w:t>
            </w:r>
          </w:p>
        </w:tc>
      </w:tr>
    </w:tbl>
    <w:p w14:paraId="4A971D9D" w14:textId="77777777" w:rsidR="001727E1" w:rsidRDefault="001727E1">
      <w:pPr>
        <w:jc w:val="center"/>
        <w:rPr>
          <w:rFonts w:ascii="Times New Roman" w:hAnsi="Times New Roman" w:cs="Times New Roman"/>
          <w:sz w:val="24"/>
          <w:szCs w:val="24"/>
        </w:rPr>
      </w:pPr>
    </w:p>
    <w:p w14:paraId="2257E442" w14:textId="77777777" w:rsidR="001727E1" w:rsidRDefault="001727E1" w:rsidP="00153990">
      <w:pPr>
        <w:spacing w:line="360" w:lineRule="auto"/>
        <w:rPr>
          <w:rFonts w:ascii="Times New Roman" w:hAnsi="Times New Roman" w:cs="Times New Roman"/>
          <w:sz w:val="24"/>
          <w:szCs w:val="24"/>
        </w:rPr>
      </w:pPr>
      <w:r>
        <w:rPr>
          <w:rFonts w:ascii="Times New Roman" w:hAnsi="Times New Roman" w:cs="Times New Roman"/>
          <w:b/>
          <w:bCs/>
          <w:sz w:val="24"/>
          <w:szCs w:val="24"/>
        </w:rPr>
        <w:t>Table. S3</w:t>
      </w:r>
      <w:r>
        <w:rPr>
          <w:rFonts w:hint="eastAsia"/>
        </w:rPr>
        <w:t xml:space="preserve"> </w:t>
      </w:r>
      <w:r>
        <w:rPr>
          <w:rFonts w:ascii="Times New Roman" w:hAnsi="Times New Roman" w:cs="Times New Roman" w:hint="eastAsia"/>
          <w:sz w:val="24"/>
          <w:szCs w:val="24"/>
        </w:rPr>
        <w:t>Fitting parameters of Mn K-edge EXAFS spectra of MgMn@CDs.</w:t>
      </w:r>
    </w:p>
    <w:tbl>
      <w:tblPr>
        <w:tblW w:w="8300" w:type="dxa"/>
        <w:tblCellMar>
          <w:left w:w="0" w:type="dxa"/>
          <w:right w:w="0" w:type="dxa"/>
        </w:tblCellMar>
        <w:tblLook w:val="04A0" w:firstRow="1" w:lastRow="0" w:firstColumn="1" w:lastColumn="0" w:noHBand="0" w:noVBand="1"/>
      </w:tblPr>
      <w:tblGrid>
        <w:gridCol w:w="1506"/>
        <w:gridCol w:w="1098"/>
        <w:gridCol w:w="1114"/>
        <w:gridCol w:w="1852"/>
        <w:gridCol w:w="1255"/>
        <w:gridCol w:w="1475"/>
      </w:tblGrid>
      <w:tr w:rsidR="001727E1" w14:paraId="1EBAD38D" w14:textId="77777777" w:rsidTr="00153990">
        <w:trPr>
          <w:trHeight w:val="422"/>
        </w:trPr>
        <w:tc>
          <w:tcPr>
            <w:tcW w:w="1506"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20DC71C0"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Shell</w:t>
            </w:r>
          </w:p>
        </w:tc>
        <w:tc>
          <w:tcPr>
            <w:tcW w:w="1098"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440487F3"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N</w:t>
            </w:r>
          </w:p>
        </w:tc>
        <w:tc>
          <w:tcPr>
            <w:tcW w:w="1114"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7CE04DC4"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R (Å)</w:t>
            </w:r>
          </w:p>
        </w:tc>
        <w:tc>
          <w:tcPr>
            <w:tcW w:w="1852"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441445E6"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lang w:val="el-GR"/>
              </w:rPr>
              <w:t>σ</w:t>
            </w:r>
            <w:r>
              <w:rPr>
                <w:rFonts w:ascii="Times New Roman" w:hAnsi="Times New Roman" w:cs="Times New Roman"/>
                <w:sz w:val="24"/>
                <w:szCs w:val="24"/>
                <w:vertAlign w:val="superscript"/>
                <w:lang w:val="el-GR"/>
              </w:rPr>
              <w:t>2</w:t>
            </w:r>
            <w:r>
              <w:rPr>
                <w:rFonts w:ascii="Times New Roman" w:hAnsi="Times New Roman" w:cs="Times New Roman" w:hint="eastAsia"/>
                <w:sz w:val="24"/>
                <w:szCs w:val="24"/>
                <w:vertAlign w:val="superscript"/>
                <w:lang w:val="el-GR"/>
              </w:rPr>
              <w:t xml:space="preserve"> </w:t>
            </w:r>
            <w:r>
              <w:rPr>
                <w:rFonts w:ascii="Times New Roman" w:hAnsi="Times New Roman" w:cs="Times New Roman"/>
                <w:sz w:val="24"/>
                <w:szCs w:val="24"/>
                <w:lang w:val="el-GR"/>
              </w:rPr>
              <w:t>(10</w:t>
            </w:r>
            <w:r>
              <w:rPr>
                <w:rFonts w:ascii="Times New Roman" w:hAnsi="Times New Roman" w:cs="Times New Roman"/>
                <w:sz w:val="24"/>
                <w:szCs w:val="24"/>
                <w:vertAlign w:val="superscript"/>
                <w:lang w:val="el-GR"/>
              </w:rPr>
              <w:t>−2</w:t>
            </w:r>
            <w:r>
              <w:rPr>
                <w:rFonts w:ascii="Times New Roman" w:hAnsi="Times New Roman" w:cs="Times New Roman"/>
                <w:sz w:val="24"/>
                <w:szCs w:val="24"/>
                <w:lang w:val="el-GR"/>
              </w:rPr>
              <w:t xml:space="preserve"> </w:t>
            </w:r>
            <w:r>
              <w:rPr>
                <w:rFonts w:ascii="Times New Roman" w:hAnsi="Times New Roman" w:cs="Times New Roman"/>
                <w:sz w:val="24"/>
                <w:szCs w:val="24"/>
              </w:rPr>
              <w:t>Å</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255"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58CA5F65"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lang w:val="el-GR"/>
              </w:rPr>
              <w:t>Δ</w:t>
            </w:r>
            <w:r>
              <w:rPr>
                <w:rFonts w:ascii="Times New Roman" w:hAnsi="Times New Roman" w:cs="Times New Roman"/>
                <w:sz w:val="24"/>
                <w:szCs w:val="24"/>
              </w:rPr>
              <w:t>E</w:t>
            </w:r>
            <w:r>
              <w:rPr>
                <w:rFonts w:ascii="Times New Roman" w:hAnsi="Times New Roman" w:cs="Times New Roman"/>
                <w:sz w:val="24"/>
                <w:szCs w:val="24"/>
                <w:vertAlign w:val="subscript"/>
              </w:rPr>
              <w:t>0</w:t>
            </w:r>
            <w:r>
              <w:rPr>
                <w:rFonts w:ascii="Times New Roman" w:hAnsi="Times New Roman" w:cs="Times New Roman"/>
                <w:sz w:val="24"/>
                <w:szCs w:val="24"/>
              </w:rPr>
              <w:t xml:space="preserve"> (eV)</w:t>
            </w:r>
          </w:p>
        </w:tc>
        <w:tc>
          <w:tcPr>
            <w:tcW w:w="1475"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66BA9389"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r-factor</w:t>
            </w:r>
          </w:p>
        </w:tc>
      </w:tr>
      <w:tr w:rsidR="001646ED" w14:paraId="15578BE9" w14:textId="77777777" w:rsidTr="00143F72">
        <w:trPr>
          <w:trHeight w:val="337"/>
        </w:trPr>
        <w:tc>
          <w:tcPr>
            <w:tcW w:w="1506" w:type="dxa"/>
            <w:tcBorders>
              <w:top w:val="single" w:sz="8" w:space="0" w:color="000000"/>
              <w:left w:val="nil"/>
              <w:bottom w:val="nil"/>
              <w:right w:val="nil"/>
            </w:tcBorders>
            <w:shd w:val="clear" w:color="auto" w:fill="FFFFFF"/>
            <w:tcMar>
              <w:top w:w="15" w:type="dxa"/>
              <w:left w:w="137" w:type="dxa"/>
              <w:bottom w:w="0" w:type="dxa"/>
              <w:right w:w="137" w:type="dxa"/>
            </w:tcMar>
          </w:tcPr>
          <w:p w14:paraId="00528777"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Mn-N/O</w:t>
            </w:r>
          </w:p>
        </w:tc>
        <w:tc>
          <w:tcPr>
            <w:tcW w:w="1098" w:type="dxa"/>
            <w:tcBorders>
              <w:top w:val="single" w:sz="8" w:space="0" w:color="000000"/>
              <w:left w:val="nil"/>
              <w:bottom w:val="nil"/>
              <w:right w:val="nil"/>
            </w:tcBorders>
            <w:shd w:val="clear" w:color="auto" w:fill="FFFFFF"/>
            <w:tcMar>
              <w:top w:w="15" w:type="dxa"/>
              <w:left w:w="137" w:type="dxa"/>
              <w:bottom w:w="0" w:type="dxa"/>
              <w:right w:w="137" w:type="dxa"/>
            </w:tcMar>
          </w:tcPr>
          <w:p w14:paraId="79239F64"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3.18</w:t>
            </w:r>
          </w:p>
        </w:tc>
        <w:tc>
          <w:tcPr>
            <w:tcW w:w="1114" w:type="dxa"/>
            <w:tcBorders>
              <w:top w:val="single" w:sz="8" w:space="0" w:color="000000"/>
              <w:left w:val="nil"/>
              <w:bottom w:val="nil"/>
              <w:right w:val="nil"/>
            </w:tcBorders>
            <w:shd w:val="clear" w:color="auto" w:fill="FFFFFF"/>
            <w:tcMar>
              <w:top w:w="15" w:type="dxa"/>
              <w:left w:w="137" w:type="dxa"/>
              <w:bottom w:w="0" w:type="dxa"/>
              <w:right w:w="137" w:type="dxa"/>
            </w:tcMar>
          </w:tcPr>
          <w:p w14:paraId="66A6C440"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1.94</w:t>
            </w:r>
          </w:p>
        </w:tc>
        <w:tc>
          <w:tcPr>
            <w:tcW w:w="1852" w:type="dxa"/>
            <w:tcBorders>
              <w:top w:val="single" w:sz="8" w:space="0" w:color="000000"/>
              <w:left w:val="nil"/>
              <w:bottom w:val="nil"/>
              <w:right w:val="nil"/>
            </w:tcBorders>
            <w:shd w:val="clear" w:color="auto" w:fill="FFFFFF"/>
            <w:tcMar>
              <w:top w:w="15" w:type="dxa"/>
              <w:left w:w="137" w:type="dxa"/>
              <w:bottom w:w="0" w:type="dxa"/>
              <w:right w:w="137" w:type="dxa"/>
            </w:tcMar>
          </w:tcPr>
          <w:p w14:paraId="26C3BC52"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0.48</w:t>
            </w:r>
          </w:p>
        </w:tc>
        <w:tc>
          <w:tcPr>
            <w:tcW w:w="1255" w:type="dxa"/>
            <w:vMerge w:val="restart"/>
            <w:tcBorders>
              <w:top w:val="single" w:sz="8" w:space="0" w:color="000000"/>
              <w:left w:val="nil"/>
              <w:right w:val="nil"/>
            </w:tcBorders>
            <w:shd w:val="clear" w:color="auto" w:fill="FFFFFF"/>
            <w:tcMar>
              <w:top w:w="15" w:type="dxa"/>
              <w:left w:w="137" w:type="dxa"/>
              <w:bottom w:w="0" w:type="dxa"/>
              <w:right w:w="137" w:type="dxa"/>
            </w:tcMar>
            <w:vAlign w:val="center"/>
          </w:tcPr>
          <w:p w14:paraId="3E1C4CF0" w14:textId="3AC179AD" w:rsidR="001646ED" w:rsidRDefault="001646ED" w:rsidP="001646ED">
            <w:pPr>
              <w:jc w:val="center"/>
              <w:rPr>
                <w:rFonts w:ascii="Times New Roman" w:hAnsi="Times New Roman" w:cs="Times New Roman"/>
                <w:sz w:val="24"/>
                <w:szCs w:val="24"/>
              </w:rPr>
            </w:pPr>
            <w:r>
              <w:rPr>
                <w:rFonts w:ascii="Times New Roman" w:hAnsi="Times New Roman" w:cs="Times New Roman"/>
                <w:sz w:val="24"/>
                <w:szCs w:val="24"/>
              </w:rPr>
              <w:t>0.0052</w:t>
            </w:r>
          </w:p>
        </w:tc>
        <w:tc>
          <w:tcPr>
            <w:tcW w:w="1475" w:type="dxa"/>
            <w:vMerge w:val="restart"/>
            <w:tcBorders>
              <w:top w:val="single" w:sz="8" w:space="0" w:color="000000"/>
              <w:left w:val="nil"/>
              <w:right w:val="nil"/>
            </w:tcBorders>
            <w:shd w:val="clear" w:color="auto" w:fill="FFFFFF"/>
            <w:tcMar>
              <w:top w:w="15" w:type="dxa"/>
              <w:left w:w="137" w:type="dxa"/>
              <w:bottom w:w="0" w:type="dxa"/>
              <w:right w:w="137" w:type="dxa"/>
            </w:tcMar>
            <w:vAlign w:val="center"/>
          </w:tcPr>
          <w:p w14:paraId="5EC06109" w14:textId="77777777" w:rsidR="001646ED" w:rsidRDefault="001646ED" w:rsidP="001646ED">
            <w:pPr>
              <w:jc w:val="center"/>
              <w:rPr>
                <w:rFonts w:ascii="Times New Roman" w:hAnsi="Times New Roman" w:cs="Times New Roman"/>
                <w:sz w:val="24"/>
                <w:szCs w:val="24"/>
              </w:rPr>
            </w:pPr>
            <w:r>
              <w:rPr>
                <w:rFonts w:ascii="Times New Roman" w:hAnsi="Times New Roman" w:cs="Times New Roman"/>
                <w:sz w:val="24"/>
                <w:szCs w:val="24"/>
              </w:rPr>
              <w:t>0.04926</w:t>
            </w:r>
          </w:p>
        </w:tc>
      </w:tr>
      <w:tr w:rsidR="001646ED" w14:paraId="676C9E2C" w14:textId="77777777" w:rsidTr="003340E2">
        <w:trPr>
          <w:trHeight w:val="337"/>
        </w:trPr>
        <w:tc>
          <w:tcPr>
            <w:tcW w:w="1506" w:type="dxa"/>
            <w:tcBorders>
              <w:top w:val="nil"/>
              <w:left w:val="nil"/>
              <w:right w:val="nil"/>
            </w:tcBorders>
            <w:shd w:val="clear" w:color="auto" w:fill="FFFFFF"/>
            <w:tcMar>
              <w:top w:w="15" w:type="dxa"/>
              <w:left w:w="137" w:type="dxa"/>
              <w:bottom w:w="0" w:type="dxa"/>
              <w:right w:w="137" w:type="dxa"/>
            </w:tcMar>
          </w:tcPr>
          <w:p w14:paraId="5A9F23DD"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Mn-C</w:t>
            </w:r>
          </w:p>
        </w:tc>
        <w:tc>
          <w:tcPr>
            <w:tcW w:w="1098" w:type="dxa"/>
            <w:tcBorders>
              <w:top w:val="nil"/>
              <w:left w:val="nil"/>
              <w:right w:val="nil"/>
            </w:tcBorders>
            <w:shd w:val="clear" w:color="auto" w:fill="FFFFFF"/>
            <w:tcMar>
              <w:top w:w="15" w:type="dxa"/>
              <w:left w:w="137" w:type="dxa"/>
              <w:bottom w:w="0" w:type="dxa"/>
              <w:right w:w="137" w:type="dxa"/>
            </w:tcMar>
          </w:tcPr>
          <w:p w14:paraId="262FB44C"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7.26</w:t>
            </w:r>
          </w:p>
        </w:tc>
        <w:tc>
          <w:tcPr>
            <w:tcW w:w="1114" w:type="dxa"/>
            <w:tcBorders>
              <w:top w:val="nil"/>
              <w:left w:val="nil"/>
              <w:right w:val="nil"/>
            </w:tcBorders>
            <w:shd w:val="clear" w:color="auto" w:fill="FFFFFF"/>
            <w:tcMar>
              <w:top w:w="15" w:type="dxa"/>
              <w:left w:w="137" w:type="dxa"/>
              <w:bottom w:w="0" w:type="dxa"/>
              <w:right w:w="137" w:type="dxa"/>
            </w:tcMar>
          </w:tcPr>
          <w:p w14:paraId="0F248760"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2.98</w:t>
            </w:r>
          </w:p>
        </w:tc>
        <w:tc>
          <w:tcPr>
            <w:tcW w:w="1852" w:type="dxa"/>
            <w:tcBorders>
              <w:top w:val="nil"/>
              <w:left w:val="nil"/>
              <w:right w:val="nil"/>
            </w:tcBorders>
            <w:shd w:val="clear" w:color="auto" w:fill="FFFFFF"/>
            <w:tcMar>
              <w:top w:w="15" w:type="dxa"/>
              <w:left w:w="137" w:type="dxa"/>
              <w:bottom w:w="0" w:type="dxa"/>
              <w:right w:w="137" w:type="dxa"/>
            </w:tcMar>
          </w:tcPr>
          <w:p w14:paraId="076A3775"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0.44</w:t>
            </w:r>
          </w:p>
        </w:tc>
        <w:tc>
          <w:tcPr>
            <w:tcW w:w="1255" w:type="dxa"/>
            <w:vMerge/>
            <w:tcBorders>
              <w:left w:val="nil"/>
              <w:right w:val="nil"/>
            </w:tcBorders>
            <w:shd w:val="clear" w:color="auto" w:fill="FFFFFF"/>
            <w:tcMar>
              <w:top w:w="15" w:type="dxa"/>
              <w:left w:w="137" w:type="dxa"/>
              <w:bottom w:w="0" w:type="dxa"/>
              <w:right w:w="137" w:type="dxa"/>
            </w:tcMar>
          </w:tcPr>
          <w:p w14:paraId="10DE4538" w14:textId="20580E08" w:rsidR="001646ED" w:rsidRDefault="001646ED" w:rsidP="005E6BFA">
            <w:pPr>
              <w:jc w:val="center"/>
              <w:rPr>
                <w:rFonts w:ascii="Times New Roman" w:hAnsi="Times New Roman" w:cs="Times New Roman"/>
                <w:sz w:val="24"/>
                <w:szCs w:val="24"/>
              </w:rPr>
            </w:pPr>
          </w:p>
        </w:tc>
        <w:tc>
          <w:tcPr>
            <w:tcW w:w="1475" w:type="dxa"/>
            <w:vMerge/>
            <w:tcBorders>
              <w:left w:val="nil"/>
              <w:right w:val="nil"/>
            </w:tcBorders>
            <w:shd w:val="clear" w:color="auto" w:fill="FFFFFF"/>
            <w:tcMar>
              <w:top w:w="15" w:type="dxa"/>
              <w:left w:w="137" w:type="dxa"/>
              <w:bottom w:w="0" w:type="dxa"/>
              <w:right w:w="137" w:type="dxa"/>
            </w:tcMar>
          </w:tcPr>
          <w:p w14:paraId="3A123449" w14:textId="77777777" w:rsidR="001646ED" w:rsidRDefault="001646ED">
            <w:pPr>
              <w:jc w:val="center"/>
              <w:rPr>
                <w:rFonts w:ascii="Times New Roman" w:hAnsi="Times New Roman" w:cs="Times New Roman"/>
                <w:sz w:val="24"/>
                <w:szCs w:val="24"/>
              </w:rPr>
            </w:pPr>
          </w:p>
        </w:tc>
      </w:tr>
      <w:tr w:rsidR="001646ED" w14:paraId="7626C3C6" w14:textId="77777777" w:rsidTr="003340E2">
        <w:trPr>
          <w:trHeight w:val="337"/>
        </w:trPr>
        <w:tc>
          <w:tcPr>
            <w:tcW w:w="1506" w:type="dxa"/>
            <w:tcBorders>
              <w:top w:val="nil"/>
              <w:left w:val="nil"/>
              <w:bottom w:val="single" w:sz="8" w:space="0" w:color="auto"/>
              <w:right w:val="nil"/>
            </w:tcBorders>
            <w:shd w:val="clear" w:color="auto" w:fill="FFFFFF"/>
            <w:tcMar>
              <w:top w:w="15" w:type="dxa"/>
              <w:left w:w="137" w:type="dxa"/>
              <w:bottom w:w="0" w:type="dxa"/>
              <w:right w:w="137" w:type="dxa"/>
            </w:tcMar>
          </w:tcPr>
          <w:p w14:paraId="4CFCED07"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Mn-N/O-C</w:t>
            </w:r>
          </w:p>
        </w:tc>
        <w:tc>
          <w:tcPr>
            <w:tcW w:w="1098" w:type="dxa"/>
            <w:tcBorders>
              <w:top w:val="nil"/>
              <w:left w:val="nil"/>
              <w:bottom w:val="single" w:sz="8" w:space="0" w:color="auto"/>
              <w:right w:val="nil"/>
            </w:tcBorders>
            <w:shd w:val="clear" w:color="auto" w:fill="FFFFFF"/>
            <w:tcMar>
              <w:top w:w="15" w:type="dxa"/>
              <w:left w:w="137" w:type="dxa"/>
              <w:bottom w:w="0" w:type="dxa"/>
              <w:right w:w="137" w:type="dxa"/>
            </w:tcMar>
          </w:tcPr>
          <w:p w14:paraId="1E1E06BA"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11.21</w:t>
            </w:r>
          </w:p>
        </w:tc>
        <w:tc>
          <w:tcPr>
            <w:tcW w:w="1114" w:type="dxa"/>
            <w:tcBorders>
              <w:top w:val="nil"/>
              <w:left w:val="nil"/>
              <w:bottom w:val="single" w:sz="8" w:space="0" w:color="auto"/>
              <w:right w:val="nil"/>
            </w:tcBorders>
            <w:shd w:val="clear" w:color="auto" w:fill="FFFFFF"/>
            <w:tcMar>
              <w:top w:w="15" w:type="dxa"/>
              <w:left w:w="137" w:type="dxa"/>
              <w:bottom w:w="0" w:type="dxa"/>
              <w:right w:w="137" w:type="dxa"/>
            </w:tcMar>
          </w:tcPr>
          <w:p w14:paraId="00F4D79B"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3.16</w:t>
            </w:r>
          </w:p>
        </w:tc>
        <w:tc>
          <w:tcPr>
            <w:tcW w:w="1852" w:type="dxa"/>
            <w:tcBorders>
              <w:top w:val="nil"/>
              <w:left w:val="nil"/>
              <w:bottom w:val="single" w:sz="8" w:space="0" w:color="auto"/>
              <w:right w:val="nil"/>
            </w:tcBorders>
            <w:shd w:val="clear" w:color="auto" w:fill="FFFFFF"/>
            <w:tcMar>
              <w:top w:w="15" w:type="dxa"/>
              <w:left w:w="137" w:type="dxa"/>
              <w:bottom w:w="0" w:type="dxa"/>
              <w:right w:w="137" w:type="dxa"/>
            </w:tcMar>
          </w:tcPr>
          <w:p w14:paraId="4BFFF41B"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1.01</w:t>
            </w:r>
          </w:p>
        </w:tc>
        <w:tc>
          <w:tcPr>
            <w:tcW w:w="1255" w:type="dxa"/>
            <w:vMerge/>
            <w:tcBorders>
              <w:left w:val="nil"/>
              <w:bottom w:val="single" w:sz="8" w:space="0" w:color="auto"/>
              <w:right w:val="nil"/>
            </w:tcBorders>
            <w:shd w:val="clear" w:color="auto" w:fill="FFFFFF"/>
            <w:tcMar>
              <w:top w:w="15" w:type="dxa"/>
              <w:left w:w="137" w:type="dxa"/>
              <w:bottom w:w="0" w:type="dxa"/>
              <w:right w:w="137" w:type="dxa"/>
            </w:tcMar>
          </w:tcPr>
          <w:p w14:paraId="35447C63" w14:textId="53D64CD2" w:rsidR="001646ED" w:rsidRDefault="001646ED">
            <w:pPr>
              <w:jc w:val="center"/>
              <w:rPr>
                <w:rFonts w:ascii="Times New Roman" w:hAnsi="Times New Roman" w:cs="Times New Roman"/>
                <w:sz w:val="24"/>
                <w:szCs w:val="24"/>
              </w:rPr>
            </w:pPr>
          </w:p>
        </w:tc>
        <w:tc>
          <w:tcPr>
            <w:tcW w:w="1475" w:type="dxa"/>
            <w:vMerge/>
            <w:tcBorders>
              <w:left w:val="nil"/>
              <w:bottom w:val="single" w:sz="8" w:space="0" w:color="auto"/>
              <w:right w:val="nil"/>
            </w:tcBorders>
            <w:shd w:val="clear" w:color="auto" w:fill="FFFFFF"/>
            <w:tcMar>
              <w:top w:w="15" w:type="dxa"/>
              <w:left w:w="137" w:type="dxa"/>
              <w:bottom w:w="0" w:type="dxa"/>
              <w:right w:w="137" w:type="dxa"/>
            </w:tcMar>
          </w:tcPr>
          <w:p w14:paraId="1F64B955" w14:textId="77777777" w:rsidR="001646ED" w:rsidRDefault="001646ED">
            <w:pPr>
              <w:jc w:val="center"/>
              <w:rPr>
                <w:rFonts w:ascii="Times New Roman" w:hAnsi="Times New Roman" w:cs="Times New Roman"/>
                <w:sz w:val="24"/>
                <w:szCs w:val="24"/>
              </w:rPr>
            </w:pPr>
          </w:p>
        </w:tc>
      </w:tr>
    </w:tbl>
    <w:p w14:paraId="48317139" w14:textId="77777777" w:rsidR="001727E1" w:rsidRDefault="001727E1">
      <w:pPr>
        <w:jc w:val="center"/>
        <w:rPr>
          <w:rFonts w:ascii="Times New Roman" w:hAnsi="Times New Roman" w:cs="Times New Roman"/>
          <w:sz w:val="24"/>
          <w:szCs w:val="24"/>
        </w:rPr>
      </w:pPr>
    </w:p>
    <w:p w14:paraId="78D385AB" w14:textId="77777777" w:rsidR="008B6199" w:rsidRDefault="008B6199">
      <w:pPr>
        <w:jc w:val="center"/>
        <w:rPr>
          <w:rFonts w:ascii="Times New Roman" w:hAnsi="Times New Roman" w:cs="Times New Roman"/>
          <w:sz w:val="24"/>
          <w:szCs w:val="24"/>
        </w:rPr>
      </w:pPr>
    </w:p>
    <w:p w14:paraId="2BD17FEF" w14:textId="77777777" w:rsidR="001727E1" w:rsidRDefault="001727E1" w:rsidP="00153990">
      <w:pPr>
        <w:spacing w:line="360" w:lineRule="auto"/>
        <w:rPr>
          <w:rFonts w:ascii="Times New Roman" w:hAnsi="Times New Roman" w:cs="Times New Roman"/>
          <w:sz w:val="24"/>
          <w:szCs w:val="24"/>
        </w:rPr>
      </w:pPr>
      <w:r>
        <w:rPr>
          <w:rFonts w:ascii="Times New Roman" w:hAnsi="Times New Roman" w:cs="Times New Roman"/>
          <w:b/>
          <w:bCs/>
          <w:sz w:val="24"/>
          <w:szCs w:val="24"/>
        </w:rPr>
        <w:t>Table. S</w:t>
      </w:r>
      <w:r>
        <w:rPr>
          <w:rFonts w:ascii="Times New Roman" w:hAnsi="Times New Roman" w:cs="Times New Roman" w:hint="eastAsia"/>
          <w:b/>
          <w:bCs/>
          <w:sz w:val="24"/>
          <w:szCs w:val="24"/>
        </w:rPr>
        <w:t>4</w:t>
      </w:r>
      <w:r>
        <w:rPr>
          <w:rFonts w:ascii="Times New Roman" w:hAnsi="Times New Roman" w:cs="Times New Roman" w:hint="eastAsia"/>
          <w:sz w:val="24"/>
          <w:szCs w:val="24"/>
        </w:rPr>
        <w:t xml:space="preserve"> Fitting parameters of Mg K-edge EXAFS spectra of MgMn@CDs.</w:t>
      </w:r>
    </w:p>
    <w:tbl>
      <w:tblPr>
        <w:tblW w:w="8322" w:type="dxa"/>
        <w:tblCellMar>
          <w:left w:w="0" w:type="dxa"/>
          <w:right w:w="0" w:type="dxa"/>
        </w:tblCellMar>
        <w:tblLook w:val="04A0" w:firstRow="1" w:lastRow="0" w:firstColumn="1" w:lastColumn="0" w:noHBand="0" w:noVBand="1"/>
      </w:tblPr>
      <w:tblGrid>
        <w:gridCol w:w="1471"/>
        <w:gridCol w:w="1114"/>
        <w:gridCol w:w="1114"/>
        <w:gridCol w:w="1675"/>
        <w:gridCol w:w="1354"/>
        <w:gridCol w:w="1594"/>
      </w:tblGrid>
      <w:tr w:rsidR="001646ED" w14:paraId="0030CD05" w14:textId="77777777" w:rsidTr="001646ED">
        <w:trPr>
          <w:trHeight w:val="344"/>
        </w:trPr>
        <w:tc>
          <w:tcPr>
            <w:tcW w:w="1471"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1F25C0B4"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Shell</w:t>
            </w:r>
          </w:p>
        </w:tc>
        <w:tc>
          <w:tcPr>
            <w:tcW w:w="1114"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065E7ACF"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N</w:t>
            </w:r>
          </w:p>
        </w:tc>
        <w:tc>
          <w:tcPr>
            <w:tcW w:w="1114"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7199FA43"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R (Å)</w:t>
            </w:r>
          </w:p>
        </w:tc>
        <w:tc>
          <w:tcPr>
            <w:tcW w:w="1675"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3B22DCD8"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lang w:val="el-GR"/>
              </w:rPr>
              <w:t>σ</w:t>
            </w:r>
            <w:r>
              <w:rPr>
                <w:rFonts w:ascii="Times New Roman" w:hAnsi="Times New Roman" w:cs="Times New Roman"/>
                <w:sz w:val="24"/>
                <w:szCs w:val="24"/>
                <w:vertAlign w:val="superscript"/>
                <w:lang w:val="el-GR"/>
              </w:rPr>
              <w:t>2</w:t>
            </w:r>
            <w:r>
              <w:rPr>
                <w:rFonts w:ascii="Times New Roman" w:hAnsi="Times New Roman" w:cs="Times New Roman"/>
                <w:sz w:val="24"/>
                <w:szCs w:val="24"/>
                <w:lang w:val="el-GR"/>
              </w:rPr>
              <w:t xml:space="preserve"> (10</w:t>
            </w:r>
            <w:r>
              <w:rPr>
                <w:rFonts w:ascii="Times New Roman" w:hAnsi="Times New Roman" w:cs="Times New Roman"/>
                <w:sz w:val="24"/>
                <w:szCs w:val="24"/>
                <w:vertAlign w:val="superscript"/>
                <w:lang w:val="el-GR"/>
              </w:rPr>
              <w:t>−2</w:t>
            </w:r>
            <w:r>
              <w:rPr>
                <w:rFonts w:ascii="Times New Roman" w:hAnsi="Times New Roman" w:cs="Times New Roman"/>
                <w:sz w:val="24"/>
                <w:szCs w:val="24"/>
                <w:lang w:val="el-GR"/>
              </w:rPr>
              <w:t xml:space="preserve"> </w:t>
            </w:r>
            <w:r>
              <w:rPr>
                <w:rFonts w:ascii="Times New Roman" w:hAnsi="Times New Roman" w:cs="Times New Roman"/>
                <w:sz w:val="24"/>
                <w:szCs w:val="24"/>
              </w:rPr>
              <w:t>Å</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1354"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437F11BA"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lang w:val="el-GR"/>
              </w:rPr>
              <w:t>Δ</w:t>
            </w:r>
            <w:r>
              <w:rPr>
                <w:rFonts w:ascii="Times New Roman" w:hAnsi="Times New Roman" w:cs="Times New Roman"/>
                <w:sz w:val="24"/>
                <w:szCs w:val="24"/>
              </w:rPr>
              <w:t>E</w:t>
            </w:r>
            <w:r>
              <w:rPr>
                <w:rFonts w:ascii="Times New Roman" w:hAnsi="Times New Roman" w:cs="Times New Roman"/>
                <w:sz w:val="24"/>
                <w:szCs w:val="24"/>
                <w:vertAlign w:val="subscript"/>
              </w:rPr>
              <w:t>0</w:t>
            </w:r>
            <w:r>
              <w:rPr>
                <w:rFonts w:ascii="Times New Roman" w:hAnsi="Times New Roman" w:cs="Times New Roman"/>
                <w:sz w:val="24"/>
                <w:szCs w:val="24"/>
              </w:rPr>
              <w:t xml:space="preserve"> (eV)</w:t>
            </w:r>
          </w:p>
        </w:tc>
        <w:tc>
          <w:tcPr>
            <w:tcW w:w="1594" w:type="dxa"/>
            <w:tcBorders>
              <w:top w:val="single" w:sz="8" w:space="0" w:color="000000"/>
              <w:left w:val="nil"/>
              <w:bottom w:val="single" w:sz="8" w:space="0" w:color="000000"/>
              <w:right w:val="nil"/>
            </w:tcBorders>
            <w:shd w:val="clear" w:color="auto" w:fill="FFFFFF"/>
            <w:tcMar>
              <w:top w:w="15" w:type="dxa"/>
              <w:left w:w="137" w:type="dxa"/>
              <w:bottom w:w="0" w:type="dxa"/>
              <w:right w:w="137" w:type="dxa"/>
            </w:tcMar>
          </w:tcPr>
          <w:p w14:paraId="7CD7DC71" w14:textId="77777777" w:rsidR="001727E1" w:rsidRDefault="001727E1">
            <w:pPr>
              <w:jc w:val="center"/>
              <w:rPr>
                <w:rFonts w:ascii="Times New Roman" w:hAnsi="Times New Roman" w:cs="Times New Roman"/>
                <w:sz w:val="24"/>
                <w:szCs w:val="24"/>
              </w:rPr>
            </w:pPr>
            <w:r>
              <w:rPr>
                <w:rFonts w:ascii="Times New Roman" w:hAnsi="Times New Roman" w:cs="Times New Roman"/>
                <w:sz w:val="24"/>
                <w:szCs w:val="24"/>
              </w:rPr>
              <w:t>r-factor</w:t>
            </w:r>
          </w:p>
        </w:tc>
      </w:tr>
      <w:tr w:rsidR="001646ED" w14:paraId="392F285A" w14:textId="77777777" w:rsidTr="00143F72">
        <w:trPr>
          <w:trHeight w:val="388"/>
        </w:trPr>
        <w:tc>
          <w:tcPr>
            <w:tcW w:w="1471" w:type="dxa"/>
            <w:tcBorders>
              <w:top w:val="single" w:sz="8" w:space="0" w:color="000000"/>
              <w:left w:val="nil"/>
              <w:bottom w:val="nil"/>
              <w:right w:val="nil"/>
            </w:tcBorders>
            <w:shd w:val="clear" w:color="auto" w:fill="FFFFFF"/>
            <w:tcMar>
              <w:top w:w="15" w:type="dxa"/>
              <w:left w:w="137" w:type="dxa"/>
              <w:bottom w:w="0" w:type="dxa"/>
              <w:right w:w="137" w:type="dxa"/>
            </w:tcMar>
          </w:tcPr>
          <w:p w14:paraId="6B35F6EE" w14:textId="77777777" w:rsidR="001646ED" w:rsidRDefault="001646ED">
            <w:pPr>
              <w:jc w:val="center"/>
              <w:rPr>
                <w:rFonts w:ascii="Times New Roman" w:hAnsi="Times New Roman" w:cs="Times New Roman"/>
                <w:sz w:val="24"/>
                <w:szCs w:val="24"/>
              </w:rPr>
            </w:pPr>
            <w:r>
              <w:rPr>
                <w:rFonts w:ascii="Times New Roman" w:hAnsi="Times New Roman" w:cs="Times New Roman"/>
                <w:sz w:val="24"/>
                <w:szCs w:val="24"/>
              </w:rPr>
              <w:t>Mg-N/O</w:t>
            </w:r>
          </w:p>
        </w:tc>
        <w:tc>
          <w:tcPr>
            <w:tcW w:w="1114" w:type="dxa"/>
            <w:tcBorders>
              <w:top w:val="single" w:sz="8" w:space="0" w:color="000000"/>
              <w:left w:val="nil"/>
              <w:bottom w:val="nil"/>
              <w:right w:val="nil"/>
            </w:tcBorders>
            <w:shd w:val="clear" w:color="auto" w:fill="FFFFFF"/>
            <w:tcMar>
              <w:top w:w="15" w:type="dxa"/>
              <w:left w:w="137" w:type="dxa"/>
              <w:bottom w:w="0" w:type="dxa"/>
              <w:right w:w="137" w:type="dxa"/>
            </w:tcMar>
          </w:tcPr>
          <w:p w14:paraId="104EF88F" w14:textId="2B65BF96"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3.62</w:t>
            </w:r>
          </w:p>
        </w:tc>
        <w:tc>
          <w:tcPr>
            <w:tcW w:w="1114" w:type="dxa"/>
            <w:tcBorders>
              <w:top w:val="single" w:sz="8" w:space="0" w:color="000000"/>
              <w:left w:val="nil"/>
              <w:bottom w:val="nil"/>
              <w:right w:val="nil"/>
            </w:tcBorders>
            <w:shd w:val="clear" w:color="auto" w:fill="FFFFFF"/>
            <w:tcMar>
              <w:top w:w="15" w:type="dxa"/>
              <w:left w:w="137" w:type="dxa"/>
              <w:bottom w:w="0" w:type="dxa"/>
              <w:right w:w="137" w:type="dxa"/>
            </w:tcMar>
          </w:tcPr>
          <w:p w14:paraId="40A23D9F" w14:textId="797399E2"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2.17</w:t>
            </w:r>
          </w:p>
        </w:tc>
        <w:tc>
          <w:tcPr>
            <w:tcW w:w="1675" w:type="dxa"/>
            <w:tcBorders>
              <w:top w:val="single" w:sz="8" w:space="0" w:color="000000"/>
              <w:left w:val="nil"/>
              <w:bottom w:val="nil"/>
              <w:right w:val="nil"/>
            </w:tcBorders>
            <w:shd w:val="clear" w:color="auto" w:fill="FFFFFF"/>
            <w:tcMar>
              <w:top w:w="15" w:type="dxa"/>
              <w:left w:w="137" w:type="dxa"/>
              <w:bottom w:w="0" w:type="dxa"/>
              <w:right w:w="137" w:type="dxa"/>
            </w:tcMar>
          </w:tcPr>
          <w:p w14:paraId="2B22D507" w14:textId="62E35C60"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0.32</w:t>
            </w:r>
          </w:p>
        </w:tc>
        <w:tc>
          <w:tcPr>
            <w:tcW w:w="1354" w:type="dxa"/>
            <w:vMerge w:val="restart"/>
            <w:tcBorders>
              <w:top w:val="single" w:sz="8" w:space="0" w:color="000000"/>
              <w:left w:val="nil"/>
              <w:right w:val="nil"/>
            </w:tcBorders>
            <w:shd w:val="clear" w:color="auto" w:fill="FFFFFF"/>
            <w:tcMar>
              <w:top w:w="15" w:type="dxa"/>
              <w:left w:w="137" w:type="dxa"/>
              <w:bottom w:w="0" w:type="dxa"/>
              <w:right w:w="137" w:type="dxa"/>
            </w:tcMar>
            <w:vAlign w:val="center"/>
          </w:tcPr>
          <w:p w14:paraId="72534655" w14:textId="1C03DA37" w:rsidR="001646ED" w:rsidRDefault="001646ED" w:rsidP="001646ED">
            <w:pPr>
              <w:jc w:val="center"/>
              <w:rPr>
                <w:rFonts w:ascii="Times New Roman" w:hAnsi="Times New Roman" w:cs="Times New Roman"/>
                <w:sz w:val="24"/>
                <w:szCs w:val="24"/>
              </w:rPr>
            </w:pPr>
            <w:r>
              <w:rPr>
                <w:rFonts w:ascii="Times New Roman" w:hAnsi="Times New Roman" w:cs="Times New Roman" w:hint="eastAsia"/>
                <w:sz w:val="24"/>
                <w:szCs w:val="24"/>
              </w:rPr>
              <w:t>3.208</w:t>
            </w:r>
          </w:p>
        </w:tc>
        <w:tc>
          <w:tcPr>
            <w:tcW w:w="1594" w:type="dxa"/>
            <w:vMerge w:val="restart"/>
            <w:tcBorders>
              <w:top w:val="single" w:sz="8" w:space="0" w:color="000000"/>
              <w:left w:val="nil"/>
              <w:right w:val="nil"/>
            </w:tcBorders>
            <w:shd w:val="clear" w:color="auto" w:fill="FFFFFF"/>
            <w:tcMar>
              <w:top w:w="15" w:type="dxa"/>
              <w:left w:w="137" w:type="dxa"/>
              <w:bottom w:w="0" w:type="dxa"/>
              <w:right w:w="137" w:type="dxa"/>
            </w:tcMar>
            <w:vAlign w:val="center"/>
          </w:tcPr>
          <w:p w14:paraId="7FBE0E15" w14:textId="5AD73E81" w:rsidR="001646ED" w:rsidRDefault="001646ED" w:rsidP="001646ED">
            <w:pPr>
              <w:jc w:val="center"/>
              <w:rPr>
                <w:rFonts w:ascii="Times New Roman" w:hAnsi="Times New Roman" w:cs="Times New Roman"/>
                <w:sz w:val="24"/>
                <w:szCs w:val="24"/>
              </w:rPr>
            </w:pPr>
            <w:r>
              <w:rPr>
                <w:rFonts w:ascii="Times New Roman" w:hAnsi="Times New Roman" w:cs="Times New Roman" w:hint="eastAsia"/>
                <w:sz w:val="24"/>
                <w:szCs w:val="24"/>
              </w:rPr>
              <w:t>0.0228</w:t>
            </w:r>
          </w:p>
        </w:tc>
      </w:tr>
      <w:tr w:rsidR="001646ED" w14:paraId="64F2D0E5" w14:textId="77777777" w:rsidTr="00D466EC">
        <w:trPr>
          <w:trHeight w:val="388"/>
        </w:trPr>
        <w:tc>
          <w:tcPr>
            <w:tcW w:w="1471" w:type="dxa"/>
            <w:tcBorders>
              <w:top w:val="nil"/>
              <w:left w:val="nil"/>
              <w:bottom w:val="nil"/>
              <w:right w:val="nil"/>
            </w:tcBorders>
            <w:shd w:val="clear" w:color="auto" w:fill="FFFFFF"/>
            <w:tcMar>
              <w:top w:w="15" w:type="dxa"/>
              <w:left w:w="137" w:type="dxa"/>
              <w:bottom w:w="0" w:type="dxa"/>
              <w:right w:w="137" w:type="dxa"/>
            </w:tcMar>
          </w:tcPr>
          <w:p w14:paraId="612BCDC0" w14:textId="0E85C27E" w:rsidR="001646ED" w:rsidRDefault="001646ED">
            <w:pPr>
              <w:jc w:val="center"/>
              <w:rPr>
                <w:rFonts w:ascii="Times New Roman" w:hAnsi="Times New Roman" w:cs="Times New Roman"/>
                <w:sz w:val="24"/>
                <w:szCs w:val="24"/>
              </w:rPr>
            </w:pPr>
            <w:r>
              <w:rPr>
                <w:rFonts w:ascii="Times New Roman" w:hAnsi="Times New Roman" w:cs="Times New Roman"/>
                <w:sz w:val="24"/>
                <w:szCs w:val="24"/>
              </w:rPr>
              <w:t>Mg-</w:t>
            </w:r>
            <w:r>
              <w:rPr>
                <w:rFonts w:ascii="Times New Roman" w:hAnsi="Times New Roman" w:cs="Times New Roman" w:hint="eastAsia"/>
                <w:sz w:val="24"/>
                <w:szCs w:val="24"/>
              </w:rPr>
              <w:t>C</w:t>
            </w:r>
          </w:p>
        </w:tc>
        <w:tc>
          <w:tcPr>
            <w:tcW w:w="1114" w:type="dxa"/>
            <w:tcBorders>
              <w:top w:val="nil"/>
              <w:left w:val="nil"/>
              <w:bottom w:val="nil"/>
              <w:right w:val="nil"/>
            </w:tcBorders>
            <w:shd w:val="clear" w:color="auto" w:fill="FFFFFF"/>
            <w:tcMar>
              <w:top w:w="15" w:type="dxa"/>
              <w:left w:w="137" w:type="dxa"/>
              <w:bottom w:w="0" w:type="dxa"/>
              <w:right w:w="137" w:type="dxa"/>
            </w:tcMar>
          </w:tcPr>
          <w:p w14:paraId="68811C69" w14:textId="3C831744"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2.41</w:t>
            </w:r>
          </w:p>
        </w:tc>
        <w:tc>
          <w:tcPr>
            <w:tcW w:w="1114" w:type="dxa"/>
            <w:tcBorders>
              <w:top w:val="nil"/>
              <w:left w:val="nil"/>
              <w:bottom w:val="nil"/>
              <w:right w:val="nil"/>
            </w:tcBorders>
            <w:shd w:val="clear" w:color="auto" w:fill="FFFFFF"/>
            <w:tcMar>
              <w:top w:w="15" w:type="dxa"/>
              <w:left w:w="137" w:type="dxa"/>
              <w:bottom w:w="0" w:type="dxa"/>
              <w:right w:w="137" w:type="dxa"/>
            </w:tcMar>
          </w:tcPr>
          <w:p w14:paraId="3C2BC3EF" w14:textId="0C206E16"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2.96</w:t>
            </w:r>
          </w:p>
        </w:tc>
        <w:tc>
          <w:tcPr>
            <w:tcW w:w="1675" w:type="dxa"/>
            <w:tcBorders>
              <w:top w:val="nil"/>
              <w:left w:val="nil"/>
              <w:bottom w:val="nil"/>
              <w:right w:val="nil"/>
            </w:tcBorders>
            <w:shd w:val="clear" w:color="auto" w:fill="FFFFFF"/>
            <w:tcMar>
              <w:top w:w="15" w:type="dxa"/>
              <w:left w:w="137" w:type="dxa"/>
              <w:bottom w:w="0" w:type="dxa"/>
              <w:right w:w="137" w:type="dxa"/>
            </w:tcMar>
          </w:tcPr>
          <w:p w14:paraId="76086EDA" w14:textId="532C086D"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1.13</w:t>
            </w:r>
          </w:p>
        </w:tc>
        <w:tc>
          <w:tcPr>
            <w:tcW w:w="1354" w:type="dxa"/>
            <w:vMerge/>
            <w:tcBorders>
              <w:left w:val="nil"/>
              <w:right w:val="nil"/>
            </w:tcBorders>
            <w:shd w:val="clear" w:color="auto" w:fill="FFFFFF"/>
            <w:tcMar>
              <w:top w:w="15" w:type="dxa"/>
              <w:left w:w="137" w:type="dxa"/>
              <w:bottom w:w="0" w:type="dxa"/>
              <w:right w:w="137" w:type="dxa"/>
            </w:tcMar>
          </w:tcPr>
          <w:p w14:paraId="3C91A8E4" w14:textId="24D22E83" w:rsidR="001646ED" w:rsidRDefault="001646ED" w:rsidP="00161C49">
            <w:pPr>
              <w:jc w:val="center"/>
              <w:rPr>
                <w:rFonts w:ascii="Times New Roman" w:hAnsi="Times New Roman" w:cs="Times New Roman"/>
                <w:sz w:val="24"/>
                <w:szCs w:val="24"/>
              </w:rPr>
            </w:pPr>
          </w:p>
        </w:tc>
        <w:tc>
          <w:tcPr>
            <w:tcW w:w="1594" w:type="dxa"/>
            <w:vMerge/>
            <w:tcBorders>
              <w:left w:val="nil"/>
              <w:right w:val="nil"/>
            </w:tcBorders>
            <w:shd w:val="clear" w:color="auto" w:fill="FFFFFF"/>
            <w:tcMar>
              <w:top w:w="15" w:type="dxa"/>
              <w:left w:w="137" w:type="dxa"/>
              <w:bottom w:w="0" w:type="dxa"/>
              <w:right w:w="137" w:type="dxa"/>
            </w:tcMar>
          </w:tcPr>
          <w:p w14:paraId="3B090ADF" w14:textId="77777777" w:rsidR="001646ED" w:rsidRDefault="001646ED">
            <w:pPr>
              <w:jc w:val="center"/>
              <w:rPr>
                <w:rFonts w:ascii="Times New Roman" w:hAnsi="Times New Roman" w:cs="Times New Roman"/>
                <w:sz w:val="24"/>
                <w:szCs w:val="24"/>
              </w:rPr>
            </w:pPr>
          </w:p>
        </w:tc>
      </w:tr>
      <w:tr w:rsidR="001646ED" w14:paraId="052978D3" w14:textId="77777777" w:rsidTr="00D466EC">
        <w:trPr>
          <w:trHeight w:val="300"/>
        </w:trPr>
        <w:tc>
          <w:tcPr>
            <w:tcW w:w="1471" w:type="dxa"/>
            <w:tcBorders>
              <w:top w:val="nil"/>
              <w:left w:val="nil"/>
              <w:bottom w:val="single" w:sz="8" w:space="0" w:color="000000"/>
              <w:right w:val="nil"/>
            </w:tcBorders>
            <w:shd w:val="clear" w:color="auto" w:fill="FFFFFF"/>
            <w:tcMar>
              <w:top w:w="15" w:type="dxa"/>
              <w:left w:w="137" w:type="dxa"/>
              <w:bottom w:w="0" w:type="dxa"/>
              <w:right w:w="137" w:type="dxa"/>
            </w:tcMar>
          </w:tcPr>
          <w:p w14:paraId="5244D0C2" w14:textId="5B4C0D8B" w:rsidR="001646ED" w:rsidRDefault="001646ED">
            <w:pPr>
              <w:jc w:val="center"/>
              <w:rPr>
                <w:rFonts w:ascii="Times New Roman" w:hAnsi="Times New Roman" w:cs="Times New Roman"/>
                <w:sz w:val="24"/>
                <w:szCs w:val="24"/>
              </w:rPr>
            </w:pPr>
            <w:r>
              <w:rPr>
                <w:rFonts w:ascii="Times New Roman" w:hAnsi="Times New Roman" w:cs="Times New Roman"/>
                <w:sz w:val="24"/>
                <w:szCs w:val="24"/>
              </w:rPr>
              <w:t>Mg-N-Mg</w:t>
            </w:r>
          </w:p>
        </w:tc>
        <w:tc>
          <w:tcPr>
            <w:tcW w:w="1114" w:type="dxa"/>
            <w:tcBorders>
              <w:top w:val="nil"/>
              <w:left w:val="nil"/>
              <w:bottom w:val="single" w:sz="8" w:space="0" w:color="000000"/>
              <w:right w:val="nil"/>
            </w:tcBorders>
            <w:shd w:val="clear" w:color="auto" w:fill="FFFFFF"/>
            <w:tcMar>
              <w:top w:w="15" w:type="dxa"/>
              <w:left w:w="137" w:type="dxa"/>
              <w:bottom w:w="0" w:type="dxa"/>
              <w:right w:w="137" w:type="dxa"/>
            </w:tcMar>
          </w:tcPr>
          <w:p w14:paraId="35098E13" w14:textId="0FB0866F"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6.86</w:t>
            </w:r>
          </w:p>
        </w:tc>
        <w:tc>
          <w:tcPr>
            <w:tcW w:w="1114" w:type="dxa"/>
            <w:tcBorders>
              <w:top w:val="nil"/>
              <w:left w:val="nil"/>
              <w:bottom w:val="single" w:sz="8" w:space="0" w:color="000000"/>
              <w:right w:val="nil"/>
            </w:tcBorders>
            <w:shd w:val="clear" w:color="auto" w:fill="FFFFFF"/>
            <w:tcMar>
              <w:top w:w="15" w:type="dxa"/>
              <w:left w:w="137" w:type="dxa"/>
              <w:bottom w:w="0" w:type="dxa"/>
              <w:right w:w="137" w:type="dxa"/>
            </w:tcMar>
          </w:tcPr>
          <w:p w14:paraId="4A9C4272" w14:textId="02220A3F"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3.64</w:t>
            </w:r>
          </w:p>
        </w:tc>
        <w:tc>
          <w:tcPr>
            <w:tcW w:w="1675" w:type="dxa"/>
            <w:tcBorders>
              <w:top w:val="nil"/>
              <w:left w:val="nil"/>
              <w:bottom w:val="single" w:sz="8" w:space="0" w:color="000000"/>
              <w:right w:val="nil"/>
            </w:tcBorders>
            <w:shd w:val="clear" w:color="auto" w:fill="FFFFFF"/>
            <w:tcMar>
              <w:top w:w="15" w:type="dxa"/>
              <w:left w:w="137" w:type="dxa"/>
              <w:bottom w:w="0" w:type="dxa"/>
              <w:right w:w="137" w:type="dxa"/>
            </w:tcMar>
          </w:tcPr>
          <w:p w14:paraId="67ADFD8E" w14:textId="6EEFD605" w:rsidR="001646ED" w:rsidRDefault="001646ED">
            <w:pPr>
              <w:jc w:val="center"/>
              <w:rPr>
                <w:rFonts w:ascii="Times New Roman" w:hAnsi="Times New Roman" w:cs="Times New Roman"/>
                <w:sz w:val="24"/>
                <w:szCs w:val="24"/>
              </w:rPr>
            </w:pPr>
            <w:r>
              <w:rPr>
                <w:rFonts w:ascii="Times New Roman" w:hAnsi="Times New Roman" w:cs="Times New Roman" w:hint="eastAsia"/>
                <w:sz w:val="24"/>
                <w:szCs w:val="24"/>
              </w:rPr>
              <w:t>0.52</w:t>
            </w:r>
          </w:p>
        </w:tc>
        <w:tc>
          <w:tcPr>
            <w:tcW w:w="1354" w:type="dxa"/>
            <w:vMerge/>
            <w:tcBorders>
              <w:left w:val="nil"/>
              <w:bottom w:val="single" w:sz="8" w:space="0" w:color="000000"/>
              <w:right w:val="nil"/>
            </w:tcBorders>
            <w:shd w:val="clear" w:color="auto" w:fill="FFFFFF"/>
            <w:tcMar>
              <w:top w:w="15" w:type="dxa"/>
              <w:left w:w="137" w:type="dxa"/>
              <w:bottom w:w="0" w:type="dxa"/>
              <w:right w:w="137" w:type="dxa"/>
            </w:tcMar>
          </w:tcPr>
          <w:p w14:paraId="18E5313E" w14:textId="37408B9B" w:rsidR="001646ED" w:rsidRDefault="001646ED">
            <w:pPr>
              <w:jc w:val="center"/>
              <w:rPr>
                <w:rFonts w:ascii="Times New Roman" w:hAnsi="Times New Roman" w:cs="Times New Roman"/>
                <w:sz w:val="24"/>
                <w:szCs w:val="24"/>
              </w:rPr>
            </w:pPr>
          </w:p>
        </w:tc>
        <w:tc>
          <w:tcPr>
            <w:tcW w:w="1594" w:type="dxa"/>
            <w:vMerge/>
            <w:tcBorders>
              <w:left w:val="nil"/>
              <w:bottom w:val="single" w:sz="8" w:space="0" w:color="000000"/>
              <w:right w:val="nil"/>
            </w:tcBorders>
            <w:shd w:val="clear" w:color="auto" w:fill="FFFFFF"/>
            <w:tcMar>
              <w:top w:w="15" w:type="dxa"/>
              <w:left w:w="137" w:type="dxa"/>
              <w:bottom w:w="0" w:type="dxa"/>
              <w:right w:w="137" w:type="dxa"/>
            </w:tcMar>
          </w:tcPr>
          <w:p w14:paraId="2B9EC648" w14:textId="77777777" w:rsidR="001646ED" w:rsidRDefault="001646ED">
            <w:pPr>
              <w:jc w:val="center"/>
              <w:rPr>
                <w:rFonts w:ascii="Times New Roman" w:hAnsi="Times New Roman" w:cs="Times New Roman"/>
                <w:sz w:val="24"/>
                <w:szCs w:val="24"/>
              </w:rPr>
            </w:pPr>
          </w:p>
        </w:tc>
      </w:tr>
    </w:tbl>
    <w:p w14:paraId="230CE0C4" w14:textId="5EBEC7B4" w:rsidR="001727E1" w:rsidRPr="003340E2" w:rsidRDefault="001727E1" w:rsidP="00153990">
      <w:pPr>
        <w:spacing w:line="360" w:lineRule="auto"/>
        <w:rPr>
          <w:rFonts w:ascii="Times New Roman" w:hAnsi="Times New Roman" w:cs="Times New Roman"/>
          <w:szCs w:val="24"/>
        </w:rPr>
      </w:pPr>
      <w:r w:rsidRPr="003340E2">
        <w:rPr>
          <w:rFonts w:ascii="Times New Roman" w:hAnsi="Times New Roman" w:cs="Times New Roman"/>
          <w:szCs w:val="24"/>
        </w:rPr>
        <w:t>N is the coordination number for the absorber-backscatterer pair</w:t>
      </w:r>
      <w:r w:rsidR="008B6199" w:rsidRPr="003340E2">
        <w:rPr>
          <w:rFonts w:ascii="Times New Roman" w:hAnsi="Times New Roman" w:cs="Times New Roman"/>
          <w:szCs w:val="24"/>
        </w:rPr>
        <w:t>.</w:t>
      </w:r>
      <w:r w:rsidRPr="003340E2">
        <w:rPr>
          <w:rFonts w:ascii="Times New Roman" w:hAnsi="Times New Roman" w:cs="Times New Roman"/>
          <w:szCs w:val="24"/>
        </w:rPr>
        <w:t xml:space="preserve"> R is the average absorber</w:t>
      </w:r>
      <w:r w:rsidR="008B6199" w:rsidRPr="003340E2">
        <w:rPr>
          <w:rFonts w:ascii="Times New Roman" w:hAnsi="Times New Roman" w:cs="Times New Roman"/>
          <w:szCs w:val="24"/>
        </w:rPr>
        <w:t>-</w:t>
      </w:r>
      <w:r w:rsidRPr="003340E2">
        <w:rPr>
          <w:rFonts w:ascii="Times New Roman" w:hAnsi="Times New Roman" w:cs="Times New Roman"/>
          <w:szCs w:val="24"/>
        </w:rPr>
        <w:t>backscatterer distance</w:t>
      </w:r>
      <w:r w:rsidR="008B6199" w:rsidRPr="003340E2">
        <w:rPr>
          <w:rFonts w:ascii="Times New Roman" w:hAnsi="Times New Roman" w:cs="Times New Roman"/>
          <w:szCs w:val="24"/>
        </w:rPr>
        <w:t xml:space="preserve">. </w:t>
      </w:r>
      <w:r w:rsidRPr="003340E2">
        <w:rPr>
          <w:rFonts w:ascii="Times New Roman" w:hAnsi="Times New Roman" w:cs="Times New Roman"/>
          <w:szCs w:val="24"/>
        </w:rPr>
        <w:t>σ</w:t>
      </w:r>
      <w:r w:rsidRPr="003340E2">
        <w:rPr>
          <w:rFonts w:ascii="Times New Roman" w:hAnsi="Times New Roman" w:cs="Times New Roman"/>
          <w:szCs w:val="24"/>
          <w:vertAlign w:val="superscript"/>
        </w:rPr>
        <w:t>2</w:t>
      </w:r>
      <w:r w:rsidRPr="003340E2">
        <w:rPr>
          <w:rFonts w:ascii="Times New Roman" w:hAnsi="Times New Roman" w:cs="Times New Roman"/>
          <w:szCs w:val="24"/>
        </w:rPr>
        <w:t xml:space="preserve"> is the Debye</w:t>
      </w:r>
      <w:r w:rsidR="008B6199" w:rsidRPr="003340E2">
        <w:rPr>
          <w:rFonts w:ascii="Times New Roman" w:hAnsi="Times New Roman" w:cs="Times New Roman"/>
          <w:szCs w:val="24"/>
        </w:rPr>
        <w:t>-</w:t>
      </w:r>
      <w:r w:rsidRPr="003340E2">
        <w:rPr>
          <w:rFonts w:ascii="Times New Roman" w:hAnsi="Times New Roman" w:cs="Times New Roman"/>
          <w:szCs w:val="24"/>
        </w:rPr>
        <w:t>Waller factor</w:t>
      </w:r>
      <w:r w:rsidR="008B6199" w:rsidRPr="003340E2">
        <w:rPr>
          <w:rFonts w:ascii="Times New Roman" w:hAnsi="Times New Roman" w:cs="Times New Roman"/>
          <w:szCs w:val="24"/>
        </w:rPr>
        <w:t xml:space="preserve">. </w:t>
      </w:r>
      <w:r w:rsidRPr="003340E2">
        <w:rPr>
          <w:rFonts w:ascii="Times New Roman" w:hAnsi="Times New Roman" w:cs="Times New Roman"/>
          <w:szCs w:val="24"/>
        </w:rPr>
        <w:t>ΔE</w:t>
      </w:r>
      <w:r w:rsidRPr="003340E2">
        <w:rPr>
          <w:rFonts w:ascii="Times New Roman" w:hAnsi="Times New Roman" w:cs="Times New Roman"/>
          <w:szCs w:val="24"/>
          <w:vertAlign w:val="subscript"/>
        </w:rPr>
        <w:t>0</w:t>
      </w:r>
      <w:r w:rsidRPr="003340E2">
        <w:rPr>
          <w:rFonts w:ascii="Times New Roman" w:hAnsi="Times New Roman" w:cs="Times New Roman"/>
          <w:szCs w:val="24"/>
        </w:rPr>
        <w:t xml:space="preserve"> </w:t>
      </w:r>
      <w:r w:rsidR="008B6199" w:rsidRPr="003340E2">
        <w:rPr>
          <w:rFonts w:ascii="Times New Roman" w:hAnsi="Times New Roman" w:cs="Times New Roman"/>
          <w:szCs w:val="24"/>
        </w:rPr>
        <w:t xml:space="preserve">is </w:t>
      </w:r>
      <w:r w:rsidRPr="003340E2">
        <w:rPr>
          <w:rFonts w:ascii="Times New Roman" w:hAnsi="Times New Roman" w:cs="Times New Roman"/>
          <w:szCs w:val="24"/>
        </w:rPr>
        <w:t>the inner potential correction. The accuracies of the above parameters are estimated as N, ±20%; R, ±1%; σ</w:t>
      </w:r>
      <w:r w:rsidRPr="003340E2">
        <w:rPr>
          <w:rFonts w:ascii="Times New Roman" w:hAnsi="Times New Roman" w:cs="Times New Roman"/>
          <w:szCs w:val="24"/>
          <w:vertAlign w:val="superscript"/>
        </w:rPr>
        <w:t>2</w:t>
      </w:r>
      <w:r w:rsidRPr="003340E2">
        <w:rPr>
          <w:rFonts w:ascii="Times New Roman" w:hAnsi="Times New Roman" w:cs="Times New Roman"/>
          <w:szCs w:val="24"/>
        </w:rPr>
        <w:t>, ± 20%; ΔE</w:t>
      </w:r>
      <w:r w:rsidRPr="003340E2">
        <w:rPr>
          <w:rFonts w:ascii="Times New Roman" w:hAnsi="Times New Roman" w:cs="Times New Roman"/>
          <w:szCs w:val="24"/>
          <w:vertAlign w:val="subscript"/>
        </w:rPr>
        <w:t>0</w:t>
      </w:r>
      <w:r w:rsidRPr="003340E2">
        <w:rPr>
          <w:rFonts w:ascii="Times New Roman" w:hAnsi="Times New Roman" w:cs="Times New Roman"/>
          <w:szCs w:val="24"/>
        </w:rPr>
        <w:t>, ±20%. The data range used for data ﬁtting in k-space (Δk) and R-space (ΔR) are 3.0–10.0 Å</w:t>
      </w:r>
      <w:r w:rsidRPr="003340E2">
        <w:rPr>
          <w:rFonts w:ascii="Times New Roman" w:hAnsi="Times New Roman" w:cs="Times New Roman"/>
          <w:szCs w:val="24"/>
          <w:vertAlign w:val="superscript"/>
        </w:rPr>
        <w:t>−1</w:t>
      </w:r>
      <w:r w:rsidRPr="003340E2">
        <w:rPr>
          <w:rFonts w:ascii="Times New Roman" w:hAnsi="Times New Roman" w:cs="Times New Roman"/>
          <w:szCs w:val="24"/>
        </w:rPr>
        <w:t xml:space="preserve"> and 1.0–3.0 Å, respectively.</w:t>
      </w:r>
      <w:r w:rsidR="00C60520" w:rsidRPr="003340E2">
        <w:rPr>
          <w:rFonts w:ascii="Times New Roman" w:hAnsi="Times New Roman" w:cs="Times New Roman"/>
          <w:szCs w:val="24"/>
        </w:rPr>
        <w:t xml:space="preserve"> </w:t>
      </w:r>
    </w:p>
    <w:p w14:paraId="401775D4" w14:textId="1B49246E" w:rsidR="001727E1" w:rsidRPr="003340E2" w:rsidRDefault="00DD03E2" w:rsidP="00DD03E2">
      <w:pPr>
        <w:spacing w:line="360" w:lineRule="auto"/>
        <w:rPr>
          <w:rFonts w:ascii="Times New Roman" w:hAnsi="Times New Roman" w:cs="Times New Roman"/>
          <w:szCs w:val="24"/>
        </w:rPr>
      </w:pPr>
      <w:r w:rsidRPr="003340E2">
        <w:rPr>
          <w:rFonts w:ascii="Times New Roman" w:hAnsi="Times New Roman" w:cs="Times New Roman"/>
          <w:szCs w:val="24"/>
        </w:rPr>
        <w:t>S</w:t>
      </w:r>
      <w:r w:rsidRPr="003340E2">
        <w:rPr>
          <w:rFonts w:ascii="Times New Roman" w:hAnsi="Times New Roman" w:cs="Times New Roman"/>
          <w:szCs w:val="24"/>
          <w:vertAlign w:val="subscript"/>
        </w:rPr>
        <w:t>0</w:t>
      </w:r>
      <w:r w:rsidRPr="003340E2">
        <w:rPr>
          <w:rFonts w:ascii="Times New Roman" w:hAnsi="Times New Roman" w:cs="Times New Roman"/>
          <w:szCs w:val="24"/>
          <w:vertAlign w:val="superscript"/>
        </w:rPr>
        <w:t>2</w:t>
      </w:r>
      <w:r w:rsidRPr="003340E2">
        <w:rPr>
          <w:rFonts w:ascii="Times New Roman" w:hAnsi="Times New Roman" w:cs="Times New Roman"/>
          <w:shd w:val="clear" w:color="auto" w:fill="FFFFFF"/>
        </w:rPr>
        <w:t xml:space="preserve"> </w:t>
      </w:r>
      <w:r w:rsidRPr="003340E2">
        <w:rPr>
          <w:rFonts w:ascii="Times New Roman" w:hAnsi="Times New Roman" w:cs="Times New Roman"/>
          <w:szCs w:val="24"/>
        </w:rPr>
        <w:t>is the amplitude reduction factor for the absorber-backscatterer pair.</w:t>
      </w:r>
      <w:r>
        <w:rPr>
          <w:rFonts w:ascii="Times New Roman" w:hAnsi="Times New Roman" w:cs="Times New Roman" w:hint="eastAsia"/>
          <w:szCs w:val="24"/>
        </w:rPr>
        <w:t xml:space="preserve"> </w:t>
      </w:r>
      <w:r w:rsidR="001727E1" w:rsidRPr="003340E2">
        <w:rPr>
          <w:rFonts w:ascii="Times New Roman" w:hAnsi="Times New Roman" w:cs="Times New Roman"/>
          <w:szCs w:val="24"/>
        </w:rPr>
        <w:t>For Mn and Mg K-edge EXAFS spectra fitting</w:t>
      </w:r>
      <w:r w:rsidR="00C60520" w:rsidRPr="003340E2">
        <w:rPr>
          <w:rFonts w:ascii="Times New Roman" w:hAnsi="Times New Roman" w:cs="Times New Roman"/>
          <w:szCs w:val="24"/>
        </w:rPr>
        <w:t>,</w:t>
      </w:r>
      <w:r w:rsidR="001727E1" w:rsidRPr="003340E2">
        <w:rPr>
          <w:rFonts w:ascii="Times New Roman" w:hAnsi="Times New Roman" w:cs="Times New Roman"/>
          <w:szCs w:val="24"/>
        </w:rPr>
        <w:t xml:space="preserve"> the S</w:t>
      </w:r>
      <w:r w:rsidR="001727E1" w:rsidRPr="003340E2">
        <w:rPr>
          <w:rFonts w:ascii="Times New Roman" w:hAnsi="Times New Roman" w:cs="Times New Roman"/>
          <w:szCs w:val="24"/>
          <w:vertAlign w:val="subscript"/>
        </w:rPr>
        <w:t>0</w:t>
      </w:r>
      <w:r w:rsidR="001727E1" w:rsidRPr="003340E2">
        <w:rPr>
          <w:rFonts w:ascii="Times New Roman" w:hAnsi="Times New Roman" w:cs="Times New Roman"/>
          <w:szCs w:val="24"/>
          <w:vertAlign w:val="superscript"/>
        </w:rPr>
        <w:t>2</w:t>
      </w:r>
      <w:r w:rsidR="001727E1" w:rsidRPr="003340E2">
        <w:rPr>
          <w:rFonts w:ascii="Times New Roman" w:hAnsi="Times New Roman" w:cs="Times New Roman"/>
          <w:szCs w:val="24"/>
        </w:rPr>
        <w:t xml:space="preserve"> value are 0.92 and 0.</w:t>
      </w:r>
      <w:r w:rsidR="00444689" w:rsidRPr="003340E2">
        <w:rPr>
          <w:rFonts w:ascii="Times New Roman" w:hAnsi="Times New Roman" w:cs="Times New Roman"/>
          <w:szCs w:val="24"/>
        </w:rPr>
        <w:t>90</w:t>
      </w:r>
      <w:r w:rsidR="001727E1" w:rsidRPr="003340E2">
        <w:rPr>
          <w:rFonts w:ascii="Times New Roman" w:hAnsi="Times New Roman" w:cs="Times New Roman"/>
          <w:szCs w:val="24"/>
        </w:rPr>
        <w:t>, re</w:t>
      </w:r>
      <w:r w:rsidR="00143F72" w:rsidRPr="003340E2">
        <w:rPr>
          <w:rFonts w:ascii="Times New Roman" w:hAnsi="Times New Roman" w:cs="Times New Roman"/>
          <w:szCs w:val="24"/>
        </w:rPr>
        <w:t>s</w:t>
      </w:r>
      <w:r w:rsidR="001727E1" w:rsidRPr="003340E2">
        <w:rPr>
          <w:rFonts w:ascii="Times New Roman" w:hAnsi="Times New Roman" w:cs="Times New Roman"/>
          <w:szCs w:val="24"/>
        </w:rPr>
        <w:t>pectively.</w:t>
      </w:r>
    </w:p>
    <w:p w14:paraId="0527E833" w14:textId="77777777" w:rsidR="00AB4CB0" w:rsidRDefault="00AB4CB0">
      <w:pPr>
        <w:widowControl/>
        <w:jc w:val="left"/>
        <w:rPr>
          <w:rFonts w:ascii="Times New Roman" w:hAnsi="Times New Roman" w:cs="Times New Roman"/>
          <w:sz w:val="24"/>
          <w:szCs w:val="24"/>
        </w:rPr>
        <w:sectPr w:rsidR="00AB4CB0" w:rsidSect="001727E1">
          <w:footerReference w:type="default" r:id="rId22"/>
          <w:pgSz w:w="11906" w:h="16838"/>
          <w:pgMar w:top="1440" w:right="1800" w:bottom="1440" w:left="1800" w:header="851" w:footer="992" w:gutter="0"/>
          <w:cols w:space="425"/>
          <w:docGrid w:type="lines" w:linePitch="312"/>
        </w:sectPr>
      </w:pPr>
    </w:p>
    <w:p w14:paraId="05476CE7" w14:textId="1EE01BB8" w:rsidR="001727E1" w:rsidRPr="00167A4F" w:rsidRDefault="001727E1" w:rsidP="00153990">
      <w:pPr>
        <w:spacing w:line="360" w:lineRule="auto"/>
        <w:rPr>
          <w:rFonts w:ascii="Times New Roman" w:hAnsi="Times New Roman" w:cs="Times New Roman"/>
          <w:sz w:val="24"/>
          <w:szCs w:val="24"/>
        </w:rPr>
      </w:pPr>
      <w:r w:rsidRPr="00167A4F">
        <w:rPr>
          <w:rFonts w:ascii="Times New Roman" w:hAnsi="Times New Roman" w:cs="Times New Roman"/>
          <w:b/>
          <w:bCs/>
          <w:sz w:val="24"/>
          <w:szCs w:val="24"/>
        </w:rPr>
        <w:t xml:space="preserve">Table. S5 </w:t>
      </w:r>
      <w:r w:rsidR="00AB4CB0" w:rsidRPr="00167A4F">
        <w:rPr>
          <w:rFonts w:ascii="Times New Roman" w:hAnsi="Times New Roman" w:cs="Times New Roman"/>
          <w:sz w:val="24"/>
          <w:szCs w:val="24"/>
        </w:rPr>
        <w:t>Comparison of MgMn@CDs with the CD-based SOD nanozymes.</w:t>
      </w:r>
    </w:p>
    <w:tbl>
      <w:tblPr>
        <w:tblStyle w:val="af8"/>
        <w:tblW w:w="13907" w:type="dxa"/>
        <w:tblLook w:val="04A0" w:firstRow="1" w:lastRow="0" w:firstColumn="1" w:lastColumn="0" w:noHBand="0" w:noVBand="1"/>
      </w:tblPr>
      <w:tblGrid>
        <w:gridCol w:w="1872"/>
        <w:gridCol w:w="1816"/>
        <w:gridCol w:w="2309"/>
        <w:gridCol w:w="1881"/>
        <w:gridCol w:w="1876"/>
        <w:gridCol w:w="2094"/>
        <w:gridCol w:w="2059"/>
      </w:tblGrid>
      <w:tr w:rsidR="00167A4F" w:rsidRPr="00167A4F" w14:paraId="31B43E6A" w14:textId="77777777" w:rsidTr="00AB4CB0">
        <w:trPr>
          <w:trHeight w:val="1063"/>
        </w:trPr>
        <w:tc>
          <w:tcPr>
            <w:tcW w:w="1872" w:type="dxa"/>
            <w:tcBorders>
              <w:top w:val="single" w:sz="8" w:space="0" w:color="auto"/>
              <w:left w:val="nil"/>
              <w:bottom w:val="single" w:sz="8" w:space="0" w:color="auto"/>
              <w:right w:val="nil"/>
            </w:tcBorders>
            <w:vAlign w:val="center"/>
          </w:tcPr>
          <w:p w14:paraId="40D7E2E4"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CDs nanozymes</w:t>
            </w:r>
          </w:p>
        </w:tc>
        <w:tc>
          <w:tcPr>
            <w:tcW w:w="1816" w:type="dxa"/>
            <w:tcBorders>
              <w:top w:val="single" w:sz="8" w:space="0" w:color="auto"/>
              <w:left w:val="nil"/>
              <w:bottom w:val="single" w:sz="8" w:space="0" w:color="auto"/>
              <w:right w:val="nil"/>
            </w:tcBorders>
            <w:vAlign w:val="center"/>
          </w:tcPr>
          <w:p w14:paraId="352812D4"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Synthesis</w:t>
            </w:r>
          </w:p>
        </w:tc>
        <w:tc>
          <w:tcPr>
            <w:tcW w:w="2309" w:type="dxa"/>
            <w:tcBorders>
              <w:top w:val="single" w:sz="8" w:space="0" w:color="auto"/>
              <w:left w:val="nil"/>
              <w:bottom w:val="single" w:sz="8" w:space="0" w:color="auto"/>
              <w:right w:val="nil"/>
            </w:tcBorders>
            <w:vAlign w:val="center"/>
          </w:tcPr>
          <w:p w14:paraId="5D672C3A"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Excitation/emission wavelength (nm)</w:t>
            </w:r>
          </w:p>
        </w:tc>
        <w:tc>
          <w:tcPr>
            <w:tcW w:w="1881" w:type="dxa"/>
            <w:tcBorders>
              <w:top w:val="single" w:sz="8" w:space="0" w:color="auto"/>
              <w:left w:val="nil"/>
              <w:bottom w:val="single" w:sz="8" w:space="0" w:color="auto"/>
              <w:right w:val="nil"/>
            </w:tcBorders>
            <w:vAlign w:val="center"/>
          </w:tcPr>
          <w:p w14:paraId="5A188569"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Quantum yield (%)</w:t>
            </w:r>
          </w:p>
        </w:tc>
        <w:tc>
          <w:tcPr>
            <w:tcW w:w="1876" w:type="dxa"/>
            <w:tcBorders>
              <w:top w:val="single" w:sz="8" w:space="0" w:color="auto"/>
              <w:left w:val="nil"/>
              <w:bottom w:val="single" w:sz="8" w:space="0" w:color="auto"/>
              <w:right w:val="nil"/>
            </w:tcBorders>
            <w:vAlign w:val="center"/>
          </w:tcPr>
          <w:p w14:paraId="79C2ECE6" w14:textId="518BF1FD"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SOD</w:t>
            </w:r>
            <w:r w:rsidR="00C774D6" w:rsidRPr="00167A4F">
              <w:rPr>
                <w:rFonts w:ascii="Times New Roman" w:hAnsi="Times New Roman" w:cs="Times New Roman" w:hint="eastAsia"/>
                <w:sz w:val="24"/>
                <w:szCs w:val="24"/>
                <w:lang w:val="en-IN"/>
              </w:rPr>
              <w:t>-like</w:t>
            </w:r>
            <w:r w:rsidRPr="00167A4F">
              <w:rPr>
                <w:rFonts w:ascii="Times New Roman" w:hAnsi="Times New Roman" w:cs="Times New Roman"/>
                <w:sz w:val="24"/>
                <w:szCs w:val="24"/>
                <w:lang w:val="en-IN"/>
              </w:rPr>
              <w:t xml:space="preserve"> activity (U/mg)</w:t>
            </w:r>
          </w:p>
        </w:tc>
        <w:tc>
          <w:tcPr>
            <w:tcW w:w="2094" w:type="dxa"/>
            <w:tcBorders>
              <w:top w:val="single" w:sz="8" w:space="0" w:color="auto"/>
              <w:left w:val="nil"/>
              <w:bottom w:val="single" w:sz="8" w:space="0" w:color="auto"/>
              <w:right w:val="nil"/>
            </w:tcBorders>
            <w:vAlign w:val="center"/>
          </w:tcPr>
          <w:p w14:paraId="46073900"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Therapy</w:t>
            </w:r>
          </w:p>
        </w:tc>
        <w:tc>
          <w:tcPr>
            <w:tcW w:w="2059" w:type="dxa"/>
            <w:tcBorders>
              <w:top w:val="single" w:sz="8" w:space="0" w:color="auto"/>
              <w:left w:val="nil"/>
              <w:bottom w:val="single" w:sz="8" w:space="0" w:color="auto"/>
              <w:right w:val="nil"/>
            </w:tcBorders>
            <w:vAlign w:val="center"/>
          </w:tcPr>
          <w:p w14:paraId="1E22A22C"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Ref</w:t>
            </w:r>
          </w:p>
        </w:tc>
      </w:tr>
      <w:tr w:rsidR="00167A4F" w:rsidRPr="00167A4F" w14:paraId="419B5420" w14:textId="77777777" w:rsidTr="00AB4CB0">
        <w:trPr>
          <w:trHeight w:val="723"/>
        </w:trPr>
        <w:tc>
          <w:tcPr>
            <w:tcW w:w="1872" w:type="dxa"/>
            <w:tcBorders>
              <w:top w:val="single" w:sz="8" w:space="0" w:color="auto"/>
              <w:left w:val="nil"/>
              <w:bottom w:val="nil"/>
              <w:right w:val="nil"/>
            </w:tcBorders>
            <w:vAlign w:val="center"/>
          </w:tcPr>
          <w:p w14:paraId="6ACB2679"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T-Ag</w:t>
            </w:r>
            <w:r w:rsidRPr="00167A4F">
              <w:rPr>
                <w:rFonts w:ascii="Times New Roman" w:hAnsi="Times New Roman" w:cs="Times New Roman"/>
                <w:sz w:val="24"/>
                <w:szCs w:val="24"/>
                <w:vertAlign w:val="subscript"/>
              </w:rPr>
              <w:t>SA</w:t>
            </w:r>
            <w:r w:rsidRPr="00167A4F">
              <w:rPr>
                <w:rFonts w:ascii="Times New Roman" w:hAnsi="Times New Roman" w:cs="Times New Roman"/>
                <w:sz w:val="24"/>
                <w:szCs w:val="24"/>
              </w:rPr>
              <w:t>-CDs</w:t>
            </w:r>
          </w:p>
        </w:tc>
        <w:tc>
          <w:tcPr>
            <w:tcW w:w="1816" w:type="dxa"/>
            <w:tcBorders>
              <w:top w:val="single" w:sz="8" w:space="0" w:color="auto"/>
              <w:left w:val="nil"/>
              <w:bottom w:val="nil"/>
              <w:right w:val="nil"/>
            </w:tcBorders>
            <w:vAlign w:val="center"/>
          </w:tcPr>
          <w:p w14:paraId="0E8FD21E"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hydrothermal method</w:t>
            </w:r>
          </w:p>
        </w:tc>
        <w:tc>
          <w:tcPr>
            <w:tcW w:w="2309" w:type="dxa"/>
            <w:tcBorders>
              <w:top w:val="single" w:sz="8" w:space="0" w:color="auto"/>
              <w:left w:val="nil"/>
              <w:bottom w:val="nil"/>
              <w:right w:val="nil"/>
            </w:tcBorders>
            <w:vAlign w:val="center"/>
          </w:tcPr>
          <w:p w14:paraId="3E7C7A94"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560/640</w:t>
            </w:r>
          </w:p>
        </w:tc>
        <w:tc>
          <w:tcPr>
            <w:tcW w:w="1881" w:type="dxa"/>
            <w:tcBorders>
              <w:top w:val="single" w:sz="8" w:space="0" w:color="auto"/>
              <w:left w:val="nil"/>
              <w:bottom w:val="nil"/>
              <w:right w:val="nil"/>
            </w:tcBorders>
            <w:vAlign w:val="center"/>
          </w:tcPr>
          <w:p w14:paraId="487743A7"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76" w:type="dxa"/>
            <w:tcBorders>
              <w:top w:val="single" w:sz="8" w:space="0" w:color="auto"/>
              <w:left w:val="nil"/>
              <w:bottom w:val="nil"/>
              <w:right w:val="nil"/>
            </w:tcBorders>
            <w:vAlign w:val="center"/>
          </w:tcPr>
          <w:p w14:paraId="226B26E0"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11814 (WST-1 by Dojindo)</w:t>
            </w:r>
          </w:p>
        </w:tc>
        <w:tc>
          <w:tcPr>
            <w:tcW w:w="2094" w:type="dxa"/>
            <w:tcBorders>
              <w:top w:val="single" w:sz="8" w:space="0" w:color="auto"/>
              <w:left w:val="nil"/>
              <w:bottom w:val="nil"/>
              <w:right w:val="nil"/>
            </w:tcBorders>
            <w:vAlign w:val="center"/>
          </w:tcPr>
          <w:p w14:paraId="03BF249D" w14:textId="2505BCB4"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 xml:space="preserve">Acute </w:t>
            </w:r>
            <w:r w:rsidR="00835BE4" w:rsidRPr="00665736">
              <w:rPr>
                <w:rFonts w:ascii="Times New Roman" w:hAnsi="Times New Roman" w:cs="Times New Roman"/>
                <w:sz w:val="24"/>
                <w:szCs w:val="24"/>
              </w:rPr>
              <w:t>kidney injury</w:t>
            </w:r>
          </w:p>
        </w:tc>
        <w:tc>
          <w:tcPr>
            <w:tcW w:w="2059" w:type="dxa"/>
            <w:tcBorders>
              <w:top w:val="single" w:sz="8" w:space="0" w:color="auto"/>
              <w:left w:val="nil"/>
              <w:bottom w:val="nil"/>
              <w:right w:val="nil"/>
            </w:tcBorders>
            <w:vAlign w:val="center"/>
          </w:tcPr>
          <w:p w14:paraId="56EC4837" w14:textId="75C0C424"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fldChar w:fldCharType="begin"/>
            </w:r>
            <w:r w:rsidRPr="00167A4F">
              <w:rPr>
                <w:rFonts w:ascii="Times New Roman" w:hAnsi="Times New Roman" w:cs="Times New Roman"/>
                <w:sz w:val="24"/>
                <w:szCs w:val="24"/>
                <w:lang w:val="en-IN"/>
              </w:rPr>
              <w:instrText xml:space="preserve"> ADDIN EN.CITE &lt;EndNote&gt;&lt;Cite&gt;&lt;Author&gt;Tang&lt;/Author&gt;&lt;Year&gt;2026&lt;/Year&gt;&lt;RecNum&gt;1030&lt;/RecNum&gt;&lt;DisplayText&gt;&lt;style face="superscript"&gt;2&lt;/style&gt;&lt;/DisplayText&gt;&lt;record&gt;&lt;rec-number&gt;1030&lt;/rec-number&gt;&lt;foreign-keys&gt;&lt;key app="EN" db-id="fft202z595rvvlezwac5r0xq05pxaz5f92sz" timestamp="1773837642"&gt;1030&lt;/key&gt;&lt;/foreign-keys&gt;&lt;ref-type name="Journal Article"&gt;17&lt;/ref-type&gt;&lt;contributors&gt;&lt;authors&gt;&lt;author&gt;Tang, Tianle&lt;/author&gt;&lt;author&gt;Zhang, Jun&lt;/author&gt;&lt;author&gt;Wang, Yan&lt;/author&gt;&lt;author&gt;Chen, Guoping&lt;/author&gt;&lt;author&gt;Yuan, Kehui&lt;</w:instrText>
            </w:r>
            <w:r w:rsidRPr="00167A4F">
              <w:rPr>
                <w:rFonts w:ascii="Times New Roman" w:hAnsi="Times New Roman" w:cs="Times New Roman" w:hint="eastAsia"/>
                <w:sz w:val="24"/>
                <w:szCs w:val="24"/>
                <w:lang w:val="en-IN"/>
              </w:rPr>
              <w:instrText>/author&gt;&lt;author&gt;He, Yuan&lt;/author&gt;&lt;author&gt;Li, Chenchen&lt;/author&gt;&lt;author&gt;Hanif, Sumaira&lt;/author&gt;&lt;author&gt;Yang, Yang&lt;/author&gt;&lt;author&gt;Wang, Yanli&lt;/author&gt;&lt;author&gt;Muhammad, Pir&lt;/author&gt;&lt;/authors&gt;&lt;/contributors&gt;&lt;titles&gt;&lt;title&gt;Precision</w:instrText>
            </w:r>
            <w:r w:rsidRPr="00167A4F">
              <w:rPr>
                <w:rFonts w:ascii="Times New Roman" w:hAnsi="Times New Roman" w:cs="Times New Roman" w:hint="eastAsia"/>
                <w:sz w:val="24"/>
                <w:szCs w:val="24"/>
                <w:lang w:val="en-IN"/>
              </w:rPr>
              <w:instrText>‐</w:instrText>
            </w:r>
            <w:r w:rsidRPr="00167A4F">
              <w:rPr>
                <w:rFonts w:ascii="Times New Roman" w:hAnsi="Times New Roman" w:cs="Times New Roman" w:hint="eastAsia"/>
                <w:sz w:val="24"/>
                <w:szCs w:val="24"/>
                <w:lang w:val="en-IN"/>
              </w:rPr>
              <w:instrText>Engineered Silver Single</w:instrText>
            </w:r>
            <w:r w:rsidRPr="00167A4F">
              <w:rPr>
                <w:rFonts w:ascii="Times New Roman" w:hAnsi="Times New Roman" w:cs="Times New Roman" w:hint="eastAsia"/>
                <w:sz w:val="24"/>
                <w:szCs w:val="24"/>
                <w:lang w:val="en-IN"/>
              </w:rPr>
              <w:instrText>‐</w:instrText>
            </w:r>
            <w:r w:rsidRPr="00167A4F">
              <w:rPr>
                <w:rFonts w:ascii="Times New Roman" w:hAnsi="Times New Roman" w:cs="Times New Roman" w:hint="eastAsia"/>
                <w:sz w:val="24"/>
                <w:szCs w:val="24"/>
                <w:lang w:val="en-IN"/>
              </w:rPr>
              <w:instrText>At</w:instrText>
            </w:r>
            <w:r w:rsidRPr="00167A4F">
              <w:rPr>
                <w:rFonts w:ascii="Times New Roman" w:hAnsi="Times New Roman" w:cs="Times New Roman"/>
                <w:sz w:val="24"/>
                <w:szCs w:val="24"/>
                <w:lang w:val="en-IN"/>
              </w:rPr>
              <w:instrText>om Carbon Dot Nanozymes for Theranostic Management of Acute Kidney Injury&lt;/title&gt;&lt;secondary-title&gt;Adv. Sci.&lt;/secondary-title&gt;&lt;/titles&gt;&lt;periodical&gt;&lt;full-title&gt;Advanced Science&lt;/full-title&gt;&lt;abbr-1&gt;Adv. Sci.&lt;/abbr-1&gt;&lt;/periodical&gt;&lt;pages&gt;e19393&lt;/pages&gt;&lt;volume&gt;13&lt;/volume&gt;&lt;number&gt;16&lt;/number&gt;&lt;dates&gt;&lt;year&gt;2026&lt;/year&gt;&lt;pub-dates&gt;&lt;date&gt;2026/01/15&lt;/date&gt;&lt;/pub-dates&gt;&lt;/dates&gt;&lt;urls&gt;&lt;related-urls&gt;&lt;url&gt;http://dx.doi.org/10.1002/advs.202519393&lt;/url&gt;&lt;/related-urls&gt;&lt;/urls&gt;&lt;electronic-resource-num&gt;10.1002/advs.202519393&lt;/electronic-resource-num&gt;&lt;/record&gt;&lt;/Cite&gt;&lt;/EndNote&gt;</w:instrText>
            </w:r>
            <w:r w:rsidRPr="00167A4F">
              <w:rPr>
                <w:rFonts w:ascii="Times New Roman" w:hAnsi="Times New Roman" w:cs="Times New Roman"/>
                <w:sz w:val="24"/>
                <w:szCs w:val="24"/>
                <w:lang w:val="en-IN"/>
              </w:rPr>
              <w:fldChar w:fldCharType="separate"/>
            </w:r>
            <w:r w:rsidRPr="00167A4F">
              <w:rPr>
                <w:rFonts w:ascii="Times New Roman" w:hAnsi="Times New Roman" w:cs="Times New Roman"/>
                <w:noProof/>
                <w:sz w:val="24"/>
                <w:szCs w:val="24"/>
                <w:vertAlign w:val="superscript"/>
                <w:lang w:val="en-IN"/>
              </w:rPr>
              <w:t>2</w:t>
            </w:r>
            <w:r w:rsidRPr="00167A4F">
              <w:rPr>
                <w:rFonts w:ascii="Times New Roman" w:hAnsi="Times New Roman" w:cs="Times New Roman"/>
                <w:sz w:val="24"/>
                <w:szCs w:val="24"/>
                <w:lang w:val="en-IN"/>
              </w:rPr>
              <w:fldChar w:fldCharType="end"/>
            </w:r>
          </w:p>
        </w:tc>
      </w:tr>
      <w:tr w:rsidR="00167A4F" w:rsidRPr="00167A4F" w14:paraId="1D841206" w14:textId="77777777" w:rsidTr="00AB4CB0">
        <w:trPr>
          <w:trHeight w:val="723"/>
        </w:trPr>
        <w:tc>
          <w:tcPr>
            <w:tcW w:w="1872" w:type="dxa"/>
            <w:tcBorders>
              <w:top w:val="nil"/>
              <w:left w:val="nil"/>
              <w:bottom w:val="nil"/>
              <w:right w:val="nil"/>
            </w:tcBorders>
            <w:vAlign w:val="center"/>
          </w:tcPr>
          <w:p w14:paraId="7EF729E9"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rPr>
              <w:t>Cur@TB CD</w:t>
            </w:r>
          </w:p>
        </w:tc>
        <w:tc>
          <w:tcPr>
            <w:tcW w:w="1816" w:type="dxa"/>
            <w:tcBorders>
              <w:top w:val="nil"/>
              <w:left w:val="nil"/>
              <w:bottom w:val="nil"/>
              <w:right w:val="nil"/>
            </w:tcBorders>
            <w:vAlign w:val="center"/>
          </w:tcPr>
          <w:p w14:paraId="6B0FCB20"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rPr>
              <w:t>hydrothermal method</w:t>
            </w:r>
          </w:p>
        </w:tc>
        <w:tc>
          <w:tcPr>
            <w:tcW w:w="2309" w:type="dxa"/>
            <w:tcBorders>
              <w:top w:val="nil"/>
              <w:left w:val="nil"/>
              <w:bottom w:val="nil"/>
              <w:right w:val="nil"/>
            </w:tcBorders>
            <w:vAlign w:val="center"/>
          </w:tcPr>
          <w:p w14:paraId="57F071A6"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81" w:type="dxa"/>
            <w:tcBorders>
              <w:top w:val="nil"/>
              <w:left w:val="nil"/>
              <w:bottom w:val="nil"/>
              <w:right w:val="nil"/>
            </w:tcBorders>
            <w:vAlign w:val="center"/>
          </w:tcPr>
          <w:p w14:paraId="3E44E437"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76" w:type="dxa"/>
            <w:tcBorders>
              <w:top w:val="nil"/>
              <w:left w:val="nil"/>
              <w:bottom w:val="nil"/>
              <w:right w:val="nil"/>
            </w:tcBorders>
            <w:vAlign w:val="center"/>
          </w:tcPr>
          <w:p w14:paraId="73F3F5EF"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rPr>
              <w:t>614.70 (WST-8 by Grace Biologicals)</w:t>
            </w:r>
          </w:p>
        </w:tc>
        <w:tc>
          <w:tcPr>
            <w:tcW w:w="2094" w:type="dxa"/>
            <w:tcBorders>
              <w:top w:val="nil"/>
              <w:left w:val="nil"/>
              <w:bottom w:val="nil"/>
              <w:right w:val="nil"/>
            </w:tcBorders>
            <w:vAlign w:val="center"/>
          </w:tcPr>
          <w:p w14:paraId="712EB780"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lang w:val="en-IN"/>
              </w:rPr>
              <w:t>Acute lung injury</w:t>
            </w:r>
          </w:p>
        </w:tc>
        <w:tc>
          <w:tcPr>
            <w:tcW w:w="2059" w:type="dxa"/>
            <w:tcBorders>
              <w:top w:val="nil"/>
              <w:left w:val="nil"/>
              <w:bottom w:val="nil"/>
              <w:right w:val="nil"/>
            </w:tcBorders>
            <w:vAlign w:val="center"/>
          </w:tcPr>
          <w:p w14:paraId="28429613" w14:textId="6C1ECC77" w:rsidR="00AB4CB0" w:rsidRPr="00167A4F" w:rsidRDefault="00F27898" w:rsidP="00EB14E0">
            <w:pPr>
              <w:jc w:val="center"/>
              <w:rPr>
                <w:rFonts w:ascii="Times New Roman" w:hAnsi="Times New Roman" w:cs="Times New Roman"/>
                <w:sz w:val="24"/>
                <w:szCs w:val="24"/>
              </w:rPr>
            </w:pPr>
            <w:r w:rsidRPr="00167A4F">
              <w:rPr>
                <w:rFonts w:ascii="Times New Roman" w:hAnsi="Times New Roman" w:cs="Times New Roman"/>
                <w:sz w:val="24"/>
                <w:szCs w:val="24"/>
              </w:rPr>
              <w:fldChar w:fldCharType="begin"/>
            </w:r>
            <w:r w:rsidRPr="00167A4F">
              <w:rPr>
                <w:rFonts w:ascii="Times New Roman" w:hAnsi="Times New Roman" w:cs="Times New Roman"/>
                <w:sz w:val="24"/>
                <w:szCs w:val="24"/>
              </w:rPr>
              <w:instrText xml:space="preserve"> ADDIN EN.CITE &lt;EndNote&gt;&lt;Cite&gt;&lt;Author&gt;Yang&lt;/Author&gt;&lt;Year&gt;2025&lt;/Year&gt;&lt;RecNum&gt;1031&lt;/RecNum&gt;&lt;DisplayText&gt;&lt;style face="superscript"&gt;3&lt;/style&gt;&lt;/DisplayText&gt;&lt;record&gt;&lt;rec-number&gt;1031&lt;/rec-number&gt;&lt;foreign-keys&gt;&lt;key app="EN" db-id="fft202z595rvvlezwac5r0xq05pxaz5f92sz" timestamp="1773838865"&gt;1031&lt;/key&gt;&lt;/foreign-keys&gt;&lt;ref-type name="Journal Article"&gt;17&lt;/ref-type&gt;&lt;contributors&gt;&lt;authors&gt;&lt;author&gt;Yang, Hui&lt;/author&gt;&lt;author&gt;Qiu, Huimin&lt;/author&gt;&lt;author&gt;Shan, Jie&lt;/author&gt;&lt;author&gt;Nie, Chao&lt;/author&gt;&lt;author&gt;Lin, Yechun&lt;/author&gt;&lt;author&gt;Shen, Yizhong&lt;/author&gt;&lt;author&gt;Wang, Xianwen&lt;/author&gt;&lt;/authors&gt;&lt;/contributors&gt;&lt;titles&gt;&lt;title&gt;Waste tobacco leaf-driven carbon dot nanozymes with high reactive oxygen species scavenging and anti-inflammatory activities for the amelioration of acute lung injury&lt;/title&gt;&lt;secondary-title&gt;Ind. Crops Prod.&lt;/secondary-title&gt;&lt;/titles&gt;&lt;periodical&gt;&lt;full-title&gt;Ind. Crops Prod.&lt;/full-title&gt;&lt;/periodical&gt;&lt;pages&gt;120958&lt;/pages&gt;&lt;volume&gt;229&lt;/volume&gt;&lt;dates&gt;&lt;year&gt;2025&lt;/year&gt;&lt;pub-dates&gt;&lt;date&gt;2025/04/17&lt;/date&gt;&lt;/pub-dates&gt;&lt;/dates&gt;&lt;urls&gt;&lt;related-urls&gt;&lt;url&gt;http://dx.doi.org/10.1016/j.indcrop.2025.120958&lt;/url&gt;&lt;/related-urls&gt;&lt;/urls&gt;&lt;electronic-resource-num&gt;10.1016/j.indcrop.2025.120958&lt;/electronic-resource-num&gt;&lt;/record&gt;&lt;/Cite&gt;&lt;/EndNote&gt;</w:instrText>
            </w:r>
            <w:r w:rsidRPr="00167A4F">
              <w:rPr>
                <w:rFonts w:ascii="Times New Roman" w:hAnsi="Times New Roman" w:cs="Times New Roman"/>
                <w:sz w:val="24"/>
                <w:szCs w:val="24"/>
              </w:rPr>
              <w:fldChar w:fldCharType="separate"/>
            </w:r>
            <w:r w:rsidRPr="00167A4F">
              <w:rPr>
                <w:rFonts w:ascii="Times New Roman" w:hAnsi="Times New Roman" w:cs="Times New Roman"/>
                <w:noProof/>
                <w:sz w:val="24"/>
                <w:szCs w:val="24"/>
                <w:vertAlign w:val="superscript"/>
              </w:rPr>
              <w:t>3</w:t>
            </w:r>
            <w:r w:rsidRPr="00167A4F">
              <w:rPr>
                <w:rFonts w:ascii="Times New Roman" w:hAnsi="Times New Roman" w:cs="Times New Roman"/>
                <w:sz w:val="24"/>
                <w:szCs w:val="24"/>
              </w:rPr>
              <w:fldChar w:fldCharType="end"/>
            </w:r>
          </w:p>
        </w:tc>
      </w:tr>
      <w:tr w:rsidR="00167A4F" w:rsidRPr="00167A4F" w14:paraId="4592961E" w14:textId="77777777" w:rsidTr="00AB4CB0">
        <w:trPr>
          <w:trHeight w:val="723"/>
        </w:trPr>
        <w:tc>
          <w:tcPr>
            <w:tcW w:w="1872" w:type="dxa"/>
            <w:tcBorders>
              <w:top w:val="nil"/>
              <w:left w:val="nil"/>
              <w:bottom w:val="nil"/>
              <w:right w:val="nil"/>
            </w:tcBorders>
            <w:vAlign w:val="center"/>
          </w:tcPr>
          <w:p w14:paraId="6EB42FB7"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rPr>
              <w:t>Pt@CNDs</w:t>
            </w:r>
          </w:p>
        </w:tc>
        <w:tc>
          <w:tcPr>
            <w:tcW w:w="1816" w:type="dxa"/>
            <w:tcBorders>
              <w:top w:val="nil"/>
              <w:left w:val="nil"/>
              <w:bottom w:val="nil"/>
              <w:right w:val="nil"/>
            </w:tcBorders>
            <w:vAlign w:val="center"/>
          </w:tcPr>
          <w:p w14:paraId="119780E3"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rPr>
              <w:t>Oxidative etching method</w:t>
            </w:r>
          </w:p>
        </w:tc>
        <w:tc>
          <w:tcPr>
            <w:tcW w:w="2309" w:type="dxa"/>
            <w:tcBorders>
              <w:top w:val="nil"/>
              <w:left w:val="nil"/>
              <w:bottom w:val="nil"/>
              <w:right w:val="nil"/>
            </w:tcBorders>
            <w:vAlign w:val="center"/>
          </w:tcPr>
          <w:p w14:paraId="7C382C40"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81" w:type="dxa"/>
            <w:tcBorders>
              <w:top w:val="nil"/>
              <w:left w:val="nil"/>
              <w:bottom w:val="nil"/>
              <w:right w:val="nil"/>
            </w:tcBorders>
            <w:vAlign w:val="center"/>
          </w:tcPr>
          <w:p w14:paraId="12067E67"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76" w:type="dxa"/>
            <w:tcBorders>
              <w:top w:val="nil"/>
              <w:left w:val="nil"/>
              <w:bottom w:val="nil"/>
              <w:right w:val="nil"/>
            </w:tcBorders>
            <w:vAlign w:val="center"/>
          </w:tcPr>
          <w:p w14:paraId="1E2BDF4E"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rPr>
              <w:t>12605</w:t>
            </w:r>
            <w:r w:rsidRPr="00167A4F">
              <w:rPr>
                <w:rFonts w:ascii="Times New Roman" w:hAnsi="Times New Roman" w:cs="Times New Roman"/>
                <w:sz w:val="24"/>
                <w:szCs w:val="24"/>
                <w:lang w:val="en-IN"/>
              </w:rPr>
              <w:t xml:space="preserve"> </w:t>
            </w:r>
            <w:r w:rsidRPr="00167A4F">
              <w:rPr>
                <w:rFonts w:ascii="Times New Roman" w:hAnsi="Times New Roman" w:cs="Times New Roman"/>
                <w:sz w:val="24"/>
                <w:szCs w:val="24"/>
              </w:rPr>
              <w:t>(WST-1 by Dojindo)</w:t>
            </w:r>
          </w:p>
        </w:tc>
        <w:tc>
          <w:tcPr>
            <w:tcW w:w="2094" w:type="dxa"/>
            <w:tcBorders>
              <w:top w:val="nil"/>
              <w:left w:val="nil"/>
              <w:bottom w:val="nil"/>
              <w:right w:val="nil"/>
            </w:tcBorders>
            <w:vAlign w:val="center"/>
          </w:tcPr>
          <w:p w14:paraId="14227B6C"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rPr>
              <w:t>PMA-induced ear inflammation</w:t>
            </w:r>
          </w:p>
        </w:tc>
        <w:tc>
          <w:tcPr>
            <w:tcW w:w="2059" w:type="dxa"/>
            <w:tcBorders>
              <w:top w:val="nil"/>
              <w:left w:val="nil"/>
              <w:bottom w:val="nil"/>
              <w:right w:val="nil"/>
            </w:tcBorders>
            <w:vAlign w:val="center"/>
          </w:tcPr>
          <w:p w14:paraId="09E587AC" w14:textId="2302FCDD" w:rsidR="00AB4CB0" w:rsidRPr="00167A4F" w:rsidRDefault="00F27898" w:rsidP="00EB14E0">
            <w:pPr>
              <w:jc w:val="center"/>
              <w:rPr>
                <w:rFonts w:ascii="Times New Roman" w:hAnsi="Times New Roman" w:cs="Times New Roman"/>
                <w:sz w:val="24"/>
                <w:szCs w:val="24"/>
              </w:rPr>
            </w:pPr>
            <w:r w:rsidRPr="00167A4F">
              <w:rPr>
                <w:rFonts w:ascii="Times New Roman" w:hAnsi="Times New Roman" w:cs="Times New Roman"/>
                <w:sz w:val="24"/>
                <w:szCs w:val="24"/>
              </w:rPr>
              <w:fldChar w:fldCharType="begin"/>
            </w:r>
            <w:r w:rsidRPr="00167A4F">
              <w:rPr>
                <w:rFonts w:ascii="Times New Roman" w:hAnsi="Times New Roman" w:cs="Times New Roman"/>
                <w:sz w:val="24"/>
                <w:szCs w:val="24"/>
              </w:rPr>
              <w:instrText xml:space="preserve"> ADDIN EN.CITE &lt;EndNote&gt;&lt;Cite&gt;&lt;Author&gt;Zhang&lt;/Author&gt;&lt;Year&gt;2023&lt;/Year&gt;&lt;RecNum&gt;1032&lt;/RecNum&gt;&lt;DisplayText&gt;&lt;style face="superscript"&gt;4&lt;/style&gt;&lt;/DisplayText&gt;&lt;record&gt;&lt;rec-number&gt;1032&lt;/rec-number&gt;&lt;foreign-keys&gt;&lt;key app="EN" db-id="fft202z595rvvlezwac5r0xq05pxaz5f92sz" timestamp="1773838936"&gt;1032&lt;/key&gt;&lt;/foreign-keys&gt;&lt;ref-type name="Journal Article"&gt;17&lt;/ref-type&gt;&lt;contributors&gt;&lt;authors&gt;&lt;author&gt;Zhang, Yujie&lt;/author&gt;&lt;author&gt;Gao, Wenhui&lt;/author&gt;&lt;author&gt;Ma, Yana&lt;/author&gt;&lt;author&gt;Cheng, Liangliang&lt;/author&gt;&lt;author&gt;Zhang, Lei&lt;/author&gt;&lt;author&gt;Liu, Qingguang&lt;/author&gt;&lt;author&gt;Chen, Jiayu&lt;/author&gt;&lt;author&gt;Zhao, Yuanru&lt;/author&gt;&lt;author&gt;Tu, Kangsheng&lt;/author&gt;&lt;author&gt;Zhang, Mingzhen&lt;/author&gt;&lt;author&gt;Liu, Cui&lt;/author&gt;&lt;/authors&gt;&lt;/contributors&gt;&lt;titles&gt;&lt;title&gt;Integrating Pt nanoparticles with carbon nanodots to achieve robust cascade superoxide dismutase-catalase nanozyme for antioxidant therapy&lt;/title&gt;&lt;secondary-title&gt;Nano Today&lt;/secondary-title&gt;&lt;/titles&gt;&lt;periodical&gt;&lt;full-title&gt;Nano Today&lt;/full-title&gt;&lt;/periodical&gt;&lt;pages&gt;101768&lt;/pages&gt;&lt;volume&gt;49&lt;/volume&gt;&lt;dates&gt;&lt;year&gt;2023&lt;/year&gt;&lt;pub-dates&gt;&lt;date&gt;2023/02/04&lt;/date&gt;&lt;/pub-dates&gt;&lt;/dates&gt;&lt;urls&gt;&lt;related-urls&gt;&lt;url&gt;http://dx.doi.org/10.1016/j.nantod.2023.101768&lt;/url&gt;&lt;/related-urls&gt;&lt;/urls&gt;&lt;electronic-resource-num&gt;10.1016/j.nantod.2023.101768&lt;/electronic-resource-num&gt;&lt;/record&gt;&lt;/Cite&gt;&lt;/EndNote&gt;</w:instrText>
            </w:r>
            <w:r w:rsidRPr="00167A4F">
              <w:rPr>
                <w:rFonts w:ascii="Times New Roman" w:hAnsi="Times New Roman" w:cs="Times New Roman"/>
                <w:sz w:val="24"/>
                <w:szCs w:val="24"/>
              </w:rPr>
              <w:fldChar w:fldCharType="separate"/>
            </w:r>
            <w:r w:rsidRPr="00167A4F">
              <w:rPr>
                <w:rFonts w:ascii="Times New Roman" w:hAnsi="Times New Roman" w:cs="Times New Roman"/>
                <w:noProof/>
                <w:sz w:val="24"/>
                <w:szCs w:val="24"/>
                <w:vertAlign w:val="superscript"/>
              </w:rPr>
              <w:t>4</w:t>
            </w:r>
            <w:r w:rsidRPr="00167A4F">
              <w:rPr>
                <w:rFonts w:ascii="Times New Roman" w:hAnsi="Times New Roman" w:cs="Times New Roman"/>
                <w:sz w:val="24"/>
                <w:szCs w:val="24"/>
              </w:rPr>
              <w:fldChar w:fldCharType="end"/>
            </w:r>
          </w:p>
        </w:tc>
      </w:tr>
      <w:tr w:rsidR="00167A4F" w:rsidRPr="00167A4F" w14:paraId="0C48CC9A" w14:textId="77777777" w:rsidTr="00AB4CB0">
        <w:trPr>
          <w:trHeight w:val="351"/>
        </w:trPr>
        <w:tc>
          <w:tcPr>
            <w:tcW w:w="1872" w:type="dxa"/>
            <w:tcBorders>
              <w:top w:val="nil"/>
              <w:left w:val="nil"/>
              <w:bottom w:val="nil"/>
              <w:right w:val="nil"/>
            </w:tcBorders>
            <w:vAlign w:val="center"/>
          </w:tcPr>
          <w:p w14:paraId="2395E56D"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C-dots</w:t>
            </w:r>
          </w:p>
        </w:tc>
        <w:tc>
          <w:tcPr>
            <w:tcW w:w="1816" w:type="dxa"/>
            <w:tcBorders>
              <w:top w:val="nil"/>
              <w:left w:val="nil"/>
              <w:bottom w:val="nil"/>
              <w:right w:val="nil"/>
            </w:tcBorders>
            <w:vAlign w:val="center"/>
          </w:tcPr>
          <w:p w14:paraId="488F48FC"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Oxidative etching method</w:t>
            </w:r>
          </w:p>
        </w:tc>
        <w:tc>
          <w:tcPr>
            <w:tcW w:w="2309" w:type="dxa"/>
            <w:tcBorders>
              <w:top w:val="nil"/>
              <w:left w:val="nil"/>
              <w:bottom w:val="nil"/>
              <w:right w:val="nil"/>
            </w:tcBorders>
            <w:vAlign w:val="center"/>
          </w:tcPr>
          <w:p w14:paraId="3BEFC2D7"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81" w:type="dxa"/>
            <w:tcBorders>
              <w:top w:val="nil"/>
              <w:left w:val="nil"/>
              <w:bottom w:val="nil"/>
              <w:right w:val="nil"/>
            </w:tcBorders>
            <w:vAlign w:val="center"/>
          </w:tcPr>
          <w:p w14:paraId="78127D08"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76" w:type="dxa"/>
            <w:tcBorders>
              <w:top w:val="nil"/>
              <w:left w:val="nil"/>
              <w:bottom w:val="nil"/>
              <w:right w:val="nil"/>
            </w:tcBorders>
            <w:vAlign w:val="center"/>
          </w:tcPr>
          <w:p w14:paraId="78538E52"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9416</w:t>
            </w:r>
            <w:r w:rsidRPr="00167A4F">
              <w:rPr>
                <w:rFonts w:ascii="Times New Roman" w:hAnsi="Times New Roman" w:cs="Times New Roman"/>
                <w:sz w:val="24"/>
                <w:szCs w:val="24"/>
                <w:lang w:val="en-IN"/>
              </w:rPr>
              <w:t xml:space="preserve"> </w:t>
            </w:r>
            <w:r w:rsidRPr="00167A4F">
              <w:rPr>
                <w:rFonts w:ascii="Times New Roman" w:hAnsi="Times New Roman" w:cs="Times New Roman"/>
                <w:sz w:val="24"/>
                <w:szCs w:val="24"/>
              </w:rPr>
              <w:t>(WST-1 by Dojindo)</w:t>
            </w:r>
          </w:p>
        </w:tc>
        <w:tc>
          <w:tcPr>
            <w:tcW w:w="2094" w:type="dxa"/>
            <w:tcBorders>
              <w:top w:val="nil"/>
              <w:left w:val="nil"/>
              <w:bottom w:val="nil"/>
              <w:right w:val="nil"/>
            </w:tcBorders>
            <w:vAlign w:val="center"/>
          </w:tcPr>
          <w:p w14:paraId="3887C7B7" w14:textId="77777777" w:rsidR="00AB4CB0" w:rsidRPr="00167A4F" w:rsidRDefault="00AB4CB0" w:rsidP="00EB14E0">
            <w:pPr>
              <w:jc w:val="center"/>
              <w:rPr>
                <w:rFonts w:ascii="Times New Roman" w:hAnsi="Times New Roman" w:cs="Times New Roman"/>
                <w:sz w:val="24"/>
                <w:szCs w:val="24"/>
              </w:rPr>
            </w:pPr>
            <w:r w:rsidRPr="00167A4F">
              <w:rPr>
                <w:rFonts w:ascii="Times New Roman" w:hAnsi="Times New Roman" w:cs="Times New Roman"/>
                <w:sz w:val="24"/>
                <w:szCs w:val="24"/>
                <w:lang w:val="en-IN"/>
              </w:rPr>
              <w:t>Diabetic wounds</w:t>
            </w:r>
          </w:p>
        </w:tc>
        <w:tc>
          <w:tcPr>
            <w:tcW w:w="2059" w:type="dxa"/>
            <w:tcBorders>
              <w:top w:val="nil"/>
              <w:left w:val="nil"/>
              <w:bottom w:val="nil"/>
              <w:right w:val="nil"/>
            </w:tcBorders>
            <w:vAlign w:val="center"/>
          </w:tcPr>
          <w:p w14:paraId="4C058EEC" w14:textId="2BF60569" w:rsidR="00AB4CB0" w:rsidRPr="00167A4F" w:rsidRDefault="00F27898"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fldChar w:fldCharType="begin"/>
            </w:r>
            <w:r w:rsidRPr="00167A4F">
              <w:rPr>
                <w:rFonts w:ascii="Times New Roman" w:hAnsi="Times New Roman" w:cs="Times New Roman"/>
                <w:sz w:val="24"/>
                <w:szCs w:val="24"/>
                <w:lang w:val="en-IN"/>
              </w:rPr>
              <w:instrText xml:space="preserve"> ADDIN EN.CITE &lt;EndNote&gt;&lt;Cite&gt;&lt;Author&gt;Yan&lt;/Author&gt;&lt;Year&gt;2025&lt;/Year&gt;&lt;RecNum&gt;1013&lt;/RecNum&gt;&lt;DisplayText&gt;&lt;style face="superscript"&gt;5&lt;/style&gt;&lt;/DisplayText&gt;&lt;record&gt;&lt;rec-number&gt;1013&lt;/rec-number&gt;&lt;foreign-keys&gt;&lt;key app="EN" db-id="fft202z595rvvlezwac5r0xq05pxaz5f92sz" timestamp="1766236792"&gt;1013&lt;/key&gt;&lt;/foreign-keys&gt;&lt;ref-type name="Journal Article"&gt;17&lt;/ref-type&gt;&lt;contributors&gt;&lt;authors&gt;&lt;author&gt;Yan, Zhu&lt;/author&gt;&lt;author&gt;Zhang, Yufei&lt;/author&gt;&lt;author&gt;Chen, Qin&lt;/author&gt;&lt;author&gt;Li, Jing&lt;/author&gt;&lt;author&gt;Ning, Xiaoying&lt;/author&gt;&lt;author&gt;Bai, Fan&lt;/author&gt;&lt;author&gt;Wang, Yaqi&lt;/author&gt;&lt;author&gt;Liu, Xiaoming&lt;/author&gt;&lt;author&gt;Liu, Yale&lt;/author&gt;&lt;author&gt;Zhang, Mingzhen&lt;/author&gt;&lt;author&gt;Liu, Cui&lt;/author&gt;&lt;author&gt;Xia, Yumin&lt;/author&gt;&lt;/authors&gt;&lt;/contributors&gt;&lt;titles&gt;&lt;title&gt;Carbon dot superoxide dismutase nanozyme enhances reactive oxygen species scavenging in diabetic skin wound repair&lt;/title&gt;&lt;secondary-title&gt;J. Adv. Res.&lt;/secondary-title&gt;&lt;/titles&gt;&lt;pages&gt;691-706&lt;/pages&gt;&lt;volume&gt;79&lt;/volume&gt;&lt;dates&gt;&lt;year&gt;2025&lt;/year&gt;&lt;pub-dates&gt;&lt;date&gt;2025 Mar 26 (Epub 2025 Mar 26)&lt;/date&gt;&lt;/pub-dates&gt;&lt;/dates&gt;&lt;isbn&gt;2090-1224&lt;/isbn&gt;&lt;accession-num&gt;MEDLINE:40154736&lt;/accession-num&gt;&lt;work-type&gt;Journal Article&lt;/work-type&gt;&lt;urls&gt;&lt;/urls&gt;&lt;electronic-resource-num&gt;10.1016/j.jare.2025.03.049&lt;/electronic-resource-num&gt;&lt;access-date&gt;2025-04-02&lt;/access-date&gt;&lt;/record&gt;&lt;/Cite&gt;&lt;/EndNote&gt;</w:instrText>
            </w:r>
            <w:r w:rsidRPr="00167A4F">
              <w:rPr>
                <w:rFonts w:ascii="Times New Roman" w:hAnsi="Times New Roman" w:cs="Times New Roman"/>
                <w:sz w:val="24"/>
                <w:szCs w:val="24"/>
                <w:lang w:val="en-IN"/>
              </w:rPr>
              <w:fldChar w:fldCharType="separate"/>
            </w:r>
            <w:r w:rsidRPr="00167A4F">
              <w:rPr>
                <w:rFonts w:ascii="Times New Roman" w:hAnsi="Times New Roman" w:cs="Times New Roman"/>
                <w:noProof/>
                <w:sz w:val="24"/>
                <w:szCs w:val="24"/>
                <w:vertAlign w:val="superscript"/>
                <w:lang w:val="en-IN"/>
              </w:rPr>
              <w:t>5</w:t>
            </w:r>
            <w:r w:rsidRPr="00167A4F">
              <w:rPr>
                <w:rFonts w:ascii="Times New Roman" w:hAnsi="Times New Roman" w:cs="Times New Roman"/>
                <w:sz w:val="24"/>
                <w:szCs w:val="24"/>
                <w:lang w:val="en-IN"/>
              </w:rPr>
              <w:fldChar w:fldCharType="end"/>
            </w:r>
          </w:p>
        </w:tc>
      </w:tr>
      <w:tr w:rsidR="00167A4F" w:rsidRPr="00167A4F" w14:paraId="1DAB6A81" w14:textId="77777777" w:rsidTr="00AB4CB0">
        <w:trPr>
          <w:trHeight w:val="351"/>
        </w:trPr>
        <w:tc>
          <w:tcPr>
            <w:tcW w:w="1872" w:type="dxa"/>
            <w:tcBorders>
              <w:top w:val="nil"/>
              <w:left w:val="nil"/>
              <w:bottom w:val="nil"/>
              <w:right w:val="nil"/>
            </w:tcBorders>
            <w:vAlign w:val="center"/>
          </w:tcPr>
          <w:p w14:paraId="5FDDF3C1"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C-dot SOD Nanozyme</w:t>
            </w:r>
          </w:p>
        </w:tc>
        <w:tc>
          <w:tcPr>
            <w:tcW w:w="1816" w:type="dxa"/>
            <w:tcBorders>
              <w:top w:val="nil"/>
              <w:left w:val="nil"/>
              <w:bottom w:val="nil"/>
              <w:right w:val="nil"/>
            </w:tcBorders>
            <w:vAlign w:val="center"/>
          </w:tcPr>
          <w:p w14:paraId="60DD1BB6"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Oxidative etching method</w:t>
            </w:r>
          </w:p>
        </w:tc>
        <w:tc>
          <w:tcPr>
            <w:tcW w:w="2309" w:type="dxa"/>
            <w:tcBorders>
              <w:top w:val="nil"/>
              <w:left w:val="nil"/>
              <w:bottom w:val="nil"/>
              <w:right w:val="nil"/>
            </w:tcBorders>
            <w:vAlign w:val="center"/>
          </w:tcPr>
          <w:p w14:paraId="1D7D04D6"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81" w:type="dxa"/>
            <w:tcBorders>
              <w:top w:val="nil"/>
              <w:left w:val="nil"/>
              <w:bottom w:val="nil"/>
              <w:right w:val="nil"/>
            </w:tcBorders>
            <w:vAlign w:val="center"/>
          </w:tcPr>
          <w:p w14:paraId="602F58E9"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w:t>
            </w:r>
          </w:p>
        </w:tc>
        <w:tc>
          <w:tcPr>
            <w:tcW w:w="1876" w:type="dxa"/>
            <w:tcBorders>
              <w:top w:val="nil"/>
              <w:left w:val="nil"/>
              <w:bottom w:val="nil"/>
              <w:right w:val="nil"/>
            </w:tcBorders>
            <w:vAlign w:val="center"/>
          </w:tcPr>
          <w:p w14:paraId="1372D450"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 xml:space="preserve">10767 </w:t>
            </w:r>
            <w:r w:rsidRPr="00167A4F">
              <w:rPr>
                <w:rFonts w:ascii="Times New Roman" w:hAnsi="Times New Roman" w:cs="Times New Roman"/>
                <w:sz w:val="24"/>
                <w:szCs w:val="24"/>
              </w:rPr>
              <w:t>(WST-1 by Dojindo)</w:t>
            </w:r>
          </w:p>
        </w:tc>
        <w:tc>
          <w:tcPr>
            <w:tcW w:w="2094" w:type="dxa"/>
            <w:tcBorders>
              <w:top w:val="nil"/>
              <w:left w:val="nil"/>
              <w:bottom w:val="nil"/>
              <w:right w:val="nil"/>
            </w:tcBorders>
            <w:vAlign w:val="center"/>
          </w:tcPr>
          <w:p w14:paraId="3747C998"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Neurological damage induced by ischemic stroke</w:t>
            </w:r>
          </w:p>
        </w:tc>
        <w:tc>
          <w:tcPr>
            <w:tcW w:w="2059" w:type="dxa"/>
            <w:tcBorders>
              <w:top w:val="nil"/>
              <w:left w:val="nil"/>
              <w:bottom w:val="nil"/>
              <w:right w:val="nil"/>
            </w:tcBorders>
            <w:vAlign w:val="center"/>
          </w:tcPr>
          <w:p w14:paraId="580D9F77" w14:textId="16D05AA4" w:rsidR="00AB4CB0" w:rsidRPr="00167A4F" w:rsidRDefault="00F27898"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fldChar w:fldCharType="begin"/>
            </w:r>
            <w:r w:rsidRPr="00167A4F">
              <w:rPr>
                <w:rFonts w:ascii="Times New Roman" w:hAnsi="Times New Roman" w:cs="Times New Roman"/>
                <w:sz w:val="24"/>
                <w:szCs w:val="24"/>
              </w:rPr>
              <w:instrText xml:space="preserve"> ADDIN EN.CITE &lt;EndNote&gt;&lt;Cite&gt;&lt;Author&gt;Gao&lt;/Author&gt;&lt;Year&gt;2023&lt;/Year&gt;&lt;RecNum&gt;585&lt;/RecNum&gt;&lt;DisplayText&gt;&lt;style face="superscript"&gt;6&lt;/style&gt;&lt;/DisplayText&gt;&lt;record&gt;&lt;rec-number&gt;585&lt;/rec-number&gt;&lt;foreign-keys&gt;&lt;key app="EN" db-id="fft202z595rvvlezwac5r0xq05pxaz5f92sz" timestamp="1741923228"&gt;585&lt;/key&gt;&lt;/foreign-keys&gt;&lt;ref-type name="Journal Article"&gt;17&lt;/ref-type&gt;&lt;contributors&gt;&lt;authors&gt;&lt;author&gt;Gao, Wenhui&lt;/author&gt;&lt;author&gt;He, Jiuyang&lt;/author&gt;&lt;author&gt;Chen, Lei&lt;/author&gt;&lt;author&gt;Meng, Xiangqin&lt;/author&gt;&lt;author&gt;Ma, Yana&lt;/author&gt;&lt;author&gt;Cheng, Liangliang&lt;/author&gt;&lt;author&gt;Tu, Kangsheng&lt;/author&gt;&lt;author&gt;Gao, Xingfa&lt;/author&gt;&lt;author&gt;Liu, Cui&lt;/author&gt;&lt;author&gt;Zhang, Mingzhen&lt;/author&gt;&lt;author&gt;Fan, Kelong&lt;/author&gt;&lt;author&gt;Pang, Dai-Wen&lt;/author&gt;&lt;author&gt;Yan, Xiyun&lt;/author&gt;&lt;/authors&gt;&lt;/contributors&gt;&lt;titles&gt;&lt;title&gt;Deciphering the catalytic mechanism of superoxide dismutase activity of carbon dot nanozyme&lt;/title&gt;&lt;secondary-title&gt;Nat. Commun.&lt;/secondary-title&gt;&lt;short-title&gt;Deciphering the catalytic mechanism of superoxide dismutase activity of carbon dot nanozyme&lt;/short-title&gt;&lt;/titles&gt;&lt;periodical&gt;&lt;full-title&gt;Nature Communications&lt;/full-title&gt;&lt;abbr-1&gt;Nat. Commun.&lt;/abbr-1&gt;&lt;abbr-2&gt;NAT COMMUN&lt;/abbr-2&gt;&lt;/periodical&gt;&lt;pages&gt;160&lt;/pages&gt;&lt;volume&gt;14&lt;/volume&gt;&lt;number&gt;1&lt;/number&gt;&lt;dates&gt;&lt;year&gt;2023&lt;/year&gt;&lt;pub-dates&gt;&lt;date&gt;2023/01/11&lt;/date&gt;&lt;/pub-dates&gt;&lt;/dates&gt;&lt;isbn&gt;2041-1723&lt;/isbn&gt;&lt;urls&gt;&lt;related-urls&gt;&lt;url&gt;https://doi.org/10.1038/s41467-023-35828-2&lt;/url&gt;&lt;/related-urls&gt;&lt;/urls&gt;&lt;electronic-resource-num&gt;10.1038/s41467-023-35828-2&lt;/electronic-resource-num&gt;&lt;/record&gt;&lt;/Cite&gt;&lt;/EndNote&gt;</w:instrText>
            </w:r>
            <w:r w:rsidRPr="00167A4F">
              <w:rPr>
                <w:rFonts w:ascii="Times New Roman" w:hAnsi="Times New Roman" w:cs="Times New Roman"/>
                <w:sz w:val="24"/>
                <w:szCs w:val="24"/>
              </w:rPr>
              <w:fldChar w:fldCharType="separate"/>
            </w:r>
            <w:r w:rsidRPr="00167A4F">
              <w:rPr>
                <w:rFonts w:ascii="Times New Roman" w:hAnsi="Times New Roman" w:cs="Times New Roman"/>
                <w:noProof/>
                <w:sz w:val="24"/>
                <w:szCs w:val="24"/>
                <w:vertAlign w:val="superscript"/>
              </w:rPr>
              <w:t>6</w:t>
            </w:r>
            <w:r w:rsidRPr="00167A4F">
              <w:rPr>
                <w:rFonts w:ascii="Times New Roman" w:hAnsi="Times New Roman" w:cs="Times New Roman"/>
                <w:sz w:val="24"/>
                <w:szCs w:val="24"/>
              </w:rPr>
              <w:fldChar w:fldCharType="end"/>
            </w:r>
          </w:p>
        </w:tc>
      </w:tr>
      <w:tr w:rsidR="00167A4F" w:rsidRPr="00167A4F" w14:paraId="7F50A891" w14:textId="77777777" w:rsidTr="00AB4CB0">
        <w:trPr>
          <w:trHeight w:val="351"/>
        </w:trPr>
        <w:tc>
          <w:tcPr>
            <w:tcW w:w="1872" w:type="dxa"/>
            <w:tcBorders>
              <w:top w:val="nil"/>
              <w:left w:val="nil"/>
              <w:bottom w:val="nil"/>
              <w:right w:val="nil"/>
            </w:tcBorders>
            <w:vAlign w:val="center"/>
          </w:tcPr>
          <w:p w14:paraId="54219B46"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Fluorescent C-dot SOD</w:t>
            </w:r>
          </w:p>
        </w:tc>
        <w:tc>
          <w:tcPr>
            <w:tcW w:w="1816" w:type="dxa"/>
            <w:tcBorders>
              <w:top w:val="nil"/>
              <w:left w:val="nil"/>
              <w:bottom w:val="nil"/>
              <w:right w:val="nil"/>
            </w:tcBorders>
            <w:vAlign w:val="center"/>
          </w:tcPr>
          <w:p w14:paraId="284EA00D"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rPr>
              <w:t>hydrothermal method</w:t>
            </w:r>
          </w:p>
        </w:tc>
        <w:tc>
          <w:tcPr>
            <w:tcW w:w="2309" w:type="dxa"/>
            <w:tcBorders>
              <w:top w:val="nil"/>
              <w:left w:val="nil"/>
              <w:bottom w:val="nil"/>
              <w:right w:val="nil"/>
            </w:tcBorders>
            <w:vAlign w:val="center"/>
          </w:tcPr>
          <w:p w14:paraId="6B5EE178"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420/683</w:t>
            </w:r>
          </w:p>
        </w:tc>
        <w:tc>
          <w:tcPr>
            <w:tcW w:w="1881" w:type="dxa"/>
            <w:tcBorders>
              <w:top w:val="nil"/>
              <w:left w:val="nil"/>
              <w:bottom w:val="nil"/>
              <w:right w:val="nil"/>
            </w:tcBorders>
            <w:vAlign w:val="center"/>
          </w:tcPr>
          <w:p w14:paraId="31FCB520"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14%</w:t>
            </w:r>
          </w:p>
        </w:tc>
        <w:tc>
          <w:tcPr>
            <w:tcW w:w="1876" w:type="dxa"/>
            <w:tcBorders>
              <w:top w:val="nil"/>
              <w:left w:val="nil"/>
              <w:bottom w:val="nil"/>
              <w:right w:val="nil"/>
            </w:tcBorders>
            <w:vAlign w:val="center"/>
          </w:tcPr>
          <w:p w14:paraId="46BD6245"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 xml:space="preserve">4049 </w:t>
            </w:r>
            <w:r w:rsidRPr="00167A4F">
              <w:rPr>
                <w:rFonts w:ascii="Times New Roman" w:hAnsi="Times New Roman" w:cs="Times New Roman"/>
                <w:sz w:val="24"/>
                <w:szCs w:val="24"/>
              </w:rPr>
              <w:t>(WST-1 by Dojindo)</w:t>
            </w:r>
          </w:p>
        </w:tc>
        <w:tc>
          <w:tcPr>
            <w:tcW w:w="2094" w:type="dxa"/>
            <w:tcBorders>
              <w:top w:val="nil"/>
              <w:left w:val="nil"/>
              <w:bottom w:val="nil"/>
              <w:right w:val="nil"/>
            </w:tcBorders>
            <w:vAlign w:val="center"/>
          </w:tcPr>
          <w:p w14:paraId="6A6FBC24" w14:textId="77777777" w:rsidR="00AB4CB0" w:rsidRPr="00167A4F" w:rsidRDefault="00AB4CB0"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Acute lung injury</w:t>
            </w:r>
          </w:p>
        </w:tc>
        <w:tc>
          <w:tcPr>
            <w:tcW w:w="2059" w:type="dxa"/>
            <w:tcBorders>
              <w:top w:val="nil"/>
              <w:left w:val="nil"/>
              <w:bottom w:val="nil"/>
              <w:right w:val="nil"/>
            </w:tcBorders>
            <w:vAlign w:val="center"/>
          </w:tcPr>
          <w:p w14:paraId="5B91B16E" w14:textId="72B98A62" w:rsidR="00AB4CB0" w:rsidRPr="00167A4F" w:rsidRDefault="00F27898" w:rsidP="00EB14E0">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fldChar w:fldCharType="begin"/>
            </w:r>
            <w:r w:rsidRPr="00167A4F">
              <w:rPr>
                <w:rFonts w:ascii="Times New Roman" w:hAnsi="Times New Roman" w:cs="Times New Roman"/>
                <w:sz w:val="24"/>
                <w:szCs w:val="24"/>
                <w:lang w:val="en-IN"/>
              </w:rPr>
              <w:instrText xml:space="preserve"> ADDIN EN.CITE &lt;EndNote&gt;&lt;Cite&gt;&lt;Author&gt;Liu&lt;/Author&gt;&lt;Year&gt;2023&lt;/Year&gt;&lt;RecNum&gt;69&lt;/RecNum&gt;&lt;DisplayText&gt;&lt;style face="superscript"&gt;7&lt;/style&gt;&lt;/DisplayText&gt;&lt;record&gt;&lt;rec-number&gt;69&lt;/rec-number&gt;&lt;foreign-keys&gt;&lt;key app="EN" db-id="fft202z595rvvlezwac5r0xq05pxaz5f92sz" timestamp="1712198906"&gt;69&lt;/key&gt;&lt;key app="ENWeb" db-id=""&gt;0&lt;/key&gt;&lt;/foreign-keys&gt;&lt;ref-type name="Journal Article"&gt;17&lt;/ref-type&gt;&lt;contributors&gt;&lt;authors&gt;&lt;author&gt;Liu, Cui&lt;/author&gt;&lt;author&gt;Fan, Wenbin&lt;/author&gt;&lt;author&gt;Cheng, Wen</w:instrText>
            </w:r>
            <w:r w:rsidRPr="00167A4F">
              <w:rPr>
                <w:rFonts w:ascii="Times New Roman" w:hAnsi="Times New Roman" w:cs="Times New Roman" w:hint="eastAsia"/>
                <w:sz w:val="24"/>
                <w:szCs w:val="24"/>
                <w:lang w:val="en-IN"/>
              </w:rPr>
              <w:instrText>‐</w:instrText>
            </w:r>
            <w:r w:rsidRPr="00167A4F">
              <w:rPr>
                <w:rFonts w:ascii="Times New Roman" w:hAnsi="Times New Roman" w:cs="Times New Roman"/>
                <w:sz w:val="24"/>
                <w:szCs w:val="24"/>
                <w:lang w:val="en-IN"/>
              </w:rPr>
              <w:instrText>Xiang&lt;/author&gt;&lt;author&gt;Gu, Yiping&lt;/author&gt;&lt;author&gt;Chen, Yiming&lt;/author&gt;&lt;author&gt;Zhou, Wenhua&lt;/author&gt;&lt;author&gt;Yu, Xue</w:instrText>
            </w:r>
            <w:r w:rsidRPr="00167A4F">
              <w:rPr>
                <w:rFonts w:ascii="Times New Roman" w:hAnsi="Times New Roman" w:cs="Times New Roman" w:hint="eastAsia"/>
                <w:sz w:val="24"/>
                <w:szCs w:val="24"/>
                <w:lang w:val="en-IN"/>
              </w:rPr>
              <w:instrText>‐</w:instrText>
            </w:r>
            <w:r w:rsidRPr="00167A4F">
              <w:rPr>
                <w:rFonts w:ascii="Times New Roman" w:hAnsi="Times New Roman" w:cs="Times New Roman"/>
                <w:sz w:val="24"/>
                <w:szCs w:val="24"/>
                <w:lang w:val="en-IN"/>
              </w:rPr>
              <w:instrText>Feng&lt;/author&gt;&lt;author&gt;Chen, Minghai&lt;/author&gt;&lt;author&gt;Zhu, Minrong&lt;/author&gt;&lt;author&gt;Fan, Kelong&lt;/author&gt;&lt;author&gt;Luo, Qing</w:instrText>
            </w:r>
            <w:r w:rsidRPr="00167A4F">
              <w:rPr>
                <w:rFonts w:ascii="Times New Roman" w:hAnsi="Times New Roman" w:cs="Times New Roman" w:hint="eastAsia"/>
                <w:sz w:val="24"/>
                <w:szCs w:val="24"/>
                <w:lang w:val="en-IN"/>
              </w:rPr>
              <w:instrText>‐</w:instrText>
            </w:r>
            <w:r w:rsidRPr="00167A4F">
              <w:rPr>
                <w:rFonts w:ascii="Times New Roman" w:hAnsi="Times New Roman" w:cs="Times New Roman"/>
                <w:sz w:val="24"/>
                <w:szCs w:val="24"/>
                <w:lang w:val="en-IN"/>
              </w:rPr>
              <w:instrText>Ying&lt;/author&gt;&lt;/authors&gt;&lt;/contributors&gt;&lt;titles&gt;&lt;title&gt;Red Emissive Carbon Dot Superoxide Dismutase Nanozyme for Bioimaging and Ameliorating Acute Lung Injury&lt;/title&gt;&lt;secondary-title&gt;Adv. Funct. Mater.&lt;/secondary-title&gt;&lt;/titles&gt;&lt;periodical&gt;&lt;full-title&gt;Advanced Functional Materials&lt;/full-title&gt;&lt;abbr-1&gt;Adv. Funct. Mater.&lt;/abbr-1&gt;&lt;/periodical&gt;&lt;pages&gt;2213856&lt;/pages&gt;&lt;volume&gt;33&lt;/volume&gt;&lt;number&gt;19&lt;/number&gt;&lt;dates&gt;&lt;year&gt;2023&lt;/year&gt;&lt;/dates&gt;&lt;isbn&gt;1616-301X&amp;#xD;1616-3028&lt;/isbn&gt;&lt;urls&gt;&lt;/urls&gt;&lt;electronic-resource-num&gt;10.1002/adfm.202213856&lt;/electronic-resource-num&gt;&lt;/record&gt;&lt;/Cite&gt;&lt;/EndNote&gt;</w:instrText>
            </w:r>
            <w:r w:rsidRPr="00167A4F">
              <w:rPr>
                <w:rFonts w:ascii="Times New Roman" w:hAnsi="Times New Roman" w:cs="Times New Roman"/>
                <w:sz w:val="24"/>
                <w:szCs w:val="24"/>
                <w:lang w:val="en-IN"/>
              </w:rPr>
              <w:fldChar w:fldCharType="separate"/>
            </w:r>
            <w:r w:rsidRPr="00167A4F">
              <w:rPr>
                <w:rFonts w:ascii="Times New Roman" w:hAnsi="Times New Roman" w:cs="Times New Roman"/>
                <w:noProof/>
                <w:sz w:val="24"/>
                <w:szCs w:val="24"/>
                <w:vertAlign w:val="superscript"/>
                <w:lang w:val="en-IN"/>
              </w:rPr>
              <w:t>7</w:t>
            </w:r>
            <w:r w:rsidRPr="00167A4F">
              <w:rPr>
                <w:rFonts w:ascii="Times New Roman" w:hAnsi="Times New Roman" w:cs="Times New Roman"/>
                <w:sz w:val="24"/>
                <w:szCs w:val="24"/>
                <w:lang w:val="en-IN"/>
              </w:rPr>
              <w:fldChar w:fldCharType="end"/>
            </w:r>
          </w:p>
        </w:tc>
      </w:tr>
      <w:tr w:rsidR="00167A4F" w:rsidRPr="00167A4F" w14:paraId="397FB390" w14:textId="77777777" w:rsidTr="00AB4CB0">
        <w:trPr>
          <w:trHeight w:val="351"/>
        </w:trPr>
        <w:tc>
          <w:tcPr>
            <w:tcW w:w="1872" w:type="dxa"/>
            <w:tcBorders>
              <w:top w:val="nil"/>
              <w:left w:val="nil"/>
              <w:bottom w:val="nil"/>
              <w:right w:val="nil"/>
            </w:tcBorders>
            <w:vAlign w:val="center"/>
          </w:tcPr>
          <w:p w14:paraId="09317CCB" w14:textId="709E37E4" w:rsidR="003A13C5" w:rsidRPr="00167A4F" w:rsidRDefault="003A13C5" w:rsidP="003A13C5">
            <w:pPr>
              <w:jc w:val="center"/>
              <w:rPr>
                <w:rFonts w:ascii="Times New Roman" w:hAnsi="Times New Roman" w:cs="Times New Roman"/>
                <w:sz w:val="24"/>
                <w:szCs w:val="24"/>
              </w:rPr>
            </w:pPr>
            <w:r w:rsidRPr="00167A4F">
              <w:rPr>
                <w:rFonts w:ascii="Times New Roman" w:hAnsi="Times New Roman" w:cs="Times New Roman"/>
                <w:sz w:val="24"/>
                <w:szCs w:val="24"/>
              </w:rPr>
              <w:t>Mg/Mn-CDs</w:t>
            </w:r>
          </w:p>
        </w:tc>
        <w:tc>
          <w:tcPr>
            <w:tcW w:w="1816" w:type="dxa"/>
            <w:tcBorders>
              <w:top w:val="nil"/>
              <w:left w:val="nil"/>
              <w:bottom w:val="nil"/>
              <w:right w:val="nil"/>
            </w:tcBorders>
            <w:vAlign w:val="center"/>
          </w:tcPr>
          <w:p w14:paraId="4A8D3C01" w14:textId="00D31B2C" w:rsidR="003A13C5" w:rsidRPr="00167A4F" w:rsidRDefault="003A13C5" w:rsidP="003A13C5">
            <w:pPr>
              <w:jc w:val="center"/>
              <w:rPr>
                <w:rFonts w:ascii="Times New Roman" w:hAnsi="Times New Roman" w:cs="Times New Roman"/>
                <w:sz w:val="24"/>
                <w:szCs w:val="24"/>
              </w:rPr>
            </w:pPr>
            <w:r w:rsidRPr="00167A4F">
              <w:rPr>
                <w:rFonts w:ascii="Times New Roman" w:hAnsi="Times New Roman" w:cs="Times New Roman"/>
                <w:sz w:val="24"/>
                <w:szCs w:val="24"/>
              </w:rPr>
              <w:t>hydrothermal method</w:t>
            </w:r>
          </w:p>
        </w:tc>
        <w:tc>
          <w:tcPr>
            <w:tcW w:w="2309" w:type="dxa"/>
            <w:tcBorders>
              <w:top w:val="nil"/>
              <w:left w:val="nil"/>
              <w:bottom w:val="nil"/>
              <w:right w:val="nil"/>
            </w:tcBorders>
            <w:vAlign w:val="center"/>
          </w:tcPr>
          <w:p w14:paraId="2743DE69" w14:textId="3DC6057B"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420/657</w:t>
            </w:r>
          </w:p>
        </w:tc>
        <w:tc>
          <w:tcPr>
            <w:tcW w:w="1881" w:type="dxa"/>
            <w:tcBorders>
              <w:top w:val="nil"/>
              <w:left w:val="nil"/>
              <w:bottom w:val="nil"/>
              <w:right w:val="nil"/>
            </w:tcBorders>
            <w:vAlign w:val="center"/>
          </w:tcPr>
          <w:p w14:paraId="71B83922" w14:textId="70CD16C0"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13%</w:t>
            </w:r>
          </w:p>
        </w:tc>
        <w:tc>
          <w:tcPr>
            <w:tcW w:w="1876" w:type="dxa"/>
            <w:tcBorders>
              <w:top w:val="nil"/>
              <w:left w:val="nil"/>
              <w:bottom w:val="nil"/>
              <w:right w:val="nil"/>
            </w:tcBorders>
            <w:vAlign w:val="center"/>
          </w:tcPr>
          <w:p w14:paraId="4374C922" w14:textId="06EEAB9B"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rPr>
              <w:t>30864 (WST-1 by Dojindo)</w:t>
            </w:r>
          </w:p>
        </w:tc>
        <w:tc>
          <w:tcPr>
            <w:tcW w:w="2094" w:type="dxa"/>
            <w:tcBorders>
              <w:top w:val="nil"/>
              <w:left w:val="nil"/>
              <w:bottom w:val="nil"/>
              <w:right w:val="nil"/>
            </w:tcBorders>
            <w:vAlign w:val="center"/>
          </w:tcPr>
          <w:p w14:paraId="7254F9E3" w14:textId="0D3A037F"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Atopic dermatitis</w:t>
            </w:r>
          </w:p>
        </w:tc>
        <w:tc>
          <w:tcPr>
            <w:tcW w:w="2059" w:type="dxa"/>
            <w:tcBorders>
              <w:top w:val="nil"/>
              <w:left w:val="nil"/>
              <w:bottom w:val="nil"/>
              <w:right w:val="nil"/>
            </w:tcBorders>
            <w:vAlign w:val="center"/>
          </w:tcPr>
          <w:p w14:paraId="41035FD1" w14:textId="58809B86" w:rsidR="003A13C5" w:rsidRPr="00167A4F" w:rsidRDefault="00A37667" w:rsidP="003A13C5">
            <w:pPr>
              <w:jc w:val="center"/>
              <w:rPr>
                <w:rFonts w:ascii="Times New Roman" w:hAnsi="Times New Roman" w:cs="Times New Roman"/>
                <w:sz w:val="24"/>
                <w:szCs w:val="24"/>
                <w:lang w:val="en-IN"/>
              </w:rPr>
            </w:pPr>
            <w:r w:rsidRPr="004F09D4">
              <w:rPr>
                <w:rFonts w:ascii="Times New Roman" w:hAnsi="Times New Roman" w:cs="Times New Roman"/>
                <w:noProof/>
                <w:sz w:val="24"/>
                <w:szCs w:val="24"/>
                <w:vertAlign w:val="superscript"/>
                <w:lang w:val="en-IN"/>
              </w:rPr>
              <w:fldChar w:fldCharType="begin"/>
            </w:r>
            <w:r w:rsidRPr="004F09D4">
              <w:rPr>
                <w:rFonts w:ascii="Times New Roman" w:hAnsi="Times New Roman" w:cs="Times New Roman"/>
                <w:noProof/>
                <w:sz w:val="24"/>
                <w:szCs w:val="24"/>
                <w:vertAlign w:val="superscript"/>
                <w:lang w:val="en-IN"/>
              </w:rPr>
              <w:instrText xml:space="preserve"> ADDIN EN.CITE &lt;EndNote&gt;&lt;Cite&gt;&lt;Author&gt;Zhang&lt;/Author&gt;&lt;Year&gt;2025&lt;/Year&gt;&lt;RecNum&gt;1029&lt;/RecNum&gt;&lt;DisplayText&gt;&lt;style face="superscript"&gt;1&lt;/style&gt;&lt;/DisplayText&gt;&lt;record&gt;&lt;rec-number&gt;1029&lt;/rec-number&gt;&lt;foreign-keys&gt;&lt;key app="EN" db-id="fft202z595rvvlezwac5r0xq05pxaz5f92sz" timestamp="1773837254"&gt;1029&lt;/key&gt;&lt;/foreign-keys&gt;&lt;ref-type name="Journal Article"&gt;17&lt;/ref-type&gt;&lt;contributors&gt;&lt;authors&gt;&lt;author&gt;Zhang, Yu&lt;/author&gt;&lt;author&gt;Shi, Jinyu&lt;/author&gt;&lt;author&gt;Fang, Xiangyang&lt;/author&gt;&lt;author&gt;Li, Jing&lt;/author&gt;&lt;author&gt;Fan, Xing&lt;/author&gt;&lt;author&gt;Wang, Ke&lt;/author&gt;&lt;author&gt;Gao, Guoqiang&lt;/author&gt;&lt;author&gt;Luo, Fufang&lt;/author&gt;&lt;author&gt;Xu, Na&lt;/author&gt;&lt;author&gt;Xia, Zhining&lt;/author&gt;&lt;author&gt;Liu, Cui&lt;/author&gt;&lt;/authors&gt;&lt;/contributors&gt;&lt;titles&gt;&lt;title&gt;Mg/Mn co-doped carbon dot nanozyme with high superoxide dismutase-like activity and fluorescence for transdermal therapy of atopic dermatitis&lt;/title&gt;&lt;secondary-title&gt;Chem. Eng. J.&lt;/secondary-title&gt;&lt;/titles&gt;&lt;periodical&gt;&lt;full-title&gt;Chemical Engineering Journal&lt;/full-title&gt;&lt;abbr-1&gt;Chem. Eng. J.&lt;/abbr-1&gt;&lt;abbr-2&gt;Chem Eng J&lt;/abbr-2&gt;&lt;/periodical&gt;&lt;pages&gt;168610&lt;/pages&gt;&lt;volume&gt;523&lt;/volume&gt;&lt;dates&gt;&lt;year&gt;2025&lt;/year&gt;&lt;pub-dates&gt;&lt;date&gt;2025/09/17&lt;/date&gt;&lt;/pub-dates&gt;&lt;/dates&gt;&lt;urls&gt;&lt;related-urls&gt;&lt;url&gt;http://dx.doi.org/10.1016/j.cej.2025.168610&lt;/url&gt;&lt;/related-urls&gt;&lt;/urls&gt;&lt;electronic-resource-num&gt;10.1016/j.cej.2025.168610&lt;/electronic-resource-num&gt;&lt;/record&gt;&lt;/Cite&gt;&lt;/EndNote&gt;</w:instrText>
            </w:r>
            <w:r w:rsidRPr="004F09D4">
              <w:rPr>
                <w:rFonts w:ascii="Times New Roman" w:hAnsi="Times New Roman" w:cs="Times New Roman"/>
                <w:noProof/>
                <w:sz w:val="24"/>
                <w:szCs w:val="24"/>
                <w:vertAlign w:val="superscript"/>
                <w:lang w:val="en-IN"/>
              </w:rPr>
              <w:fldChar w:fldCharType="separate"/>
            </w:r>
            <w:r w:rsidRPr="004F09D4">
              <w:rPr>
                <w:rFonts w:ascii="Times New Roman" w:hAnsi="Times New Roman" w:cs="Times New Roman"/>
                <w:noProof/>
                <w:sz w:val="24"/>
                <w:szCs w:val="24"/>
                <w:vertAlign w:val="superscript"/>
                <w:lang w:val="en-IN"/>
              </w:rPr>
              <w:t>1</w:t>
            </w:r>
            <w:r w:rsidRPr="004F09D4">
              <w:rPr>
                <w:rFonts w:ascii="Times New Roman" w:hAnsi="Times New Roman" w:cs="Times New Roman"/>
                <w:noProof/>
                <w:sz w:val="24"/>
                <w:szCs w:val="24"/>
                <w:vertAlign w:val="superscript"/>
                <w:lang w:val="en-IN"/>
              </w:rPr>
              <w:fldChar w:fldCharType="end"/>
            </w:r>
          </w:p>
        </w:tc>
      </w:tr>
      <w:tr w:rsidR="003A13C5" w:rsidRPr="00167A4F" w14:paraId="51AD8C9F" w14:textId="77777777" w:rsidTr="00AB4CB0">
        <w:trPr>
          <w:trHeight w:val="351"/>
        </w:trPr>
        <w:tc>
          <w:tcPr>
            <w:tcW w:w="1872" w:type="dxa"/>
            <w:tcBorders>
              <w:top w:val="nil"/>
              <w:left w:val="nil"/>
              <w:bottom w:val="single" w:sz="8" w:space="0" w:color="auto"/>
              <w:right w:val="nil"/>
            </w:tcBorders>
            <w:vAlign w:val="center"/>
          </w:tcPr>
          <w:p w14:paraId="545FBA2F" w14:textId="16FE6D05" w:rsidR="003A13C5" w:rsidRPr="00167A4F" w:rsidRDefault="003A13C5" w:rsidP="009F028B">
            <w:pPr>
              <w:jc w:val="center"/>
              <w:rPr>
                <w:rFonts w:ascii="Times New Roman" w:hAnsi="Times New Roman" w:cs="Times New Roman"/>
                <w:sz w:val="24"/>
                <w:szCs w:val="24"/>
                <w:lang w:val="en-IN"/>
              </w:rPr>
            </w:pPr>
            <w:r w:rsidRPr="00167A4F">
              <w:rPr>
                <w:rFonts w:ascii="Times New Roman" w:hAnsi="Times New Roman" w:cs="Times New Roman"/>
                <w:sz w:val="24"/>
                <w:szCs w:val="24"/>
              </w:rPr>
              <w:t>Mg</w:t>
            </w:r>
            <w:r w:rsidR="009F028B" w:rsidRPr="00167A4F">
              <w:rPr>
                <w:rFonts w:ascii="Times New Roman" w:hAnsi="Times New Roman" w:cs="Times New Roman"/>
                <w:sz w:val="24"/>
                <w:szCs w:val="24"/>
              </w:rPr>
              <w:t>Mn</w:t>
            </w:r>
            <w:r w:rsidRPr="00167A4F">
              <w:rPr>
                <w:rFonts w:ascii="Times New Roman" w:hAnsi="Times New Roman" w:cs="Times New Roman"/>
                <w:sz w:val="24"/>
                <w:szCs w:val="24"/>
              </w:rPr>
              <w:t>@CDs</w:t>
            </w:r>
          </w:p>
        </w:tc>
        <w:tc>
          <w:tcPr>
            <w:tcW w:w="1816" w:type="dxa"/>
            <w:tcBorders>
              <w:top w:val="nil"/>
              <w:left w:val="nil"/>
              <w:bottom w:val="single" w:sz="8" w:space="0" w:color="auto"/>
              <w:right w:val="nil"/>
            </w:tcBorders>
            <w:vAlign w:val="center"/>
          </w:tcPr>
          <w:p w14:paraId="7776927C" w14:textId="77777777"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rPr>
              <w:t>hydrothermal method</w:t>
            </w:r>
          </w:p>
        </w:tc>
        <w:tc>
          <w:tcPr>
            <w:tcW w:w="2309" w:type="dxa"/>
            <w:tcBorders>
              <w:top w:val="nil"/>
              <w:left w:val="nil"/>
              <w:bottom w:val="single" w:sz="8" w:space="0" w:color="auto"/>
              <w:right w:val="nil"/>
            </w:tcBorders>
            <w:vAlign w:val="center"/>
          </w:tcPr>
          <w:p w14:paraId="1ADE9117" w14:textId="39A907B9" w:rsidR="003A13C5" w:rsidRPr="00167A4F" w:rsidRDefault="003A13C5" w:rsidP="009F028B">
            <w:pPr>
              <w:jc w:val="center"/>
              <w:rPr>
                <w:rFonts w:ascii="Times New Roman" w:hAnsi="Times New Roman" w:cs="Times New Roman"/>
                <w:sz w:val="24"/>
                <w:szCs w:val="24"/>
                <w:lang w:val="en-IN"/>
              </w:rPr>
            </w:pPr>
            <w:r w:rsidRPr="00167A4F">
              <w:rPr>
                <w:rFonts w:ascii="Times New Roman" w:hAnsi="Times New Roman" w:cs="Times New Roman"/>
                <w:sz w:val="24"/>
                <w:szCs w:val="24"/>
              </w:rPr>
              <w:t>420/657</w:t>
            </w:r>
          </w:p>
        </w:tc>
        <w:tc>
          <w:tcPr>
            <w:tcW w:w="1881" w:type="dxa"/>
            <w:tcBorders>
              <w:top w:val="nil"/>
              <w:left w:val="nil"/>
              <w:bottom w:val="single" w:sz="8" w:space="0" w:color="auto"/>
              <w:right w:val="nil"/>
            </w:tcBorders>
            <w:vAlign w:val="center"/>
          </w:tcPr>
          <w:p w14:paraId="6770E483" w14:textId="77777777"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16.4%</w:t>
            </w:r>
          </w:p>
        </w:tc>
        <w:tc>
          <w:tcPr>
            <w:tcW w:w="1876" w:type="dxa"/>
            <w:tcBorders>
              <w:top w:val="nil"/>
              <w:left w:val="nil"/>
              <w:bottom w:val="single" w:sz="8" w:space="0" w:color="auto"/>
              <w:right w:val="nil"/>
            </w:tcBorders>
            <w:vAlign w:val="center"/>
          </w:tcPr>
          <w:p w14:paraId="70FB6887" w14:textId="77777777"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rPr>
              <w:t>20658 (WST-1 by Dojindo)</w:t>
            </w:r>
          </w:p>
        </w:tc>
        <w:tc>
          <w:tcPr>
            <w:tcW w:w="2094" w:type="dxa"/>
            <w:tcBorders>
              <w:top w:val="nil"/>
              <w:left w:val="nil"/>
              <w:bottom w:val="single" w:sz="8" w:space="0" w:color="auto"/>
              <w:right w:val="nil"/>
            </w:tcBorders>
            <w:vAlign w:val="center"/>
          </w:tcPr>
          <w:p w14:paraId="77E5F54E" w14:textId="77777777"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rPr>
              <w:t>Acute liver injury</w:t>
            </w:r>
          </w:p>
        </w:tc>
        <w:tc>
          <w:tcPr>
            <w:tcW w:w="2059" w:type="dxa"/>
            <w:tcBorders>
              <w:top w:val="nil"/>
              <w:left w:val="nil"/>
              <w:bottom w:val="single" w:sz="8" w:space="0" w:color="auto"/>
              <w:right w:val="nil"/>
            </w:tcBorders>
            <w:vAlign w:val="center"/>
          </w:tcPr>
          <w:p w14:paraId="4C00B1B0" w14:textId="77777777" w:rsidR="003A13C5" w:rsidRPr="00167A4F" w:rsidRDefault="003A13C5" w:rsidP="003A13C5">
            <w:pPr>
              <w:jc w:val="center"/>
              <w:rPr>
                <w:rFonts w:ascii="Times New Roman" w:hAnsi="Times New Roman" w:cs="Times New Roman"/>
                <w:sz w:val="24"/>
                <w:szCs w:val="24"/>
                <w:lang w:val="en-IN"/>
              </w:rPr>
            </w:pPr>
            <w:r w:rsidRPr="00167A4F">
              <w:rPr>
                <w:rFonts w:ascii="Times New Roman" w:hAnsi="Times New Roman" w:cs="Times New Roman"/>
                <w:sz w:val="24"/>
                <w:szCs w:val="24"/>
                <w:lang w:val="en-IN"/>
              </w:rPr>
              <w:t>This work</w:t>
            </w:r>
          </w:p>
        </w:tc>
      </w:tr>
    </w:tbl>
    <w:p w14:paraId="6703AD0A" w14:textId="77777777" w:rsidR="00AB4CB0" w:rsidRPr="00167A4F" w:rsidRDefault="00AB4CB0">
      <w:pPr>
        <w:jc w:val="center"/>
        <w:rPr>
          <w:rFonts w:ascii="Times New Roman" w:hAnsi="Times New Roman" w:cs="Times New Roman"/>
          <w:sz w:val="24"/>
          <w:szCs w:val="24"/>
        </w:rPr>
        <w:sectPr w:rsidR="00AB4CB0" w:rsidRPr="00167A4F" w:rsidSect="00AB4CB0">
          <w:pgSz w:w="16838" w:h="11906" w:orient="landscape"/>
          <w:pgMar w:top="1800" w:right="1440" w:bottom="1800" w:left="1440" w:header="851" w:footer="992" w:gutter="0"/>
          <w:cols w:space="425"/>
          <w:docGrid w:type="lines" w:linePitch="312"/>
        </w:sectPr>
      </w:pPr>
    </w:p>
    <w:p w14:paraId="33160A49" w14:textId="05F0209C" w:rsidR="001727E1" w:rsidRDefault="001727E1" w:rsidP="00CA18BD">
      <w:pPr>
        <w:spacing w:line="360" w:lineRule="auto"/>
        <w:rPr>
          <w:rFonts w:ascii="Times New Roman" w:hAnsi="Times New Roman" w:cs="Times New Roman"/>
          <w:bCs/>
          <w:color w:val="000000" w:themeColor="text1"/>
          <w:sz w:val="24"/>
        </w:rPr>
      </w:pPr>
      <w:r>
        <w:rPr>
          <w:rFonts w:ascii="Times New Roman" w:hAnsi="Times New Roman" w:cs="Times New Roman"/>
          <w:b/>
          <w:bCs/>
          <w:color w:val="000000" w:themeColor="text1"/>
          <w:sz w:val="24"/>
        </w:rPr>
        <w:t>Table</w:t>
      </w:r>
      <w:r w:rsidR="00791B83">
        <w:rPr>
          <w:rFonts w:ascii="Times New Roman" w:hAnsi="Times New Roman" w:cs="Times New Roman" w:hint="eastAsia"/>
          <w:b/>
          <w:bCs/>
          <w:color w:val="000000" w:themeColor="text1"/>
          <w:sz w:val="24"/>
        </w:rPr>
        <w:t>.</w:t>
      </w:r>
      <w:r>
        <w:rPr>
          <w:rFonts w:ascii="Times New Roman" w:hAnsi="Times New Roman" w:cs="Times New Roman"/>
          <w:b/>
          <w:bCs/>
          <w:color w:val="000000" w:themeColor="text1"/>
          <w:sz w:val="24"/>
        </w:rPr>
        <w:t xml:space="preserve"> S6 </w:t>
      </w:r>
      <w:r>
        <w:rPr>
          <w:rFonts w:ascii="Times New Roman" w:hAnsi="Times New Roman" w:cs="Times New Roman"/>
          <w:bCs/>
          <w:color w:val="000000" w:themeColor="text1"/>
          <w:sz w:val="24"/>
        </w:rPr>
        <w:t>Primers used for qRT-PCR.</w:t>
      </w:r>
    </w:p>
    <w:tbl>
      <w:tblPr>
        <w:tblStyle w:val="af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50"/>
        <w:gridCol w:w="5556"/>
      </w:tblGrid>
      <w:tr w:rsidR="001727E1" w14:paraId="291B568A" w14:textId="77777777">
        <w:tc>
          <w:tcPr>
            <w:tcW w:w="2750" w:type="dxa"/>
            <w:tcBorders>
              <w:top w:val="single" w:sz="4" w:space="0" w:color="auto"/>
              <w:left w:val="nil"/>
              <w:bottom w:val="single" w:sz="4" w:space="0" w:color="auto"/>
              <w:right w:val="nil"/>
            </w:tcBorders>
          </w:tcPr>
          <w:p w14:paraId="6F955F18" w14:textId="77777777" w:rsidR="001727E1" w:rsidRDefault="001727E1">
            <w:pPr>
              <w:spacing w:line="360" w:lineRule="auto"/>
              <w:rPr>
                <w:rFonts w:ascii="Times New Roman" w:hAnsi="Times New Roman" w:cs="Times New Roman"/>
                <w:b/>
                <w:bCs/>
                <w:color w:val="000000" w:themeColor="text1"/>
                <w:sz w:val="24"/>
                <w14:ligatures w14:val="none"/>
              </w:rPr>
            </w:pPr>
          </w:p>
        </w:tc>
        <w:tc>
          <w:tcPr>
            <w:tcW w:w="5556" w:type="dxa"/>
            <w:tcBorders>
              <w:top w:val="single" w:sz="4" w:space="0" w:color="auto"/>
              <w:left w:val="nil"/>
              <w:bottom w:val="single" w:sz="4" w:space="0" w:color="auto"/>
              <w:right w:val="nil"/>
            </w:tcBorders>
          </w:tcPr>
          <w:p w14:paraId="506E0DFC" w14:textId="77777777" w:rsidR="001727E1" w:rsidRDefault="001727E1">
            <w:pPr>
              <w:spacing w:line="360" w:lineRule="auto"/>
              <w:jc w:val="center"/>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Primer sequences</w:t>
            </w:r>
          </w:p>
        </w:tc>
      </w:tr>
      <w:tr w:rsidR="001727E1" w14:paraId="5D64E3F0" w14:textId="77777777">
        <w:tc>
          <w:tcPr>
            <w:tcW w:w="2750" w:type="dxa"/>
            <w:vMerge w:val="restart"/>
            <w:tcBorders>
              <w:top w:val="nil"/>
              <w:left w:val="nil"/>
              <w:bottom w:val="nil"/>
              <w:right w:val="nil"/>
            </w:tcBorders>
          </w:tcPr>
          <w:p w14:paraId="18D3A561"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Mouse GAPDH</w:t>
            </w:r>
          </w:p>
        </w:tc>
        <w:tc>
          <w:tcPr>
            <w:tcW w:w="5556" w:type="dxa"/>
            <w:tcBorders>
              <w:top w:val="single" w:sz="4" w:space="0" w:color="auto"/>
              <w:left w:val="nil"/>
              <w:bottom w:val="nil"/>
              <w:right w:val="nil"/>
            </w:tcBorders>
          </w:tcPr>
          <w:p w14:paraId="0A7C4B64"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F:5’ TGT GTC CGT CGT GGA TCT GA 3’</w:t>
            </w:r>
          </w:p>
        </w:tc>
      </w:tr>
      <w:tr w:rsidR="001727E1" w14:paraId="2147683A" w14:textId="77777777">
        <w:tc>
          <w:tcPr>
            <w:tcW w:w="0" w:type="auto"/>
            <w:vMerge/>
            <w:tcBorders>
              <w:top w:val="nil"/>
              <w:left w:val="nil"/>
              <w:bottom w:val="nil"/>
              <w:right w:val="nil"/>
            </w:tcBorders>
            <w:vAlign w:val="center"/>
          </w:tcPr>
          <w:p w14:paraId="02895944" w14:textId="77777777" w:rsidR="001727E1" w:rsidRDefault="001727E1">
            <w:pPr>
              <w:spacing w:line="360" w:lineRule="auto"/>
              <w:rPr>
                <w:rFonts w:ascii="Times New Roman" w:hAnsi="Times New Roman" w:cs="Times New Roman"/>
                <w:color w:val="000000" w:themeColor="text1"/>
                <w:sz w:val="24"/>
                <w14:ligatures w14:val="none"/>
              </w:rPr>
            </w:pPr>
          </w:p>
        </w:tc>
        <w:tc>
          <w:tcPr>
            <w:tcW w:w="5556" w:type="dxa"/>
            <w:tcBorders>
              <w:top w:val="nil"/>
              <w:left w:val="nil"/>
              <w:bottom w:val="nil"/>
              <w:right w:val="nil"/>
            </w:tcBorders>
          </w:tcPr>
          <w:p w14:paraId="6A322878"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R:5’ TTG CTG TTG AAG TCG CAG GAG 3’</w:t>
            </w:r>
          </w:p>
        </w:tc>
      </w:tr>
      <w:tr w:rsidR="001727E1" w14:paraId="0D6BE067" w14:textId="77777777">
        <w:tc>
          <w:tcPr>
            <w:tcW w:w="2750" w:type="dxa"/>
            <w:vMerge w:val="restart"/>
            <w:tcBorders>
              <w:top w:val="nil"/>
              <w:left w:val="nil"/>
              <w:bottom w:val="nil"/>
              <w:right w:val="nil"/>
            </w:tcBorders>
          </w:tcPr>
          <w:p w14:paraId="4B764160"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Mouse TNF-α</w:t>
            </w:r>
          </w:p>
        </w:tc>
        <w:tc>
          <w:tcPr>
            <w:tcW w:w="5556" w:type="dxa"/>
            <w:tcBorders>
              <w:top w:val="nil"/>
              <w:left w:val="nil"/>
              <w:bottom w:val="nil"/>
              <w:right w:val="nil"/>
            </w:tcBorders>
          </w:tcPr>
          <w:p w14:paraId="12B6E495" w14:textId="7E6FCEC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F:</w:t>
            </w:r>
            <w:r w:rsidR="000F2B03">
              <w:rPr>
                <w:rFonts w:ascii="Times New Roman" w:hAnsi="Times New Roman" w:cs="Times New Roman"/>
                <w:color w:val="000000" w:themeColor="text1"/>
                <w:sz w:val="24"/>
                <w14:ligatures w14:val="none"/>
              </w:rPr>
              <w:t xml:space="preserve">5’ </w:t>
            </w:r>
            <w:r>
              <w:rPr>
                <w:rFonts w:ascii="Times New Roman" w:hAnsi="Times New Roman" w:cs="Times New Roman"/>
                <w:color w:val="000000" w:themeColor="text1"/>
                <w:sz w:val="24"/>
                <w14:ligatures w14:val="none"/>
              </w:rPr>
              <w:t>AGGCTGCCCCGACTACGT</w:t>
            </w:r>
            <w:r w:rsidR="000F2B03">
              <w:rPr>
                <w:rFonts w:ascii="Times New Roman" w:hAnsi="Times New Roman" w:cs="Times New Roman" w:hint="eastAsia"/>
                <w:color w:val="000000" w:themeColor="text1"/>
                <w:sz w:val="24"/>
                <w14:ligatures w14:val="none"/>
              </w:rPr>
              <w:t xml:space="preserve"> </w:t>
            </w:r>
            <w:r w:rsidR="000F2B03">
              <w:rPr>
                <w:rFonts w:ascii="Times New Roman" w:hAnsi="Times New Roman" w:cs="Times New Roman"/>
                <w:color w:val="000000" w:themeColor="text1"/>
                <w:sz w:val="24"/>
                <w14:ligatures w14:val="none"/>
              </w:rPr>
              <w:t>3’</w:t>
            </w:r>
          </w:p>
        </w:tc>
      </w:tr>
      <w:tr w:rsidR="001727E1" w14:paraId="74AEAAAD" w14:textId="77777777">
        <w:tc>
          <w:tcPr>
            <w:tcW w:w="0" w:type="auto"/>
            <w:vMerge/>
            <w:tcBorders>
              <w:top w:val="nil"/>
              <w:left w:val="nil"/>
              <w:bottom w:val="nil"/>
              <w:right w:val="nil"/>
            </w:tcBorders>
            <w:vAlign w:val="center"/>
          </w:tcPr>
          <w:p w14:paraId="7E8C92B3" w14:textId="77777777" w:rsidR="001727E1" w:rsidRDefault="001727E1">
            <w:pPr>
              <w:spacing w:line="360" w:lineRule="auto"/>
              <w:rPr>
                <w:rFonts w:ascii="Times New Roman" w:hAnsi="Times New Roman" w:cs="Times New Roman"/>
                <w:color w:val="000000" w:themeColor="text1"/>
                <w:sz w:val="24"/>
                <w14:ligatures w14:val="none"/>
              </w:rPr>
            </w:pPr>
          </w:p>
        </w:tc>
        <w:tc>
          <w:tcPr>
            <w:tcW w:w="5556" w:type="dxa"/>
            <w:tcBorders>
              <w:top w:val="nil"/>
              <w:left w:val="nil"/>
              <w:bottom w:val="nil"/>
              <w:right w:val="nil"/>
            </w:tcBorders>
          </w:tcPr>
          <w:p w14:paraId="71E4E193" w14:textId="64405582"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R:</w:t>
            </w:r>
            <w:r w:rsidR="000F2B03">
              <w:rPr>
                <w:rFonts w:ascii="Times New Roman" w:hAnsi="Times New Roman" w:cs="Times New Roman"/>
                <w:color w:val="000000" w:themeColor="text1"/>
                <w:sz w:val="24"/>
                <w14:ligatures w14:val="none"/>
              </w:rPr>
              <w:t xml:space="preserve">5’ </w:t>
            </w:r>
            <w:r>
              <w:rPr>
                <w:rFonts w:ascii="Times New Roman" w:hAnsi="Times New Roman" w:cs="Times New Roman"/>
                <w:color w:val="000000" w:themeColor="text1"/>
                <w:sz w:val="24"/>
                <w14:ligatures w14:val="none"/>
              </w:rPr>
              <w:t>GACTTTCTCCTGGTATGAGATAGCAAA</w:t>
            </w:r>
            <w:r w:rsidR="000F2B03">
              <w:rPr>
                <w:rFonts w:ascii="Times New Roman" w:hAnsi="Times New Roman" w:cs="Times New Roman" w:hint="eastAsia"/>
                <w:color w:val="000000" w:themeColor="text1"/>
                <w:sz w:val="24"/>
                <w14:ligatures w14:val="none"/>
              </w:rPr>
              <w:t xml:space="preserve"> </w:t>
            </w:r>
            <w:r w:rsidR="000F2B03">
              <w:rPr>
                <w:rFonts w:ascii="Times New Roman" w:hAnsi="Times New Roman" w:cs="Times New Roman"/>
                <w:color w:val="000000" w:themeColor="text1"/>
                <w:sz w:val="24"/>
                <w14:ligatures w14:val="none"/>
              </w:rPr>
              <w:t>3’</w:t>
            </w:r>
          </w:p>
        </w:tc>
      </w:tr>
      <w:tr w:rsidR="001727E1" w14:paraId="70160E4E" w14:textId="77777777">
        <w:tc>
          <w:tcPr>
            <w:tcW w:w="2750" w:type="dxa"/>
            <w:vMerge w:val="restart"/>
            <w:tcBorders>
              <w:top w:val="nil"/>
              <w:left w:val="nil"/>
              <w:bottom w:val="nil"/>
              <w:right w:val="nil"/>
            </w:tcBorders>
          </w:tcPr>
          <w:p w14:paraId="6BD6ACCD"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Mouse IL-6</w:t>
            </w:r>
          </w:p>
        </w:tc>
        <w:tc>
          <w:tcPr>
            <w:tcW w:w="5556" w:type="dxa"/>
            <w:tcBorders>
              <w:top w:val="nil"/>
              <w:left w:val="nil"/>
              <w:bottom w:val="nil"/>
              <w:right w:val="nil"/>
            </w:tcBorders>
          </w:tcPr>
          <w:p w14:paraId="25B01B5A"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F:5’ ACA AGT CGG AGG CTT AAT TAC ACA T 3’</w:t>
            </w:r>
          </w:p>
        </w:tc>
      </w:tr>
      <w:tr w:rsidR="001727E1" w14:paraId="3170E06B" w14:textId="77777777">
        <w:tc>
          <w:tcPr>
            <w:tcW w:w="0" w:type="auto"/>
            <w:vMerge/>
            <w:tcBorders>
              <w:top w:val="nil"/>
              <w:left w:val="nil"/>
              <w:bottom w:val="nil"/>
              <w:right w:val="nil"/>
            </w:tcBorders>
            <w:vAlign w:val="center"/>
          </w:tcPr>
          <w:p w14:paraId="192FB289" w14:textId="77777777" w:rsidR="001727E1" w:rsidRDefault="001727E1">
            <w:pPr>
              <w:spacing w:line="360" w:lineRule="auto"/>
              <w:rPr>
                <w:rFonts w:ascii="Times New Roman" w:hAnsi="Times New Roman" w:cs="Times New Roman"/>
                <w:color w:val="000000" w:themeColor="text1"/>
                <w:sz w:val="24"/>
                <w14:ligatures w14:val="none"/>
              </w:rPr>
            </w:pPr>
          </w:p>
        </w:tc>
        <w:tc>
          <w:tcPr>
            <w:tcW w:w="5556" w:type="dxa"/>
            <w:tcBorders>
              <w:top w:val="nil"/>
              <w:left w:val="nil"/>
              <w:bottom w:val="nil"/>
              <w:right w:val="nil"/>
            </w:tcBorders>
          </w:tcPr>
          <w:p w14:paraId="55E0F055"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R:5’ TTG CCA TTG CAC AAC TCT TTT C 3’</w:t>
            </w:r>
          </w:p>
        </w:tc>
      </w:tr>
      <w:tr w:rsidR="001727E1" w14:paraId="3D8852BE" w14:textId="77777777">
        <w:tc>
          <w:tcPr>
            <w:tcW w:w="2750" w:type="dxa"/>
            <w:vMerge w:val="restart"/>
            <w:tcBorders>
              <w:top w:val="nil"/>
              <w:left w:val="nil"/>
              <w:bottom w:val="single" w:sz="4" w:space="0" w:color="auto"/>
              <w:right w:val="nil"/>
            </w:tcBorders>
          </w:tcPr>
          <w:p w14:paraId="525E4628"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Mouse IL-1β</w:t>
            </w:r>
          </w:p>
        </w:tc>
        <w:tc>
          <w:tcPr>
            <w:tcW w:w="5556" w:type="dxa"/>
            <w:tcBorders>
              <w:top w:val="nil"/>
              <w:left w:val="nil"/>
              <w:bottom w:val="nil"/>
              <w:right w:val="nil"/>
            </w:tcBorders>
          </w:tcPr>
          <w:p w14:paraId="05B64BD8"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F:5’ TCG CTC AGG GTC ACA AGA AA 3’</w:t>
            </w:r>
          </w:p>
        </w:tc>
      </w:tr>
      <w:tr w:rsidR="001727E1" w14:paraId="67B16531" w14:textId="77777777">
        <w:trPr>
          <w:trHeight w:val="431"/>
        </w:trPr>
        <w:tc>
          <w:tcPr>
            <w:tcW w:w="0" w:type="auto"/>
            <w:vMerge/>
            <w:tcBorders>
              <w:top w:val="nil"/>
              <w:left w:val="nil"/>
              <w:bottom w:val="single" w:sz="4" w:space="0" w:color="auto"/>
              <w:right w:val="nil"/>
            </w:tcBorders>
            <w:vAlign w:val="center"/>
          </w:tcPr>
          <w:p w14:paraId="31DB227C" w14:textId="77777777" w:rsidR="001727E1" w:rsidRDefault="001727E1">
            <w:pPr>
              <w:spacing w:line="360" w:lineRule="auto"/>
              <w:rPr>
                <w:rFonts w:ascii="Times New Roman" w:hAnsi="Times New Roman" w:cs="Times New Roman"/>
                <w:b/>
                <w:bCs/>
                <w:color w:val="000000" w:themeColor="text1"/>
                <w:sz w:val="24"/>
                <w14:ligatures w14:val="none"/>
              </w:rPr>
            </w:pPr>
          </w:p>
        </w:tc>
        <w:tc>
          <w:tcPr>
            <w:tcW w:w="5556" w:type="dxa"/>
            <w:tcBorders>
              <w:top w:val="nil"/>
              <w:left w:val="nil"/>
              <w:bottom w:val="single" w:sz="4" w:space="0" w:color="auto"/>
              <w:right w:val="nil"/>
            </w:tcBorders>
          </w:tcPr>
          <w:p w14:paraId="3EC6B242" w14:textId="77777777" w:rsidR="001727E1" w:rsidRDefault="001727E1">
            <w:pPr>
              <w:spacing w:line="360" w:lineRule="auto"/>
              <w:rPr>
                <w:rFonts w:ascii="Times New Roman" w:hAnsi="Times New Roman" w:cs="Times New Roman"/>
                <w:color w:val="000000" w:themeColor="text1"/>
                <w:sz w:val="24"/>
                <w14:ligatures w14:val="none"/>
              </w:rPr>
            </w:pPr>
            <w:r>
              <w:rPr>
                <w:rFonts w:ascii="Times New Roman" w:hAnsi="Times New Roman" w:cs="Times New Roman"/>
                <w:color w:val="000000" w:themeColor="text1"/>
                <w:sz w:val="24"/>
                <w14:ligatures w14:val="none"/>
              </w:rPr>
              <w:t>R:5’ CAT CAG AGG CAA GGA GGA AAA C 3’</w:t>
            </w:r>
          </w:p>
        </w:tc>
      </w:tr>
    </w:tbl>
    <w:p w14:paraId="5F939395" w14:textId="77777777" w:rsidR="001727E1" w:rsidRDefault="001727E1" w:rsidP="00143F72">
      <w:pPr>
        <w:rPr>
          <w:rFonts w:ascii="Times New Roman" w:hAnsi="Times New Roman" w:cs="Times New Roman"/>
          <w:sz w:val="24"/>
          <w:szCs w:val="24"/>
        </w:rPr>
      </w:pPr>
    </w:p>
    <w:p w14:paraId="3B91B56A" w14:textId="77777777" w:rsidR="001727E1" w:rsidRPr="00143F72" w:rsidRDefault="001727E1" w:rsidP="00DF14D7">
      <w:pPr>
        <w:rPr>
          <w:rFonts w:ascii="Times New Roman" w:hAnsi="Times New Roman" w:cs="Times New Roman"/>
          <w:b/>
          <w:bCs/>
          <w:sz w:val="28"/>
          <w:szCs w:val="28"/>
        </w:rPr>
      </w:pPr>
      <w:r w:rsidRPr="00143F72">
        <w:rPr>
          <w:rFonts w:ascii="Times New Roman" w:hAnsi="Times New Roman" w:cs="Times New Roman"/>
          <w:b/>
          <w:bCs/>
          <w:sz w:val="28"/>
          <w:szCs w:val="28"/>
        </w:rPr>
        <w:t>References</w:t>
      </w:r>
    </w:p>
    <w:p w14:paraId="086112C9" w14:textId="77777777" w:rsidR="00A37667" w:rsidRPr="004F09D4" w:rsidRDefault="00AB4CB0" w:rsidP="004F09D4">
      <w:pPr>
        <w:pStyle w:val="EndNoteBibliography"/>
        <w:ind w:left="480" w:hangingChars="200" w:hanging="480"/>
        <w:rPr>
          <w:rFonts w:ascii="Times New Roman" w:hAnsi="Times New Roman" w:cs="Times New Roman"/>
          <w:noProof/>
        </w:rPr>
      </w:pPr>
      <w:r w:rsidRPr="00A37667">
        <w:rPr>
          <w:rFonts w:ascii="Times New Roman" w:hAnsi="Times New Roman" w:cs="Times New Roman"/>
          <w:sz w:val="24"/>
          <w:szCs w:val="24"/>
        </w:rPr>
        <w:fldChar w:fldCharType="begin"/>
      </w:r>
      <w:r w:rsidRPr="00A37667">
        <w:rPr>
          <w:rFonts w:ascii="Times New Roman" w:hAnsi="Times New Roman" w:cs="Times New Roman"/>
          <w:sz w:val="24"/>
          <w:szCs w:val="24"/>
        </w:rPr>
        <w:instrText xml:space="preserve"> ADDIN EN.REFLIST </w:instrText>
      </w:r>
      <w:r w:rsidRPr="00A37667">
        <w:rPr>
          <w:rFonts w:ascii="Times New Roman" w:hAnsi="Times New Roman" w:cs="Times New Roman"/>
          <w:sz w:val="24"/>
          <w:szCs w:val="24"/>
        </w:rPr>
        <w:fldChar w:fldCharType="separate"/>
      </w:r>
      <w:r w:rsidR="00A37667" w:rsidRPr="004F09D4">
        <w:rPr>
          <w:rFonts w:ascii="Times New Roman" w:hAnsi="Times New Roman" w:cs="Times New Roman" w:hint="eastAsia"/>
          <w:noProof/>
        </w:rPr>
        <w:t>(1) Zhang Y, Shi J, Fang X, Li J, Fan X, Wang K, Gao G, Luo F, Xu N, Xia Z, et al. Mg/Mn co-doped carbon dot nanozyme with high superoxide dismutase-like activity and fluorescence for transdermal therapy of atopic dermatitis. Chem. Eng. J. 2025; 523: 168610.</w:t>
      </w:r>
    </w:p>
    <w:p w14:paraId="00FF49F3" w14:textId="77777777" w:rsidR="00A37667" w:rsidRPr="004F09D4" w:rsidRDefault="00A37667" w:rsidP="004F09D4">
      <w:pPr>
        <w:pStyle w:val="EndNoteBibliography"/>
        <w:ind w:left="400" w:hangingChars="200" w:hanging="400"/>
        <w:rPr>
          <w:rFonts w:ascii="Times New Roman" w:hAnsi="Times New Roman" w:cs="Times New Roman"/>
          <w:noProof/>
        </w:rPr>
      </w:pPr>
      <w:r w:rsidRPr="004F09D4">
        <w:rPr>
          <w:rFonts w:ascii="Times New Roman" w:hAnsi="Times New Roman" w:cs="Times New Roman" w:hint="eastAsia"/>
          <w:noProof/>
        </w:rPr>
        <w:t>(2) Tang T, Zhang J, Wang Y, Chen G, Yuan K, He Y, Li C, Hanif S, Yang Y, Wang Y, et al. Precision</w:t>
      </w:r>
      <w:r w:rsidRPr="004F09D4">
        <w:rPr>
          <w:rFonts w:ascii="Times New Roman" w:hAnsi="Times New Roman" w:cs="Times New Roman" w:hint="eastAsia"/>
          <w:noProof/>
        </w:rPr>
        <w:t>‐</w:t>
      </w:r>
      <w:r w:rsidRPr="004F09D4">
        <w:rPr>
          <w:rFonts w:ascii="Times New Roman" w:hAnsi="Times New Roman" w:cs="Times New Roman" w:hint="eastAsia"/>
          <w:noProof/>
        </w:rPr>
        <w:t>Engineered Silver Single</w:t>
      </w:r>
      <w:r w:rsidRPr="004F09D4">
        <w:rPr>
          <w:rFonts w:ascii="Times New Roman" w:hAnsi="Times New Roman" w:cs="Times New Roman" w:hint="eastAsia"/>
          <w:noProof/>
        </w:rPr>
        <w:t>‐</w:t>
      </w:r>
      <w:r w:rsidRPr="004F09D4">
        <w:rPr>
          <w:rFonts w:ascii="Times New Roman" w:hAnsi="Times New Roman" w:cs="Times New Roman" w:hint="eastAsia"/>
          <w:noProof/>
        </w:rPr>
        <w:t>Atom Carbon Dot Nanozymes for Theranostic Management of Acute Kidney Injury. Adv. Sci. 2026; 13 (16): e19393.</w:t>
      </w:r>
    </w:p>
    <w:p w14:paraId="73560B09" w14:textId="77777777" w:rsidR="00A37667" w:rsidRPr="004F09D4" w:rsidRDefault="00A37667" w:rsidP="004F09D4">
      <w:pPr>
        <w:pStyle w:val="EndNoteBibliography"/>
        <w:ind w:left="400" w:hangingChars="200" w:hanging="400"/>
        <w:rPr>
          <w:rFonts w:ascii="Times New Roman" w:hAnsi="Times New Roman" w:cs="Times New Roman"/>
          <w:noProof/>
        </w:rPr>
      </w:pPr>
      <w:r w:rsidRPr="004F09D4">
        <w:rPr>
          <w:rFonts w:ascii="Times New Roman" w:hAnsi="Times New Roman" w:cs="Times New Roman" w:hint="eastAsia"/>
          <w:noProof/>
        </w:rPr>
        <w:t>(3) Yang H, Qiu H, Shan J, Nie C, Lin Y, Shen Y, Wang X. Waste tobacco leaf-driven carbon dot nanozymes with high reactive oxygen species scavenging and anti-inflammatory activities for the amelioration of acute lung injury. Ind. Crops Prod. 2025; 229: 120958.</w:t>
      </w:r>
    </w:p>
    <w:p w14:paraId="6888D243" w14:textId="77777777" w:rsidR="00A37667" w:rsidRPr="004F09D4" w:rsidRDefault="00A37667" w:rsidP="004F09D4">
      <w:pPr>
        <w:pStyle w:val="EndNoteBibliography"/>
        <w:ind w:left="400" w:hangingChars="200" w:hanging="400"/>
        <w:rPr>
          <w:rFonts w:ascii="Times New Roman" w:hAnsi="Times New Roman" w:cs="Times New Roman"/>
          <w:noProof/>
        </w:rPr>
      </w:pPr>
      <w:r w:rsidRPr="004F09D4">
        <w:rPr>
          <w:rFonts w:ascii="Times New Roman" w:hAnsi="Times New Roman" w:cs="Times New Roman" w:hint="eastAsia"/>
          <w:noProof/>
        </w:rPr>
        <w:t>(4) Zhang Y, Gao W, Ma Y, Cheng L, Zhang L, Liu Q, Chen J, Zhao Y, Tu K, Zhang M, et al. Integrating Pt nanoparticles with carbon nanodots to achieve robust cascade superoxide dismutase-catalase nanozyme for antioxidant therapy. Nano Today. 2023; 49: 101768.</w:t>
      </w:r>
    </w:p>
    <w:p w14:paraId="7505E58E" w14:textId="77777777" w:rsidR="00A37667" w:rsidRPr="004F09D4" w:rsidRDefault="00A37667" w:rsidP="004F09D4">
      <w:pPr>
        <w:pStyle w:val="EndNoteBibliography"/>
        <w:ind w:left="400" w:hangingChars="200" w:hanging="400"/>
        <w:rPr>
          <w:rFonts w:ascii="Times New Roman" w:hAnsi="Times New Roman" w:cs="Times New Roman"/>
          <w:noProof/>
        </w:rPr>
      </w:pPr>
      <w:r w:rsidRPr="004F09D4">
        <w:rPr>
          <w:rFonts w:ascii="Times New Roman" w:hAnsi="Times New Roman" w:cs="Times New Roman" w:hint="eastAsia"/>
          <w:noProof/>
        </w:rPr>
        <w:t>(5) Yan Z, Zhang Y, Chen Q, Li J, Ning X, Bai F, Wang Y, Liu X, Liu Y, Zhang M, et al. Carbon dot superoxide dismutase nanozyme enhances reactive oxygen species scavenging in diabetic skin wound repair. J. Adv. Res. 2025; 79: 691-706.</w:t>
      </w:r>
    </w:p>
    <w:p w14:paraId="3B89434E" w14:textId="77777777" w:rsidR="00A37667" w:rsidRPr="004F09D4" w:rsidRDefault="00A37667" w:rsidP="004F09D4">
      <w:pPr>
        <w:pStyle w:val="EndNoteBibliography"/>
        <w:ind w:left="400" w:hangingChars="200" w:hanging="400"/>
        <w:rPr>
          <w:rFonts w:ascii="Times New Roman" w:hAnsi="Times New Roman" w:cs="Times New Roman"/>
          <w:noProof/>
        </w:rPr>
      </w:pPr>
      <w:r w:rsidRPr="004F09D4">
        <w:rPr>
          <w:rFonts w:ascii="Times New Roman" w:hAnsi="Times New Roman" w:cs="Times New Roman" w:hint="eastAsia"/>
          <w:noProof/>
        </w:rPr>
        <w:t>(6) Gao W, He J, Chen L, Meng X, Ma Y, Cheng L, Tu K, Gao X, Liu C, Zhang M, et al. Deciphering the catalytic mechanism of superoxide dismutase activity of carbon dot nanozyme. Nat. Commun. 2023; 14 (1): 160.</w:t>
      </w:r>
    </w:p>
    <w:p w14:paraId="776CF9CE" w14:textId="77777777" w:rsidR="00A37667" w:rsidRPr="004F09D4" w:rsidRDefault="00A37667" w:rsidP="004F09D4">
      <w:pPr>
        <w:pStyle w:val="EndNoteBibliography"/>
        <w:ind w:left="400" w:hangingChars="200" w:hanging="400"/>
        <w:rPr>
          <w:rFonts w:ascii="Times New Roman" w:hAnsi="Times New Roman" w:cs="Times New Roman"/>
          <w:noProof/>
        </w:rPr>
      </w:pPr>
      <w:r w:rsidRPr="004F09D4">
        <w:rPr>
          <w:rFonts w:ascii="Times New Roman" w:hAnsi="Times New Roman" w:cs="Times New Roman" w:hint="eastAsia"/>
          <w:noProof/>
        </w:rPr>
        <w:t>(7) Liu C, Fan W, Cheng WX, Gu Y, Chen Y, Zhou W, Yu XF, Chen M, Zhu M, Fan K, et al. Red Emissive Carbon Dot Superoxide Dismutase Nanozyme for Bioimaging and Ameliorating Acute Lung Injury. Adv. Funct. Mater. 2023; 33 (19): 2213856.</w:t>
      </w:r>
    </w:p>
    <w:p w14:paraId="16A2C88F" w14:textId="5BB2C857" w:rsidR="00515544" w:rsidRPr="00153990" w:rsidRDefault="00AB4CB0" w:rsidP="004F09D4">
      <w:pPr>
        <w:ind w:left="480" w:hangingChars="200" w:hanging="480"/>
        <w:rPr>
          <w:rFonts w:ascii="Times New Roman" w:hAnsi="Times New Roman" w:cs="Times New Roman"/>
          <w:sz w:val="24"/>
          <w:szCs w:val="24"/>
        </w:rPr>
      </w:pPr>
      <w:r w:rsidRPr="00A37667">
        <w:rPr>
          <w:rFonts w:ascii="Times New Roman" w:hAnsi="Times New Roman" w:cs="Times New Roman"/>
          <w:sz w:val="24"/>
          <w:szCs w:val="24"/>
        </w:rPr>
        <w:fldChar w:fldCharType="end"/>
      </w:r>
    </w:p>
    <w:sectPr w:rsidR="00515544" w:rsidRPr="00153990" w:rsidSect="001727E1">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20BC9D" w16cex:dateUtc="2026-04-18T14:17:00Z"/>
  <w16cex:commentExtensible w16cex:durableId="3F0E642A" w16cex:dateUtc="2026-04-18T14: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A9E557" w16cid:durableId="7420BC9D"/>
  <w16cid:commentId w16cid:paraId="5104B42B" w16cid:durableId="3F0E64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20F2C" w14:textId="77777777" w:rsidR="00FF6042" w:rsidRDefault="00FF6042" w:rsidP="00EA5B80">
      <w:r>
        <w:separator/>
      </w:r>
    </w:p>
  </w:endnote>
  <w:endnote w:type="continuationSeparator" w:id="0">
    <w:p w14:paraId="29C50614" w14:textId="77777777" w:rsidR="00FF6042" w:rsidRDefault="00FF6042" w:rsidP="00E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209098"/>
      <w:docPartObj>
        <w:docPartGallery w:val="Page Numbers (Bottom of Page)"/>
        <w:docPartUnique/>
      </w:docPartObj>
    </w:sdtPr>
    <w:sdtEndPr/>
    <w:sdtContent>
      <w:p w14:paraId="2682137E" w14:textId="054BAD2C" w:rsidR="000854B6" w:rsidRDefault="000854B6">
        <w:pPr>
          <w:pStyle w:val="af2"/>
          <w:jc w:val="center"/>
        </w:pPr>
        <w:r>
          <w:fldChar w:fldCharType="begin"/>
        </w:r>
        <w:r>
          <w:instrText>PAGE   \* MERGEFORMAT</w:instrText>
        </w:r>
        <w:r>
          <w:fldChar w:fldCharType="separate"/>
        </w:r>
        <w:r w:rsidR="00FF6042" w:rsidRPr="00FF6042">
          <w:rPr>
            <w:noProof/>
            <w:lang w:val="zh-CN"/>
          </w:rPr>
          <w:t>1</w:t>
        </w:r>
        <w:r>
          <w:fldChar w:fldCharType="end"/>
        </w:r>
      </w:p>
    </w:sdtContent>
  </w:sdt>
  <w:p w14:paraId="777644DD" w14:textId="77777777" w:rsidR="000854B6" w:rsidRDefault="000854B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CA21C" w14:textId="77777777" w:rsidR="00FF6042" w:rsidRDefault="00FF6042" w:rsidP="00EA5B80">
      <w:r>
        <w:separator/>
      </w:r>
    </w:p>
  </w:footnote>
  <w:footnote w:type="continuationSeparator" w:id="0">
    <w:p w14:paraId="6B2012F6" w14:textId="77777777" w:rsidR="00FF6042" w:rsidRDefault="00FF6042" w:rsidP="00EA5B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2"/>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Nano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t202z595rvvlezwac5r0xq05pxaz5f92sz&quot;&gt;Sample_Library_20&lt;record-ids&gt;&lt;item&gt;69&lt;/item&gt;&lt;item&gt;585&lt;/item&gt;&lt;item&gt;1013&lt;/item&gt;&lt;item&gt;1029&lt;/item&gt;&lt;item&gt;1030&lt;/item&gt;&lt;item&gt;1031&lt;/item&gt;&lt;item&gt;1032&lt;/item&gt;&lt;/record-ids&gt;&lt;/item&gt;&lt;/Libraries&gt;"/>
  </w:docVars>
  <w:rsids>
    <w:rsidRoot w:val="001727E1"/>
    <w:rsid w:val="00025635"/>
    <w:rsid w:val="00035F7E"/>
    <w:rsid w:val="00044EDA"/>
    <w:rsid w:val="00051077"/>
    <w:rsid w:val="00057F80"/>
    <w:rsid w:val="000854B6"/>
    <w:rsid w:val="00085B2F"/>
    <w:rsid w:val="00095FA8"/>
    <w:rsid w:val="000A33CC"/>
    <w:rsid w:val="000B1A50"/>
    <w:rsid w:val="000B5C12"/>
    <w:rsid w:val="000C0B13"/>
    <w:rsid w:val="000D03E1"/>
    <w:rsid w:val="000E30A5"/>
    <w:rsid w:val="000F2B03"/>
    <w:rsid w:val="001101BD"/>
    <w:rsid w:val="001279FF"/>
    <w:rsid w:val="00127D3A"/>
    <w:rsid w:val="00131BBE"/>
    <w:rsid w:val="00137768"/>
    <w:rsid w:val="00143F72"/>
    <w:rsid w:val="00153990"/>
    <w:rsid w:val="001554E9"/>
    <w:rsid w:val="001646ED"/>
    <w:rsid w:val="00167A4F"/>
    <w:rsid w:val="0017192A"/>
    <w:rsid w:val="001727E1"/>
    <w:rsid w:val="00181DCC"/>
    <w:rsid w:val="00183CD1"/>
    <w:rsid w:val="001A1D39"/>
    <w:rsid w:val="001A76F2"/>
    <w:rsid w:val="001B373E"/>
    <w:rsid w:val="001D05E5"/>
    <w:rsid w:val="001D6890"/>
    <w:rsid w:val="001E1179"/>
    <w:rsid w:val="0021140C"/>
    <w:rsid w:val="00235818"/>
    <w:rsid w:val="00236FA9"/>
    <w:rsid w:val="0023790A"/>
    <w:rsid w:val="00245961"/>
    <w:rsid w:val="002508F7"/>
    <w:rsid w:val="00253A49"/>
    <w:rsid w:val="00256C09"/>
    <w:rsid w:val="002652B9"/>
    <w:rsid w:val="00270523"/>
    <w:rsid w:val="00280DB4"/>
    <w:rsid w:val="00281058"/>
    <w:rsid w:val="00286CF8"/>
    <w:rsid w:val="00292802"/>
    <w:rsid w:val="002A55E2"/>
    <w:rsid w:val="002B684A"/>
    <w:rsid w:val="002D7EEA"/>
    <w:rsid w:val="002E4D2B"/>
    <w:rsid w:val="00306AEE"/>
    <w:rsid w:val="00313C69"/>
    <w:rsid w:val="00322CB5"/>
    <w:rsid w:val="003340E2"/>
    <w:rsid w:val="00366EFF"/>
    <w:rsid w:val="003671A8"/>
    <w:rsid w:val="0036742A"/>
    <w:rsid w:val="003728C1"/>
    <w:rsid w:val="00382181"/>
    <w:rsid w:val="00390B81"/>
    <w:rsid w:val="00391A29"/>
    <w:rsid w:val="003977FC"/>
    <w:rsid w:val="003A13C5"/>
    <w:rsid w:val="003E178B"/>
    <w:rsid w:val="003E4604"/>
    <w:rsid w:val="003E50F6"/>
    <w:rsid w:val="0040094B"/>
    <w:rsid w:val="004011B4"/>
    <w:rsid w:val="00442537"/>
    <w:rsid w:val="00444689"/>
    <w:rsid w:val="004534F6"/>
    <w:rsid w:val="0045605A"/>
    <w:rsid w:val="00473629"/>
    <w:rsid w:val="004761DF"/>
    <w:rsid w:val="00497338"/>
    <w:rsid w:val="0049754B"/>
    <w:rsid w:val="0049796C"/>
    <w:rsid w:val="004A09D9"/>
    <w:rsid w:val="004D4861"/>
    <w:rsid w:val="004E1117"/>
    <w:rsid w:val="004E3E2B"/>
    <w:rsid w:val="004F09D4"/>
    <w:rsid w:val="00503041"/>
    <w:rsid w:val="005105A5"/>
    <w:rsid w:val="00515544"/>
    <w:rsid w:val="0052582B"/>
    <w:rsid w:val="0053179D"/>
    <w:rsid w:val="0055210D"/>
    <w:rsid w:val="005563A6"/>
    <w:rsid w:val="005E62D4"/>
    <w:rsid w:val="005F0F69"/>
    <w:rsid w:val="005F79F1"/>
    <w:rsid w:val="00606008"/>
    <w:rsid w:val="006244D0"/>
    <w:rsid w:val="006410A2"/>
    <w:rsid w:val="006639D4"/>
    <w:rsid w:val="00665736"/>
    <w:rsid w:val="00673748"/>
    <w:rsid w:val="00690B4D"/>
    <w:rsid w:val="006920EF"/>
    <w:rsid w:val="00693A91"/>
    <w:rsid w:val="006B1B6E"/>
    <w:rsid w:val="006C5D01"/>
    <w:rsid w:val="006D004C"/>
    <w:rsid w:val="006E0A3D"/>
    <w:rsid w:val="006F0489"/>
    <w:rsid w:val="006F3AD2"/>
    <w:rsid w:val="007153A8"/>
    <w:rsid w:val="007250DB"/>
    <w:rsid w:val="00742B56"/>
    <w:rsid w:val="00754920"/>
    <w:rsid w:val="00754C6F"/>
    <w:rsid w:val="00767ACF"/>
    <w:rsid w:val="00782BF9"/>
    <w:rsid w:val="00783773"/>
    <w:rsid w:val="00790CB1"/>
    <w:rsid w:val="00791B83"/>
    <w:rsid w:val="007921F9"/>
    <w:rsid w:val="007A7209"/>
    <w:rsid w:val="007B4150"/>
    <w:rsid w:val="007B4573"/>
    <w:rsid w:val="007C000E"/>
    <w:rsid w:val="007C1326"/>
    <w:rsid w:val="007E1ECA"/>
    <w:rsid w:val="007E7939"/>
    <w:rsid w:val="00803A6D"/>
    <w:rsid w:val="00807B4E"/>
    <w:rsid w:val="008239AB"/>
    <w:rsid w:val="00835BE4"/>
    <w:rsid w:val="00840D40"/>
    <w:rsid w:val="00863812"/>
    <w:rsid w:val="00875374"/>
    <w:rsid w:val="00890050"/>
    <w:rsid w:val="008B6199"/>
    <w:rsid w:val="008C171F"/>
    <w:rsid w:val="008D5CE9"/>
    <w:rsid w:val="008F6175"/>
    <w:rsid w:val="00921A3E"/>
    <w:rsid w:val="00955205"/>
    <w:rsid w:val="00961431"/>
    <w:rsid w:val="00997C02"/>
    <w:rsid w:val="009A4584"/>
    <w:rsid w:val="009A6F0B"/>
    <w:rsid w:val="009C1680"/>
    <w:rsid w:val="009D0B5B"/>
    <w:rsid w:val="009F0171"/>
    <w:rsid w:val="009F028B"/>
    <w:rsid w:val="00A1525B"/>
    <w:rsid w:val="00A1602E"/>
    <w:rsid w:val="00A2379B"/>
    <w:rsid w:val="00A37667"/>
    <w:rsid w:val="00A64680"/>
    <w:rsid w:val="00A8018D"/>
    <w:rsid w:val="00A92AE7"/>
    <w:rsid w:val="00AB1076"/>
    <w:rsid w:val="00AB4CB0"/>
    <w:rsid w:val="00AC26CB"/>
    <w:rsid w:val="00AE5C20"/>
    <w:rsid w:val="00AF1ED0"/>
    <w:rsid w:val="00AF5CD9"/>
    <w:rsid w:val="00B00466"/>
    <w:rsid w:val="00B04BA6"/>
    <w:rsid w:val="00B14EA3"/>
    <w:rsid w:val="00B15002"/>
    <w:rsid w:val="00B2451E"/>
    <w:rsid w:val="00B40288"/>
    <w:rsid w:val="00B55F85"/>
    <w:rsid w:val="00B61884"/>
    <w:rsid w:val="00B72E72"/>
    <w:rsid w:val="00B84B02"/>
    <w:rsid w:val="00B8529F"/>
    <w:rsid w:val="00B86A8E"/>
    <w:rsid w:val="00BA5504"/>
    <w:rsid w:val="00BC34BF"/>
    <w:rsid w:val="00BE330F"/>
    <w:rsid w:val="00C1625D"/>
    <w:rsid w:val="00C214EF"/>
    <w:rsid w:val="00C2731B"/>
    <w:rsid w:val="00C41DF2"/>
    <w:rsid w:val="00C60520"/>
    <w:rsid w:val="00C62299"/>
    <w:rsid w:val="00C73EAC"/>
    <w:rsid w:val="00C74BA4"/>
    <w:rsid w:val="00C774D6"/>
    <w:rsid w:val="00C97C52"/>
    <w:rsid w:val="00CA18BD"/>
    <w:rsid w:val="00CA1D14"/>
    <w:rsid w:val="00CA2A16"/>
    <w:rsid w:val="00CC0A1D"/>
    <w:rsid w:val="00CD5C43"/>
    <w:rsid w:val="00CE3297"/>
    <w:rsid w:val="00CE6BDA"/>
    <w:rsid w:val="00CF402A"/>
    <w:rsid w:val="00D0455F"/>
    <w:rsid w:val="00D068AA"/>
    <w:rsid w:val="00D0750C"/>
    <w:rsid w:val="00D27EF9"/>
    <w:rsid w:val="00D43FB5"/>
    <w:rsid w:val="00D567B0"/>
    <w:rsid w:val="00D66294"/>
    <w:rsid w:val="00D96BE2"/>
    <w:rsid w:val="00D972AD"/>
    <w:rsid w:val="00DA4BDD"/>
    <w:rsid w:val="00DA5A45"/>
    <w:rsid w:val="00DB4AF2"/>
    <w:rsid w:val="00DC3483"/>
    <w:rsid w:val="00DD03E2"/>
    <w:rsid w:val="00DD0E03"/>
    <w:rsid w:val="00DD2C4E"/>
    <w:rsid w:val="00DE654A"/>
    <w:rsid w:val="00DF0F3A"/>
    <w:rsid w:val="00DF1694"/>
    <w:rsid w:val="00DF4F6D"/>
    <w:rsid w:val="00DF4F72"/>
    <w:rsid w:val="00DF517A"/>
    <w:rsid w:val="00E02529"/>
    <w:rsid w:val="00E053A6"/>
    <w:rsid w:val="00E41FC9"/>
    <w:rsid w:val="00E53BFE"/>
    <w:rsid w:val="00E55E7A"/>
    <w:rsid w:val="00EA5B80"/>
    <w:rsid w:val="00EB06B8"/>
    <w:rsid w:val="00EB4A3D"/>
    <w:rsid w:val="00EC3F3C"/>
    <w:rsid w:val="00ED06B2"/>
    <w:rsid w:val="00ED194E"/>
    <w:rsid w:val="00F226B5"/>
    <w:rsid w:val="00F27898"/>
    <w:rsid w:val="00F43A3B"/>
    <w:rsid w:val="00F446D6"/>
    <w:rsid w:val="00F506B1"/>
    <w:rsid w:val="00F76D1E"/>
    <w:rsid w:val="00FA2BCA"/>
    <w:rsid w:val="00FC1F49"/>
    <w:rsid w:val="00FF6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2374CD"/>
  <w14:defaultImageDpi w14:val="32767"/>
  <w15:chartTrackingRefBased/>
  <w15:docId w15:val="{AD9941DD-A565-4349-A9D7-EE462A90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7E1"/>
    <w:pPr>
      <w:widowControl w:val="0"/>
      <w:jc w:val="both"/>
    </w:pPr>
    <w:rPr>
      <w14:ligatures w14:val="standardContextual"/>
    </w:rPr>
  </w:style>
  <w:style w:type="paragraph" w:styleId="1">
    <w:name w:val="heading 1"/>
    <w:basedOn w:val="a"/>
    <w:next w:val="a"/>
    <w:link w:val="10"/>
    <w:uiPriority w:val="9"/>
    <w:qFormat/>
    <w:rsid w:val="001727E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1727E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727E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727E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727E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1727E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727E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727E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727E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1727E1"/>
    <w:rPr>
      <w:rFonts w:asciiTheme="majorHAnsi" w:eastAsiaTheme="majorEastAsia" w:hAnsiTheme="majorHAnsi" w:cstheme="majorBidi"/>
      <w:color w:val="0F4761" w:themeColor="accent1" w:themeShade="BF"/>
      <w:sz w:val="48"/>
      <w:szCs w:val="48"/>
      <w14:ligatures w14:val="standardContextual"/>
    </w:rPr>
  </w:style>
  <w:style w:type="character" w:customStyle="1" w:styleId="20">
    <w:name w:val="标题 2 字符"/>
    <w:basedOn w:val="a0"/>
    <w:link w:val="2"/>
    <w:uiPriority w:val="9"/>
    <w:qFormat/>
    <w:rsid w:val="001727E1"/>
    <w:rPr>
      <w:rFonts w:asciiTheme="majorHAnsi" w:eastAsiaTheme="majorEastAsia" w:hAnsiTheme="majorHAnsi" w:cstheme="majorBidi"/>
      <w:color w:val="0F4761" w:themeColor="accent1" w:themeShade="BF"/>
      <w:sz w:val="40"/>
      <w:szCs w:val="40"/>
      <w14:ligatures w14:val="standardContextual"/>
    </w:rPr>
  </w:style>
  <w:style w:type="character" w:customStyle="1" w:styleId="30">
    <w:name w:val="标题 3 字符"/>
    <w:basedOn w:val="a0"/>
    <w:link w:val="3"/>
    <w:uiPriority w:val="9"/>
    <w:semiHidden/>
    <w:qFormat/>
    <w:rsid w:val="001727E1"/>
    <w:rPr>
      <w:rFonts w:asciiTheme="majorHAnsi" w:eastAsiaTheme="majorEastAsia" w:hAnsiTheme="majorHAnsi" w:cstheme="majorBidi"/>
      <w:color w:val="0F4761" w:themeColor="accent1" w:themeShade="BF"/>
      <w:sz w:val="32"/>
      <w:szCs w:val="32"/>
      <w14:ligatures w14:val="standardContextual"/>
    </w:rPr>
  </w:style>
  <w:style w:type="character" w:customStyle="1" w:styleId="40">
    <w:name w:val="标题 4 字符"/>
    <w:basedOn w:val="a0"/>
    <w:link w:val="4"/>
    <w:uiPriority w:val="9"/>
    <w:semiHidden/>
    <w:qFormat/>
    <w:rsid w:val="001727E1"/>
    <w:rPr>
      <w:rFonts w:cstheme="majorBidi"/>
      <w:color w:val="0F4761" w:themeColor="accent1" w:themeShade="BF"/>
      <w:sz w:val="28"/>
      <w:szCs w:val="28"/>
      <w14:ligatures w14:val="standardContextual"/>
    </w:rPr>
  </w:style>
  <w:style w:type="character" w:customStyle="1" w:styleId="50">
    <w:name w:val="标题 5 字符"/>
    <w:basedOn w:val="a0"/>
    <w:link w:val="5"/>
    <w:uiPriority w:val="9"/>
    <w:semiHidden/>
    <w:qFormat/>
    <w:rsid w:val="001727E1"/>
    <w:rPr>
      <w:rFonts w:cstheme="majorBidi"/>
      <w:color w:val="0F4761" w:themeColor="accent1" w:themeShade="BF"/>
      <w:sz w:val="24"/>
      <w:szCs w:val="24"/>
      <w14:ligatures w14:val="standardContextual"/>
    </w:rPr>
  </w:style>
  <w:style w:type="character" w:customStyle="1" w:styleId="60">
    <w:name w:val="标题 6 字符"/>
    <w:basedOn w:val="a0"/>
    <w:link w:val="6"/>
    <w:uiPriority w:val="9"/>
    <w:semiHidden/>
    <w:qFormat/>
    <w:rsid w:val="001727E1"/>
    <w:rPr>
      <w:rFonts w:cstheme="majorBidi"/>
      <w:b/>
      <w:bCs/>
      <w:color w:val="0F4761" w:themeColor="accent1" w:themeShade="BF"/>
      <w14:ligatures w14:val="standardContextual"/>
    </w:rPr>
  </w:style>
  <w:style w:type="character" w:customStyle="1" w:styleId="70">
    <w:name w:val="标题 7 字符"/>
    <w:basedOn w:val="a0"/>
    <w:link w:val="7"/>
    <w:uiPriority w:val="9"/>
    <w:semiHidden/>
    <w:qFormat/>
    <w:rsid w:val="001727E1"/>
    <w:rPr>
      <w:rFonts w:cstheme="majorBidi"/>
      <w:b/>
      <w:bCs/>
      <w:color w:val="595959" w:themeColor="text1" w:themeTint="A6"/>
      <w14:ligatures w14:val="standardContextual"/>
    </w:rPr>
  </w:style>
  <w:style w:type="character" w:customStyle="1" w:styleId="80">
    <w:name w:val="标题 8 字符"/>
    <w:basedOn w:val="a0"/>
    <w:link w:val="8"/>
    <w:uiPriority w:val="9"/>
    <w:semiHidden/>
    <w:qFormat/>
    <w:rsid w:val="001727E1"/>
    <w:rPr>
      <w:rFonts w:cstheme="majorBidi"/>
      <w:color w:val="595959" w:themeColor="text1" w:themeTint="A6"/>
      <w14:ligatures w14:val="standardContextual"/>
    </w:rPr>
  </w:style>
  <w:style w:type="character" w:customStyle="1" w:styleId="90">
    <w:name w:val="标题 9 字符"/>
    <w:basedOn w:val="a0"/>
    <w:link w:val="9"/>
    <w:uiPriority w:val="9"/>
    <w:semiHidden/>
    <w:qFormat/>
    <w:rsid w:val="001727E1"/>
    <w:rPr>
      <w:rFonts w:eastAsiaTheme="majorEastAsia" w:cstheme="majorBidi"/>
      <w:color w:val="595959" w:themeColor="text1" w:themeTint="A6"/>
      <w14:ligatures w14:val="standardContextual"/>
    </w:rPr>
  </w:style>
  <w:style w:type="paragraph" w:styleId="a3">
    <w:name w:val="Title"/>
    <w:basedOn w:val="a"/>
    <w:next w:val="a"/>
    <w:link w:val="a4"/>
    <w:uiPriority w:val="10"/>
    <w:qFormat/>
    <w:rsid w:val="001727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1727E1"/>
    <w:rPr>
      <w:rFonts w:asciiTheme="majorHAnsi" w:eastAsiaTheme="majorEastAsia" w:hAnsiTheme="majorHAnsi" w:cstheme="majorBidi"/>
      <w:spacing w:val="-10"/>
      <w:kern w:val="28"/>
      <w:sz w:val="56"/>
      <w:szCs w:val="56"/>
      <w14:ligatures w14:val="standardContextual"/>
    </w:rPr>
  </w:style>
  <w:style w:type="paragraph" w:styleId="a5">
    <w:name w:val="Subtitle"/>
    <w:basedOn w:val="a"/>
    <w:next w:val="a"/>
    <w:link w:val="a6"/>
    <w:uiPriority w:val="11"/>
    <w:qFormat/>
    <w:rsid w:val="001727E1"/>
    <w:p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1727E1"/>
    <w:rPr>
      <w:rFonts w:asciiTheme="majorHAnsi" w:eastAsiaTheme="majorEastAsia" w:hAnsiTheme="majorHAnsi" w:cstheme="majorBidi"/>
      <w:color w:val="595959" w:themeColor="text1" w:themeTint="A6"/>
      <w:spacing w:val="15"/>
      <w:sz w:val="28"/>
      <w:szCs w:val="28"/>
      <w14:ligatures w14:val="standardContextual"/>
    </w:rPr>
  </w:style>
  <w:style w:type="paragraph" w:styleId="a7">
    <w:name w:val="Quote"/>
    <w:basedOn w:val="a"/>
    <w:next w:val="a"/>
    <w:link w:val="a8"/>
    <w:uiPriority w:val="29"/>
    <w:qFormat/>
    <w:rsid w:val="001727E1"/>
    <w:pPr>
      <w:spacing w:before="160" w:after="160"/>
      <w:jc w:val="center"/>
    </w:pPr>
    <w:rPr>
      <w:i/>
      <w:iCs/>
      <w:color w:val="404040" w:themeColor="text1" w:themeTint="BF"/>
    </w:rPr>
  </w:style>
  <w:style w:type="character" w:customStyle="1" w:styleId="a8">
    <w:name w:val="引用 字符"/>
    <w:basedOn w:val="a0"/>
    <w:link w:val="a7"/>
    <w:uiPriority w:val="29"/>
    <w:qFormat/>
    <w:rsid w:val="001727E1"/>
    <w:rPr>
      <w:i/>
      <w:iCs/>
      <w:color w:val="404040" w:themeColor="text1" w:themeTint="BF"/>
      <w14:ligatures w14:val="standardContextual"/>
    </w:rPr>
  </w:style>
  <w:style w:type="paragraph" w:styleId="a9">
    <w:name w:val="List Paragraph"/>
    <w:basedOn w:val="a"/>
    <w:uiPriority w:val="34"/>
    <w:qFormat/>
    <w:rsid w:val="001727E1"/>
    <w:pPr>
      <w:ind w:left="720"/>
      <w:contextualSpacing/>
    </w:pPr>
  </w:style>
  <w:style w:type="character" w:styleId="aa">
    <w:name w:val="Intense Emphasis"/>
    <w:basedOn w:val="a0"/>
    <w:uiPriority w:val="21"/>
    <w:qFormat/>
    <w:rsid w:val="001727E1"/>
    <w:rPr>
      <w:i/>
      <w:iCs/>
      <w:color w:val="0F4761" w:themeColor="accent1" w:themeShade="BF"/>
    </w:rPr>
  </w:style>
  <w:style w:type="paragraph" w:styleId="ab">
    <w:name w:val="Intense Quote"/>
    <w:basedOn w:val="a"/>
    <w:next w:val="a"/>
    <w:link w:val="ac"/>
    <w:uiPriority w:val="30"/>
    <w:qFormat/>
    <w:rsid w:val="00172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qFormat/>
    <w:rsid w:val="001727E1"/>
    <w:rPr>
      <w:i/>
      <w:iCs/>
      <w:color w:val="0F4761" w:themeColor="accent1" w:themeShade="BF"/>
      <w14:ligatures w14:val="standardContextual"/>
    </w:rPr>
  </w:style>
  <w:style w:type="character" w:styleId="ad">
    <w:name w:val="Intense Reference"/>
    <w:basedOn w:val="a0"/>
    <w:uiPriority w:val="32"/>
    <w:qFormat/>
    <w:rsid w:val="001727E1"/>
    <w:rPr>
      <w:b/>
      <w:bCs/>
      <w:smallCaps/>
      <w:color w:val="0F4761" w:themeColor="accent1" w:themeShade="BF"/>
      <w:spacing w:val="5"/>
    </w:rPr>
  </w:style>
  <w:style w:type="paragraph" w:styleId="ae">
    <w:name w:val="annotation text"/>
    <w:basedOn w:val="a"/>
    <w:link w:val="af"/>
    <w:uiPriority w:val="99"/>
    <w:unhideWhenUsed/>
    <w:qFormat/>
    <w:rsid w:val="001727E1"/>
    <w:pPr>
      <w:jc w:val="left"/>
    </w:pPr>
  </w:style>
  <w:style w:type="character" w:customStyle="1" w:styleId="af">
    <w:name w:val="批注文字 字符"/>
    <w:basedOn w:val="a0"/>
    <w:link w:val="ae"/>
    <w:uiPriority w:val="99"/>
    <w:qFormat/>
    <w:rsid w:val="001727E1"/>
    <w:rPr>
      <w14:ligatures w14:val="standardContextual"/>
    </w:rPr>
  </w:style>
  <w:style w:type="paragraph" w:styleId="af0">
    <w:name w:val="Balloon Text"/>
    <w:basedOn w:val="a"/>
    <w:link w:val="af1"/>
    <w:uiPriority w:val="99"/>
    <w:semiHidden/>
    <w:unhideWhenUsed/>
    <w:qFormat/>
    <w:rsid w:val="001727E1"/>
    <w:rPr>
      <w:sz w:val="18"/>
      <w:szCs w:val="18"/>
    </w:rPr>
  </w:style>
  <w:style w:type="character" w:customStyle="1" w:styleId="af1">
    <w:name w:val="批注框文本 字符"/>
    <w:basedOn w:val="a0"/>
    <w:link w:val="af0"/>
    <w:uiPriority w:val="99"/>
    <w:semiHidden/>
    <w:qFormat/>
    <w:rsid w:val="001727E1"/>
    <w:rPr>
      <w:sz w:val="18"/>
      <w:szCs w:val="18"/>
      <w14:ligatures w14:val="standardContextual"/>
    </w:rPr>
  </w:style>
  <w:style w:type="paragraph" w:styleId="af2">
    <w:name w:val="footer"/>
    <w:basedOn w:val="a"/>
    <w:link w:val="af3"/>
    <w:uiPriority w:val="99"/>
    <w:unhideWhenUsed/>
    <w:qFormat/>
    <w:rsid w:val="001727E1"/>
    <w:pPr>
      <w:tabs>
        <w:tab w:val="center" w:pos="4153"/>
        <w:tab w:val="right" w:pos="8306"/>
      </w:tabs>
      <w:snapToGrid w:val="0"/>
      <w:jc w:val="left"/>
    </w:pPr>
    <w:rPr>
      <w:sz w:val="18"/>
      <w:szCs w:val="18"/>
    </w:rPr>
  </w:style>
  <w:style w:type="character" w:customStyle="1" w:styleId="af3">
    <w:name w:val="页脚 字符"/>
    <w:basedOn w:val="a0"/>
    <w:link w:val="af2"/>
    <w:uiPriority w:val="99"/>
    <w:qFormat/>
    <w:rsid w:val="001727E1"/>
    <w:rPr>
      <w:sz w:val="18"/>
      <w:szCs w:val="18"/>
      <w14:ligatures w14:val="standardContextual"/>
    </w:rPr>
  </w:style>
  <w:style w:type="paragraph" w:styleId="af4">
    <w:name w:val="header"/>
    <w:basedOn w:val="a"/>
    <w:link w:val="af5"/>
    <w:uiPriority w:val="99"/>
    <w:unhideWhenUsed/>
    <w:qFormat/>
    <w:rsid w:val="001727E1"/>
    <w:pPr>
      <w:tabs>
        <w:tab w:val="center" w:pos="4153"/>
        <w:tab w:val="right" w:pos="8306"/>
      </w:tabs>
      <w:snapToGrid w:val="0"/>
      <w:jc w:val="center"/>
    </w:pPr>
    <w:rPr>
      <w:sz w:val="18"/>
      <w:szCs w:val="18"/>
    </w:rPr>
  </w:style>
  <w:style w:type="character" w:customStyle="1" w:styleId="af5">
    <w:name w:val="页眉 字符"/>
    <w:basedOn w:val="a0"/>
    <w:link w:val="af4"/>
    <w:uiPriority w:val="99"/>
    <w:qFormat/>
    <w:rsid w:val="001727E1"/>
    <w:rPr>
      <w:sz w:val="18"/>
      <w:szCs w:val="18"/>
      <w14:ligatures w14:val="standardContextual"/>
    </w:rPr>
  </w:style>
  <w:style w:type="paragraph" w:styleId="af6">
    <w:name w:val="annotation subject"/>
    <w:basedOn w:val="ae"/>
    <w:next w:val="ae"/>
    <w:link w:val="af7"/>
    <w:uiPriority w:val="99"/>
    <w:semiHidden/>
    <w:unhideWhenUsed/>
    <w:qFormat/>
    <w:rsid w:val="001727E1"/>
    <w:rPr>
      <w:b/>
      <w:bCs/>
    </w:rPr>
  </w:style>
  <w:style w:type="character" w:customStyle="1" w:styleId="af7">
    <w:name w:val="批注主题 字符"/>
    <w:basedOn w:val="af"/>
    <w:link w:val="af6"/>
    <w:uiPriority w:val="99"/>
    <w:semiHidden/>
    <w:qFormat/>
    <w:rsid w:val="001727E1"/>
    <w:rPr>
      <w:b/>
      <w:bCs/>
      <w14:ligatures w14:val="standardContextual"/>
    </w:rPr>
  </w:style>
  <w:style w:type="table" w:styleId="af8">
    <w:name w:val="Table Grid"/>
    <w:basedOn w:val="a1"/>
    <w:uiPriority w:val="39"/>
    <w:qFormat/>
    <w:rsid w:val="001727E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qFormat/>
    <w:rsid w:val="001727E1"/>
    <w:rPr>
      <w:sz w:val="21"/>
      <w:szCs w:val="21"/>
    </w:rPr>
  </w:style>
  <w:style w:type="character" w:customStyle="1" w:styleId="11">
    <w:name w:val="明显强调1"/>
    <w:basedOn w:val="a0"/>
    <w:uiPriority w:val="21"/>
    <w:qFormat/>
    <w:rsid w:val="001727E1"/>
    <w:rPr>
      <w:i/>
      <w:iCs/>
      <w:color w:val="0F4761" w:themeColor="accent1" w:themeShade="BF"/>
    </w:rPr>
  </w:style>
  <w:style w:type="character" w:customStyle="1" w:styleId="12">
    <w:name w:val="明显参考1"/>
    <w:basedOn w:val="a0"/>
    <w:uiPriority w:val="32"/>
    <w:qFormat/>
    <w:rsid w:val="001727E1"/>
    <w:rPr>
      <w:b/>
      <w:bCs/>
      <w:smallCaps/>
      <w:color w:val="0F4761" w:themeColor="accent1" w:themeShade="BF"/>
      <w:spacing w:val="5"/>
    </w:rPr>
  </w:style>
  <w:style w:type="paragraph" w:customStyle="1" w:styleId="EndNoteBibliography">
    <w:name w:val="EndNote Bibliography"/>
    <w:basedOn w:val="a"/>
    <w:link w:val="EndNoteBibliography0"/>
    <w:qFormat/>
    <w:rsid w:val="001727E1"/>
    <w:rPr>
      <w:rFonts w:ascii="等线" w:eastAsia="等线" w:hAnsi="等线"/>
      <w:sz w:val="20"/>
      <w14:ligatures w14:val="none"/>
    </w:rPr>
  </w:style>
  <w:style w:type="character" w:customStyle="1" w:styleId="EndNoteBibliography0">
    <w:name w:val="EndNote Bibliography 字符"/>
    <w:basedOn w:val="a0"/>
    <w:link w:val="EndNoteBibliography"/>
    <w:qFormat/>
    <w:rsid w:val="001727E1"/>
    <w:rPr>
      <w:rFonts w:ascii="等线" w:eastAsia="等线" w:hAnsi="等线"/>
      <w:sz w:val="20"/>
    </w:rPr>
  </w:style>
  <w:style w:type="paragraph" w:customStyle="1" w:styleId="TAMainText">
    <w:name w:val="TA_Main_Text"/>
    <w:basedOn w:val="a"/>
    <w:autoRedefine/>
    <w:qFormat/>
    <w:rsid w:val="001727E1"/>
    <w:pPr>
      <w:widowControl/>
    </w:pPr>
    <w:rPr>
      <w:rFonts w:ascii="Times New Roman" w:eastAsia="宋体" w:hAnsi="Times New Roman" w:cs="Times New Roman"/>
      <w:color w:val="000000"/>
      <w:kern w:val="22"/>
      <w:szCs w:val="13"/>
      <w14:ligatures w14:val="none"/>
    </w:rPr>
  </w:style>
  <w:style w:type="paragraph" w:customStyle="1" w:styleId="EndNoteBibliographyTitle">
    <w:name w:val="EndNote Bibliography Title"/>
    <w:basedOn w:val="a"/>
    <w:link w:val="EndNoteBibliographyTitle0"/>
    <w:qFormat/>
    <w:rsid w:val="001727E1"/>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sid w:val="001727E1"/>
    <w:rPr>
      <w:rFonts w:ascii="等线" w:eastAsia="等线" w:hAnsi="等线"/>
      <w:sz w:val="20"/>
      <w14:ligatures w14:val="standardContextual"/>
    </w:rPr>
  </w:style>
  <w:style w:type="paragraph" w:styleId="afa">
    <w:name w:val="Revision"/>
    <w:hidden/>
    <w:uiPriority w:val="99"/>
    <w:semiHidden/>
    <w:rsid w:val="001727E1"/>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png"/><Relationship Id="rId18" Type="http://schemas.openxmlformats.org/officeDocument/2006/relationships/image" Target="media/image12.png"/><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325AB-BAB9-4330-8491-1D9134A70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4847</Words>
  <Characters>27632</Characters>
  <Application>Microsoft Office Word</Application>
  <DocSecurity>0</DocSecurity>
  <Lines>230</Lines>
  <Paragraphs>64</Paragraphs>
  <ScaleCrop>false</ScaleCrop>
  <Company/>
  <LinksUpToDate>false</LinksUpToDate>
  <CharactersWithSpaces>32415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2959</dc:creator>
  <cp:keywords/>
  <dc:description/>
  <cp:lastModifiedBy>Liu C</cp:lastModifiedBy>
  <cp:revision>8</cp:revision>
  <cp:lastPrinted>2026-04-19T03:20:00Z</cp:lastPrinted>
  <dcterms:created xsi:type="dcterms:W3CDTF">2026-04-19T02:45:00Z</dcterms:created>
  <dcterms:modified xsi:type="dcterms:W3CDTF">2026-04-19T12:18:00Z</dcterms:modified>
</cp:coreProperties>
</file>