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F9DC2" w14:textId="66765B0F" w:rsidR="00F456E6" w:rsidRPr="00084CB6" w:rsidRDefault="00F456E6" w:rsidP="00084CB6">
      <w:pPr>
        <w:spacing w:line="480" w:lineRule="auto"/>
      </w:pPr>
      <w:r w:rsidRPr="00084CB6">
        <w:t>Supporting Information For</w:t>
      </w:r>
      <w:r w:rsidR="00A61C0B" w:rsidRPr="00084CB6">
        <w:t>:</w:t>
      </w:r>
    </w:p>
    <w:p w14:paraId="65903C5E" w14:textId="77777777" w:rsidR="00A61C0B" w:rsidRPr="00084CB6" w:rsidRDefault="00A61C0B" w:rsidP="00084CB6">
      <w:pPr>
        <w:spacing w:line="480" w:lineRule="auto"/>
      </w:pPr>
    </w:p>
    <w:p w14:paraId="273FD3E2" w14:textId="77210260" w:rsidR="00970D01" w:rsidRPr="00084CB6" w:rsidRDefault="00970D01" w:rsidP="00084CB6">
      <w:pPr>
        <w:spacing w:line="480" w:lineRule="auto"/>
        <w:rPr>
          <w:b/>
          <w:bCs/>
          <w:sz w:val="28"/>
          <w:szCs w:val="24"/>
        </w:rPr>
      </w:pPr>
      <w:bookmarkStart w:id="0" w:name="OLE_LINK22"/>
      <w:bookmarkStart w:id="1" w:name="OLE_LINK88"/>
      <w:bookmarkStart w:id="2" w:name="OLE_LINK137"/>
      <w:bookmarkStart w:id="3" w:name="OLE_LINK150"/>
      <w:r w:rsidRPr="00084CB6">
        <w:rPr>
          <w:b/>
          <w:bCs/>
          <w:sz w:val="28"/>
          <w:szCs w:val="24"/>
        </w:rPr>
        <w:t>All-in-One: A CGRP-</w:t>
      </w:r>
      <w:r w:rsidRPr="00084CB6">
        <w:t xml:space="preserve"> </w:t>
      </w:r>
      <w:r w:rsidRPr="00084CB6">
        <w:rPr>
          <w:b/>
          <w:bCs/>
          <w:sz w:val="28"/>
          <w:szCs w:val="24"/>
        </w:rPr>
        <w:t>Encapsulated Rh-</w:t>
      </w:r>
      <w:proofErr w:type="spellStart"/>
      <w:r w:rsidRPr="00084CB6">
        <w:rPr>
          <w:b/>
          <w:bCs/>
          <w:sz w:val="28"/>
          <w:szCs w:val="24"/>
        </w:rPr>
        <w:t>GelMA</w:t>
      </w:r>
      <w:proofErr w:type="spellEnd"/>
      <w:r w:rsidRPr="00084CB6">
        <w:rPr>
          <w:b/>
          <w:bCs/>
          <w:sz w:val="28"/>
          <w:szCs w:val="24"/>
        </w:rPr>
        <w:t xml:space="preserve"> </w:t>
      </w:r>
      <w:bookmarkStart w:id="4" w:name="OLE_LINK170"/>
      <w:bookmarkStart w:id="5" w:name="OLE_LINK7"/>
      <w:r w:rsidRPr="00084CB6">
        <w:rPr>
          <w:b/>
          <w:bCs/>
          <w:sz w:val="28"/>
          <w:szCs w:val="24"/>
        </w:rPr>
        <w:t xml:space="preserve">Supramolecular </w:t>
      </w:r>
      <w:bookmarkEnd w:id="4"/>
      <w:r w:rsidRPr="00084CB6">
        <w:rPr>
          <w:b/>
          <w:bCs/>
          <w:sz w:val="28"/>
          <w:szCs w:val="24"/>
        </w:rPr>
        <w:t>Dual-network Hydrogel</w:t>
      </w:r>
      <w:bookmarkEnd w:id="5"/>
      <w:r w:rsidRPr="00084CB6">
        <w:rPr>
          <w:b/>
          <w:bCs/>
          <w:sz w:val="28"/>
          <w:szCs w:val="24"/>
        </w:rPr>
        <w:t xml:space="preserve"> Orchestrating Immune-Vascular Coupling for </w:t>
      </w:r>
      <w:bookmarkStart w:id="6" w:name="OLE_LINK122"/>
      <w:r w:rsidRPr="00084CB6">
        <w:rPr>
          <w:b/>
          <w:bCs/>
          <w:sz w:val="28"/>
          <w:szCs w:val="24"/>
        </w:rPr>
        <w:t>Diabetic Wound Healing</w:t>
      </w:r>
      <w:bookmarkEnd w:id="0"/>
      <w:bookmarkEnd w:id="1"/>
      <w:bookmarkEnd w:id="2"/>
      <w:bookmarkEnd w:id="6"/>
    </w:p>
    <w:p w14:paraId="56B03DE5" w14:textId="77777777" w:rsidR="00970D01" w:rsidRPr="00084CB6" w:rsidRDefault="00970D01" w:rsidP="00084CB6">
      <w:pPr>
        <w:spacing w:line="480" w:lineRule="auto"/>
        <w:rPr>
          <w:b/>
          <w:bCs/>
          <w:sz w:val="28"/>
          <w:szCs w:val="24"/>
        </w:rPr>
      </w:pPr>
    </w:p>
    <w:bookmarkEnd w:id="3"/>
    <w:p w14:paraId="42436E41" w14:textId="77777777" w:rsidR="00970D01" w:rsidRPr="00084CB6" w:rsidRDefault="00970D01" w:rsidP="00084CB6">
      <w:pPr>
        <w:spacing w:line="480" w:lineRule="auto"/>
        <w:rPr>
          <w:rFonts w:eastAsia="MS Mincho" w:cs="Times New Roman"/>
          <w:iCs/>
          <w:color w:val="auto"/>
          <w:kern w:val="0"/>
          <w:szCs w:val="24"/>
          <w:vertAlign w:val="superscript"/>
          <w:lang w:eastAsia="ja-JP"/>
        </w:rPr>
      </w:pPr>
      <w:proofErr w:type="spellStart"/>
      <w:r w:rsidRPr="00084CB6">
        <w:rPr>
          <w:rFonts w:eastAsia="MS Mincho" w:cs="Times New Roman"/>
          <w:iCs/>
          <w:color w:val="auto"/>
          <w:kern w:val="0"/>
          <w:szCs w:val="24"/>
          <w:lang w:eastAsia="ja-JP"/>
        </w:rPr>
        <w:t>Xianglong</w:t>
      </w:r>
      <w:proofErr w:type="spellEnd"/>
      <w:r w:rsidRPr="00084CB6">
        <w:rPr>
          <w:rFonts w:eastAsia="MS Mincho" w:cs="Times New Roman"/>
          <w:iCs/>
          <w:color w:val="auto"/>
          <w:kern w:val="0"/>
          <w:szCs w:val="24"/>
          <w:lang w:eastAsia="ja-JP"/>
        </w:rPr>
        <w:t xml:space="preserve"> Zhou</w:t>
      </w:r>
      <w:r w:rsidRPr="00084CB6">
        <w:rPr>
          <w:rFonts w:eastAsia="MS Mincho" w:cs="Times New Roman"/>
          <w:iCs/>
          <w:color w:val="auto"/>
          <w:kern w:val="0"/>
          <w:szCs w:val="24"/>
          <w:vertAlign w:val="superscript"/>
          <w:lang w:eastAsia="ja-JP"/>
        </w:rPr>
        <w:t>1#</w:t>
      </w:r>
      <w:r w:rsidRPr="00084CB6">
        <w:rPr>
          <w:rFonts w:eastAsia="MS Mincho" w:cs="Times New Roman"/>
          <w:iCs/>
          <w:color w:val="auto"/>
          <w:kern w:val="0"/>
          <w:szCs w:val="24"/>
          <w:lang w:eastAsia="ja-JP"/>
        </w:rPr>
        <w:t xml:space="preserve">, </w:t>
      </w:r>
      <w:proofErr w:type="spellStart"/>
      <w:r w:rsidRPr="00084CB6">
        <w:rPr>
          <w:rFonts w:eastAsia="MS Mincho" w:cs="Times New Roman"/>
          <w:iCs/>
          <w:color w:val="auto"/>
          <w:kern w:val="0"/>
          <w:szCs w:val="24"/>
          <w:lang w:eastAsia="ja-JP"/>
        </w:rPr>
        <w:t>Jianhui</w:t>
      </w:r>
      <w:proofErr w:type="spellEnd"/>
      <w:r w:rsidRPr="00084CB6">
        <w:rPr>
          <w:rFonts w:eastAsia="MS Mincho" w:cs="Times New Roman"/>
          <w:iCs/>
          <w:color w:val="auto"/>
          <w:kern w:val="0"/>
          <w:szCs w:val="24"/>
          <w:lang w:eastAsia="ja-JP"/>
        </w:rPr>
        <w:t xml:space="preserve"> Xiang</w:t>
      </w:r>
      <w:r w:rsidRPr="00084CB6">
        <w:rPr>
          <w:rFonts w:eastAsia="MS Mincho" w:cs="Times New Roman"/>
          <w:iCs/>
          <w:color w:val="auto"/>
          <w:kern w:val="0"/>
          <w:szCs w:val="24"/>
          <w:vertAlign w:val="superscript"/>
          <w:lang w:eastAsia="ja-JP"/>
        </w:rPr>
        <w:t>1</w:t>
      </w:r>
      <w:bookmarkStart w:id="7" w:name="OLE_LINK3"/>
      <w:r w:rsidRPr="00084CB6">
        <w:rPr>
          <w:rFonts w:eastAsia="MS Mincho" w:cs="Times New Roman"/>
          <w:iCs/>
          <w:color w:val="auto"/>
          <w:kern w:val="0"/>
          <w:szCs w:val="24"/>
          <w:vertAlign w:val="superscript"/>
          <w:lang w:eastAsia="ja-JP"/>
        </w:rPr>
        <w:t>#</w:t>
      </w:r>
      <w:bookmarkEnd w:id="7"/>
      <w:r w:rsidRPr="00084CB6">
        <w:rPr>
          <w:rFonts w:eastAsia="MS Mincho" w:cs="Times New Roman"/>
          <w:iCs/>
          <w:color w:val="auto"/>
          <w:kern w:val="0"/>
          <w:szCs w:val="24"/>
          <w:lang w:eastAsia="ja-JP"/>
        </w:rPr>
        <w:t xml:space="preserve">, </w:t>
      </w:r>
      <w:proofErr w:type="spellStart"/>
      <w:r w:rsidRPr="00084CB6">
        <w:rPr>
          <w:rFonts w:eastAsia="MS Mincho" w:cs="Times New Roman"/>
          <w:iCs/>
          <w:color w:val="auto"/>
          <w:kern w:val="0"/>
          <w:szCs w:val="24"/>
          <w:lang w:eastAsia="ja-JP"/>
        </w:rPr>
        <w:t>Hanhong</w:t>
      </w:r>
      <w:proofErr w:type="spellEnd"/>
      <w:r w:rsidRPr="00084CB6">
        <w:rPr>
          <w:rFonts w:eastAsia="MS Mincho" w:cs="Times New Roman"/>
          <w:iCs/>
          <w:color w:val="auto"/>
          <w:kern w:val="0"/>
          <w:szCs w:val="24"/>
          <w:lang w:eastAsia="ja-JP"/>
        </w:rPr>
        <w:t xml:space="preserve"> Fang</w:t>
      </w:r>
      <w:r w:rsidRPr="00084CB6">
        <w:rPr>
          <w:rFonts w:eastAsia="MS Mincho" w:cs="Times New Roman"/>
          <w:iCs/>
          <w:color w:val="auto"/>
          <w:kern w:val="0"/>
          <w:szCs w:val="24"/>
          <w:vertAlign w:val="superscript"/>
          <w:lang w:eastAsia="ja-JP"/>
        </w:rPr>
        <w:t>1#</w:t>
      </w:r>
      <w:r w:rsidRPr="00084CB6">
        <w:rPr>
          <w:rFonts w:eastAsia="MS Mincho" w:cs="Times New Roman"/>
          <w:iCs/>
          <w:color w:val="auto"/>
          <w:kern w:val="0"/>
          <w:szCs w:val="24"/>
          <w:lang w:eastAsia="ja-JP"/>
        </w:rPr>
        <w:t>, Yang Liu</w:t>
      </w:r>
      <w:r w:rsidRPr="00084CB6">
        <w:rPr>
          <w:rFonts w:eastAsia="MS Mincho" w:cs="Times New Roman"/>
          <w:iCs/>
          <w:color w:val="auto"/>
          <w:kern w:val="0"/>
          <w:szCs w:val="24"/>
          <w:vertAlign w:val="superscript"/>
          <w:lang w:eastAsia="ja-JP"/>
        </w:rPr>
        <w:t>1</w:t>
      </w:r>
      <w:r w:rsidRPr="00084CB6">
        <w:rPr>
          <w:rFonts w:eastAsia="MS Mincho" w:cs="Times New Roman"/>
          <w:iCs/>
          <w:color w:val="auto"/>
          <w:kern w:val="0"/>
          <w:szCs w:val="24"/>
          <w:lang w:eastAsia="ja-JP"/>
        </w:rPr>
        <w:t xml:space="preserve">, </w:t>
      </w:r>
      <w:proofErr w:type="spellStart"/>
      <w:r w:rsidRPr="00084CB6">
        <w:rPr>
          <w:rFonts w:eastAsia="MS Mincho" w:cs="Times New Roman"/>
          <w:iCs/>
          <w:color w:val="auto"/>
          <w:kern w:val="0"/>
          <w:szCs w:val="24"/>
          <w:lang w:eastAsia="ja-JP"/>
        </w:rPr>
        <w:t>Fulin</w:t>
      </w:r>
      <w:proofErr w:type="spellEnd"/>
      <w:r w:rsidRPr="00084CB6">
        <w:rPr>
          <w:rFonts w:eastAsia="MS Mincho" w:cs="Times New Roman"/>
          <w:iCs/>
          <w:color w:val="auto"/>
          <w:kern w:val="0"/>
          <w:szCs w:val="24"/>
          <w:lang w:eastAsia="ja-JP"/>
        </w:rPr>
        <w:t xml:space="preserve"> Zhou</w:t>
      </w:r>
      <w:r w:rsidRPr="00084CB6">
        <w:rPr>
          <w:rFonts w:eastAsia="MS Mincho" w:cs="Times New Roman"/>
          <w:iCs/>
          <w:color w:val="auto"/>
          <w:kern w:val="0"/>
          <w:szCs w:val="24"/>
          <w:vertAlign w:val="superscript"/>
          <w:lang w:eastAsia="ja-JP"/>
        </w:rPr>
        <w:t>1</w:t>
      </w:r>
      <w:r w:rsidRPr="00084CB6">
        <w:rPr>
          <w:rFonts w:eastAsia="MS Mincho" w:cs="Times New Roman"/>
          <w:iCs/>
          <w:color w:val="auto"/>
          <w:kern w:val="0"/>
          <w:szCs w:val="24"/>
          <w:lang w:eastAsia="ja-JP"/>
        </w:rPr>
        <w:t xml:space="preserve">, </w:t>
      </w:r>
      <w:proofErr w:type="spellStart"/>
      <w:r w:rsidRPr="00084CB6">
        <w:rPr>
          <w:rFonts w:eastAsia="MS Mincho" w:cs="Times New Roman"/>
          <w:iCs/>
          <w:color w:val="auto"/>
          <w:kern w:val="0"/>
          <w:szCs w:val="24"/>
          <w:lang w:eastAsia="ja-JP"/>
        </w:rPr>
        <w:t>Jiheng</w:t>
      </w:r>
      <w:proofErr w:type="spellEnd"/>
      <w:r w:rsidRPr="00084CB6">
        <w:rPr>
          <w:rFonts w:eastAsia="MS Mincho" w:cs="Times New Roman"/>
          <w:iCs/>
          <w:color w:val="auto"/>
          <w:kern w:val="0"/>
          <w:szCs w:val="24"/>
          <w:lang w:eastAsia="ja-JP"/>
        </w:rPr>
        <w:t xml:space="preserve"> Xiao</w:t>
      </w:r>
      <w:r w:rsidRPr="00084CB6">
        <w:rPr>
          <w:rFonts w:eastAsia="MS Mincho" w:cs="Times New Roman"/>
          <w:iCs/>
          <w:color w:val="auto"/>
          <w:kern w:val="0"/>
          <w:szCs w:val="24"/>
          <w:vertAlign w:val="superscript"/>
          <w:lang w:eastAsia="ja-JP"/>
        </w:rPr>
        <w:t>1</w:t>
      </w:r>
      <w:r w:rsidRPr="00084CB6">
        <w:rPr>
          <w:rFonts w:eastAsia="MS Mincho" w:cs="Times New Roman"/>
          <w:iCs/>
          <w:color w:val="auto"/>
          <w:kern w:val="0"/>
          <w:szCs w:val="24"/>
          <w:lang w:eastAsia="ja-JP"/>
        </w:rPr>
        <w:t xml:space="preserve">, Weicheng </w:t>
      </w:r>
      <w:r w:rsidRPr="00084CB6">
        <w:rPr>
          <w:rFonts w:eastAsiaTheme="minorEastAsia" w:cs="Times New Roman" w:hint="eastAsia"/>
          <w:iCs/>
          <w:color w:val="auto"/>
          <w:kern w:val="0"/>
          <w:szCs w:val="24"/>
        </w:rPr>
        <w:t>C</w:t>
      </w:r>
      <w:r w:rsidRPr="00084CB6">
        <w:rPr>
          <w:rFonts w:eastAsia="MS Mincho" w:cs="Times New Roman"/>
          <w:iCs/>
          <w:color w:val="auto"/>
          <w:kern w:val="0"/>
          <w:szCs w:val="24"/>
          <w:lang w:eastAsia="ja-JP"/>
        </w:rPr>
        <w:t>hen</w:t>
      </w:r>
      <w:r w:rsidRPr="00084CB6">
        <w:rPr>
          <w:rFonts w:eastAsia="MS Mincho" w:cs="Times New Roman"/>
          <w:iCs/>
          <w:color w:val="auto"/>
          <w:kern w:val="0"/>
          <w:szCs w:val="24"/>
          <w:vertAlign w:val="superscript"/>
          <w:lang w:eastAsia="ja-JP"/>
        </w:rPr>
        <w:t>1</w:t>
      </w:r>
      <w:r w:rsidRPr="00084CB6">
        <w:rPr>
          <w:rFonts w:eastAsia="MS Mincho" w:cs="Times New Roman"/>
          <w:iCs/>
          <w:color w:val="auto"/>
          <w:kern w:val="0"/>
          <w:szCs w:val="24"/>
          <w:lang w:eastAsia="ja-JP"/>
        </w:rPr>
        <w:t xml:space="preserve">, </w:t>
      </w:r>
      <w:proofErr w:type="spellStart"/>
      <w:r w:rsidRPr="00084CB6">
        <w:rPr>
          <w:rFonts w:eastAsia="MS Mincho" w:cs="Times New Roman"/>
          <w:iCs/>
          <w:color w:val="auto"/>
          <w:kern w:val="0"/>
          <w:szCs w:val="24"/>
          <w:lang w:eastAsia="ja-JP"/>
        </w:rPr>
        <w:t>Haoran</w:t>
      </w:r>
      <w:proofErr w:type="spellEnd"/>
      <w:r w:rsidRPr="00084CB6">
        <w:rPr>
          <w:rFonts w:eastAsia="MS Mincho" w:cs="Times New Roman"/>
          <w:iCs/>
          <w:color w:val="auto"/>
          <w:kern w:val="0"/>
          <w:szCs w:val="24"/>
          <w:lang w:eastAsia="ja-JP"/>
        </w:rPr>
        <w:t xml:space="preserve"> Zhou</w:t>
      </w:r>
      <w:bookmarkStart w:id="8" w:name="OLE_LINK5"/>
      <w:r w:rsidRPr="00084CB6">
        <w:rPr>
          <w:rFonts w:eastAsia="MS Mincho" w:cs="Times New Roman"/>
          <w:iCs/>
          <w:color w:val="auto"/>
          <w:kern w:val="0"/>
          <w:szCs w:val="24"/>
          <w:vertAlign w:val="superscript"/>
          <w:lang w:eastAsia="ja-JP"/>
        </w:rPr>
        <w:t>1</w:t>
      </w:r>
      <w:bookmarkEnd w:id="8"/>
      <w:r w:rsidRPr="00084CB6">
        <w:rPr>
          <w:rFonts w:eastAsia="MS Mincho" w:cs="Times New Roman"/>
          <w:iCs/>
          <w:color w:val="auto"/>
          <w:kern w:val="0"/>
          <w:szCs w:val="24"/>
          <w:lang w:eastAsia="ja-JP"/>
        </w:rPr>
        <w:t xml:space="preserve">, </w:t>
      </w:r>
      <w:proofErr w:type="spellStart"/>
      <w:r w:rsidRPr="00084CB6">
        <w:rPr>
          <w:rFonts w:eastAsia="MS Mincho" w:cs="Times New Roman"/>
          <w:iCs/>
          <w:color w:val="auto"/>
          <w:kern w:val="0"/>
          <w:szCs w:val="24"/>
          <w:lang w:eastAsia="ja-JP"/>
        </w:rPr>
        <w:t>Guohui</w:t>
      </w:r>
      <w:proofErr w:type="spellEnd"/>
      <w:r w:rsidRPr="00084CB6">
        <w:rPr>
          <w:rFonts w:eastAsia="MS Mincho" w:cs="Times New Roman"/>
          <w:iCs/>
          <w:color w:val="auto"/>
          <w:kern w:val="0"/>
          <w:szCs w:val="24"/>
          <w:lang w:eastAsia="ja-JP"/>
        </w:rPr>
        <w:t xml:space="preserve"> Liu</w:t>
      </w:r>
      <w:r w:rsidRPr="00084CB6">
        <w:rPr>
          <w:rFonts w:eastAsia="MS Mincho" w:cs="Times New Roman"/>
          <w:iCs/>
          <w:color w:val="auto"/>
          <w:kern w:val="0"/>
          <w:szCs w:val="24"/>
          <w:vertAlign w:val="superscript"/>
          <w:lang w:eastAsia="ja-JP"/>
        </w:rPr>
        <w:t>1</w:t>
      </w:r>
      <w:r w:rsidRPr="00084CB6">
        <w:rPr>
          <w:rFonts w:eastAsia="MS Mincho" w:cs="Times New Roman"/>
          <w:iCs/>
          <w:color w:val="auto"/>
          <w:kern w:val="0"/>
          <w:szCs w:val="24"/>
          <w:lang w:eastAsia="ja-JP"/>
        </w:rPr>
        <w:t>, Xiao Lv</w:t>
      </w:r>
      <w:r w:rsidRPr="00084CB6">
        <w:rPr>
          <w:rFonts w:eastAsia="MS Mincho" w:cs="Times New Roman"/>
          <w:iCs/>
          <w:color w:val="auto"/>
          <w:kern w:val="0"/>
          <w:szCs w:val="24"/>
          <w:vertAlign w:val="superscript"/>
          <w:lang w:eastAsia="ja-JP"/>
        </w:rPr>
        <w:t>1*</w:t>
      </w:r>
      <w:r w:rsidRPr="00084CB6">
        <w:rPr>
          <w:rFonts w:eastAsia="MS Mincho" w:cs="Times New Roman"/>
          <w:iCs/>
          <w:color w:val="auto"/>
          <w:kern w:val="0"/>
          <w:szCs w:val="24"/>
          <w:lang w:eastAsia="ja-JP"/>
        </w:rPr>
        <w:t xml:space="preserve">, </w:t>
      </w:r>
      <w:proofErr w:type="spellStart"/>
      <w:r w:rsidRPr="00084CB6">
        <w:rPr>
          <w:rFonts w:eastAsia="MS Mincho" w:cs="Times New Roman"/>
          <w:iCs/>
          <w:color w:val="auto"/>
          <w:kern w:val="0"/>
          <w:szCs w:val="24"/>
          <w:lang w:eastAsia="ja-JP"/>
        </w:rPr>
        <w:t>Yiqiang</w:t>
      </w:r>
      <w:proofErr w:type="spellEnd"/>
      <w:r w:rsidRPr="00084CB6">
        <w:rPr>
          <w:rFonts w:eastAsia="MS Mincho" w:cs="Times New Roman"/>
          <w:iCs/>
          <w:color w:val="auto"/>
          <w:kern w:val="0"/>
          <w:szCs w:val="24"/>
          <w:lang w:eastAsia="ja-JP"/>
        </w:rPr>
        <w:t xml:space="preserve"> Hu</w:t>
      </w:r>
      <w:bookmarkStart w:id="9" w:name="OLE_LINK10"/>
      <w:r w:rsidRPr="00084CB6">
        <w:rPr>
          <w:rFonts w:eastAsia="MS Mincho" w:cs="Times New Roman"/>
          <w:iCs/>
          <w:color w:val="auto"/>
          <w:kern w:val="0"/>
          <w:szCs w:val="24"/>
          <w:vertAlign w:val="superscript"/>
          <w:lang w:eastAsia="ja-JP"/>
        </w:rPr>
        <w:t>1*</w:t>
      </w:r>
      <w:bookmarkEnd w:id="9"/>
      <w:r w:rsidRPr="00084CB6">
        <w:rPr>
          <w:rFonts w:eastAsia="MS Mincho" w:cs="Times New Roman"/>
          <w:iCs/>
          <w:color w:val="auto"/>
          <w:kern w:val="0"/>
          <w:szCs w:val="24"/>
          <w:lang w:eastAsia="ja-JP"/>
        </w:rPr>
        <w:t>, Liming Xiong</w:t>
      </w:r>
      <w:r w:rsidRPr="00084CB6">
        <w:rPr>
          <w:rFonts w:eastAsia="MS Mincho" w:cs="Times New Roman"/>
          <w:iCs/>
          <w:color w:val="auto"/>
          <w:kern w:val="0"/>
          <w:szCs w:val="24"/>
          <w:vertAlign w:val="superscript"/>
          <w:lang w:eastAsia="ja-JP"/>
        </w:rPr>
        <w:t>1*</w:t>
      </w:r>
    </w:p>
    <w:p w14:paraId="2FE99B51" w14:textId="77777777" w:rsidR="00970D01" w:rsidRPr="00084CB6" w:rsidRDefault="00970D01" w:rsidP="00084CB6">
      <w:pPr>
        <w:spacing w:line="480" w:lineRule="auto"/>
        <w:rPr>
          <w:rFonts w:eastAsia="MS Mincho" w:cs="Times New Roman"/>
          <w:iCs/>
          <w:color w:val="auto"/>
          <w:kern w:val="0"/>
          <w:szCs w:val="24"/>
          <w:vertAlign w:val="superscript"/>
          <w:lang w:eastAsia="ja-JP"/>
        </w:rPr>
      </w:pPr>
    </w:p>
    <w:p w14:paraId="2FF834E3" w14:textId="77777777" w:rsidR="00970D01" w:rsidRPr="00084CB6" w:rsidRDefault="00970D01" w:rsidP="00084CB6">
      <w:pPr>
        <w:spacing w:line="480" w:lineRule="auto"/>
        <w:rPr>
          <w:rFonts w:cs="Times New Roman"/>
          <w:bCs/>
          <w:szCs w:val="24"/>
        </w:rPr>
      </w:pPr>
      <w:bookmarkStart w:id="10" w:name="OLE_LINK101"/>
      <w:r w:rsidRPr="00084CB6">
        <w:rPr>
          <w:rFonts w:cs="Times New Roman"/>
          <w:bCs/>
          <w:szCs w:val="24"/>
          <w:vertAlign w:val="superscript"/>
        </w:rPr>
        <w:t>1</w:t>
      </w:r>
      <w:bookmarkStart w:id="11" w:name="OLE_LINK38"/>
      <w:bookmarkStart w:id="12" w:name="_Hlk201878556"/>
      <w:r w:rsidRPr="00084CB6">
        <w:rPr>
          <w:rFonts w:cs="Times New Roman"/>
          <w:bCs/>
          <w:szCs w:val="24"/>
        </w:rPr>
        <w:t xml:space="preserve">Department of </w:t>
      </w:r>
      <w:proofErr w:type="spellStart"/>
      <w:r w:rsidRPr="00084CB6">
        <w:rPr>
          <w:rFonts w:cs="Times New Roman"/>
          <w:bCs/>
          <w:szCs w:val="24"/>
        </w:rPr>
        <w:t>Orthopaedics</w:t>
      </w:r>
      <w:proofErr w:type="spellEnd"/>
      <w:r w:rsidRPr="00084CB6">
        <w:rPr>
          <w:rFonts w:cs="Times New Roman"/>
          <w:bCs/>
          <w:szCs w:val="24"/>
        </w:rPr>
        <w:t>, Union Hospital, Tongji Medical College, Huazhong University of Science and Technology</w:t>
      </w:r>
      <w:bookmarkEnd w:id="11"/>
      <w:r w:rsidRPr="00084CB6">
        <w:rPr>
          <w:rFonts w:cs="Times New Roman"/>
          <w:bCs/>
          <w:szCs w:val="24"/>
        </w:rPr>
        <w:t>, Wuhan, 430022, China.</w:t>
      </w:r>
      <w:bookmarkEnd w:id="12"/>
    </w:p>
    <w:bookmarkEnd w:id="10"/>
    <w:p w14:paraId="6011C6B9" w14:textId="77777777" w:rsidR="00970D01" w:rsidRPr="00084CB6" w:rsidRDefault="00970D01" w:rsidP="00084CB6">
      <w:pPr>
        <w:spacing w:line="480" w:lineRule="auto"/>
        <w:rPr>
          <w:rFonts w:cs="Times New Roman"/>
          <w:bCs/>
          <w:szCs w:val="24"/>
        </w:rPr>
      </w:pPr>
      <w:r w:rsidRPr="00084CB6">
        <w:rPr>
          <w:rFonts w:cs="Times New Roman"/>
          <w:bCs/>
          <w:szCs w:val="24"/>
          <w:vertAlign w:val="superscript"/>
        </w:rPr>
        <w:t>#</w:t>
      </w:r>
      <w:r w:rsidRPr="00084CB6">
        <w:t xml:space="preserve"> </w:t>
      </w:r>
      <w:proofErr w:type="spellStart"/>
      <w:r w:rsidRPr="00084CB6">
        <w:rPr>
          <w:rFonts w:eastAsia="MS Mincho" w:cs="Times New Roman"/>
          <w:color w:val="auto"/>
          <w:kern w:val="0"/>
          <w:szCs w:val="24"/>
          <w:lang w:eastAsia="ja-JP"/>
        </w:rPr>
        <w:t>Xianglong</w:t>
      </w:r>
      <w:proofErr w:type="spellEnd"/>
      <w:r w:rsidRPr="00084CB6">
        <w:rPr>
          <w:rFonts w:eastAsia="MS Mincho" w:cs="Times New Roman"/>
          <w:color w:val="auto"/>
          <w:kern w:val="0"/>
          <w:szCs w:val="24"/>
          <w:lang w:eastAsia="ja-JP"/>
        </w:rPr>
        <w:t xml:space="preserve"> Zhou, </w:t>
      </w:r>
      <w:proofErr w:type="spellStart"/>
      <w:r w:rsidRPr="00084CB6">
        <w:rPr>
          <w:rFonts w:eastAsia="MS Mincho" w:cs="Times New Roman"/>
          <w:color w:val="auto"/>
          <w:kern w:val="0"/>
          <w:szCs w:val="24"/>
          <w:lang w:eastAsia="ja-JP"/>
        </w:rPr>
        <w:t>Jianhui</w:t>
      </w:r>
      <w:proofErr w:type="spellEnd"/>
      <w:r w:rsidRPr="00084CB6">
        <w:rPr>
          <w:rFonts w:eastAsia="MS Mincho" w:cs="Times New Roman"/>
          <w:color w:val="auto"/>
          <w:kern w:val="0"/>
          <w:szCs w:val="24"/>
          <w:lang w:eastAsia="ja-JP"/>
        </w:rPr>
        <w:t xml:space="preserve"> Xiang, and </w:t>
      </w:r>
      <w:proofErr w:type="spellStart"/>
      <w:r w:rsidRPr="00084CB6">
        <w:rPr>
          <w:rFonts w:eastAsia="MS Mincho" w:cs="Times New Roman"/>
          <w:color w:val="auto"/>
          <w:kern w:val="0"/>
          <w:szCs w:val="24"/>
          <w:lang w:eastAsia="ja-JP"/>
        </w:rPr>
        <w:t>Hanhong</w:t>
      </w:r>
      <w:proofErr w:type="spellEnd"/>
      <w:r w:rsidRPr="00084CB6">
        <w:rPr>
          <w:rFonts w:eastAsia="MS Mincho" w:cs="Times New Roman"/>
          <w:color w:val="auto"/>
          <w:kern w:val="0"/>
          <w:szCs w:val="24"/>
          <w:lang w:eastAsia="ja-JP"/>
        </w:rPr>
        <w:t xml:space="preserve"> Fang</w:t>
      </w:r>
      <w:r w:rsidRPr="00084CB6">
        <w:rPr>
          <w:rFonts w:eastAsia="MS Mincho" w:cs="Times New Roman"/>
          <w:color w:val="auto"/>
          <w:kern w:val="0"/>
          <w:szCs w:val="24"/>
          <w:vertAlign w:val="superscript"/>
          <w:lang w:eastAsia="ja-JP"/>
        </w:rPr>
        <w:t xml:space="preserve"> </w:t>
      </w:r>
      <w:r w:rsidRPr="00084CB6">
        <w:rPr>
          <w:rFonts w:cs="Times New Roman"/>
          <w:bCs/>
          <w:szCs w:val="24"/>
        </w:rPr>
        <w:t>contributed equally to this work.</w:t>
      </w:r>
    </w:p>
    <w:p w14:paraId="25019461" w14:textId="77777777" w:rsidR="00970D01" w:rsidRPr="00084CB6" w:rsidRDefault="00970D01" w:rsidP="00084CB6">
      <w:pPr>
        <w:spacing w:line="480" w:lineRule="auto"/>
        <w:rPr>
          <w:rFonts w:cs="Times New Roman"/>
          <w:bCs/>
          <w:szCs w:val="24"/>
        </w:rPr>
      </w:pPr>
      <w:r w:rsidRPr="00084CB6">
        <w:rPr>
          <w:rFonts w:cs="Times New Roman"/>
          <w:bCs/>
          <w:szCs w:val="24"/>
        </w:rPr>
        <w:t>* Correspondence</w:t>
      </w:r>
      <w:bookmarkStart w:id="13" w:name="_Hlk201878754"/>
    </w:p>
    <w:p w14:paraId="48A619AA" w14:textId="77777777" w:rsidR="00970D01" w:rsidRPr="00084CB6" w:rsidRDefault="00970D01" w:rsidP="00084CB6">
      <w:pPr>
        <w:spacing w:line="480" w:lineRule="auto"/>
        <w:rPr>
          <w:rFonts w:cs="Times New Roman"/>
          <w:bCs/>
          <w:szCs w:val="24"/>
        </w:rPr>
      </w:pPr>
      <w:r w:rsidRPr="00084CB6">
        <w:rPr>
          <w:rFonts w:cs="Times New Roman"/>
          <w:bCs/>
          <w:szCs w:val="24"/>
        </w:rPr>
        <w:t xml:space="preserve">Xiao </w:t>
      </w:r>
      <w:proofErr w:type="spellStart"/>
      <w:r w:rsidRPr="00084CB6">
        <w:rPr>
          <w:rFonts w:cs="Times New Roman"/>
          <w:bCs/>
          <w:szCs w:val="24"/>
        </w:rPr>
        <w:t>Lv</w:t>
      </w:r>
      <w:proofErr w:type="spellEnd"/>
    </w:p>
    <w:p w14:paraId="27337317" w14:textId="77777777" w:rsidR="00970D01" w:rsidRPr="00084CB6" w:rsidRDefault="00970D01" w:rsidP="00084CB6">
      <w:pPr>
        <w:spacing w:line="480" w:lineRule="auto"/>
        <w:rPr>
          <w:rFonts w:cs="Times New Roman"/>
          <w:bCs/>
          <w:szCs w:val="24"/>
        </w:rPr>
      </w:pPr>
      <w:r w:rsidRPr="00084CB6">
        <w:rPr>
          <w:rFonts w:cs="Times New Roman"/>
          <w:bCs/>
          <w:szCs w:val="24"/>
        </w:rPr>
        <w:t>lvxiaotjmu@163.com</w:t>
      </w:r>
      <w:bookmarkEnd w:id="13"/>
    </w:p>
    <w:p w14:paraId="7BD2F525" w14:textId="77777777" w:rsidR="00970D01" w:rsidRPr="00084CB6" w:rsidRDefault="00970D01" w:rsidP="00084CB6">
      <w:pPr>
        <w:spacing w:line="480" w:lineRule="auto"/>
        <w:rPr>
          <w:rFonts w:cs="Times New Roman"/>
          <w:bCs/>
          <w:szCs w:val="24"/>
        </w:rPr>
      </w:pPr>
      <w:proofErr w:type="spellStart"/>
      <w:r w:rsidRPr="00084CB6">
        <w:rPr>
          <w:rFonts w:cs="Times New Roman"/>
          <w:bCs/>
          <w:szCs w:val="24"/>
        </w:rPr>
        <w:t>Yiqiang</w:t>
      </w:r>
      <w:proofErr w:type="spellEnd"/>
      <w:r w:rsidRPr="00084CB6">
        <w:rPr>
          <w:rFonts w:cs="Times New Roman"/>
          <w:bCs/>
          <w:szCs w:val="24"/>
        </w:rPr>
        <w:t xml:space="preserve"> Hu</w:t>
      </w:r>
    </w:p>
    <w:p w14:paraId="67138AB2" w14:textId="77777777" w:rsidR="00970D01" w:rsidRPr="00084CB6" w:rsidRDefault="00970D01" w:rsidP="00084CB6">
      <w:pPr>
        <w:spacing w:line="480" w:lineRule="auto"/>
        <w:rPr>
          <w:rFonts w:cs="Times New Roman"/>
          <w:bCs/>
          <w:szCs w:val="24"/>
        </w:rPr>
      </w:pPr>
      <w:r w:rsidRPr="00084CB6">
        <w:rPr>
          <w:rFonts w:cs="Times New Roman"/>
          <w:bCs/>
          <w:szCs w:val="24"/>
        </w:rPr>
        <w:t>huyiqiang@hust.edu.cn</w:t>
      </w:r>
      <w:bookmarkStart w:id="14" w:name="_Hlk201878784"/>
    </w:p>
    <w:p w14:paraId="73BCAB0C" w14:textId="77777777" w:rsidR="00970D01" w:rsidRPr="00084CB6" w:rsidRDefault="00970D01" w:rsidP="00084CB6">
      <w:pPr>
        <w:spacing w:line="480" w:lineRule="auto"/>
        <w:rPr>
          <w:rFonts w:cs="Times New Roman"/>
          <w:bCs/>
          <w:szCs w:val="24"/>
        </w:rPr>
      </w:pPr>
      <w:r w:rsidRPr="00084CB6">
        <w:rPr>
          <w:rFonts w:cs="Times New Roman"/>
          <w:bCs/>
          <w:szCs w:val="24"/>
        </w:rPr>
        <w:t xml:space="preserve">Liming </w:t>
      </w:r>
      <w:proofErr w:type="spellStart"/>
      <w:r w:rsidRPr="00084CB6">
        <w:rPr>
          <w:rFonts w:cs="Times New Roman"/>
          <w:bCs/>
          <w:szCs w:val="24"/>
        </w:rPr>
        <w:t>Xiong</w:t>
      </w:r>
      <w:proofErr w:type="spellEnd"/>
    </w:p>
    <w:p w14:paraId="27FAEA24" w14:textId="77777777" w:rsidR="00970D01" w:rsidRPr="00084CB6" w:rsidRDefault="00970D01" w:rsidP="00084CB6">
      <w:pPr>
        <w:spacing w:line="480" w:lineRule="auto"/>
        <w:rPr>
          <w:rFonts w:cs="Times New Roman"/>
          <w:bCs/>
          <w:szCs w:val="24"/>
        </w:rPr>
      </w:pPr>
      <w:r w:rsidRPr="00084CB6">
        <w:rPr>
          <w:rFonts w:cs="Times New Roman"/>
          <w:bCs/>
          <w:szCs w:val="24"/>
        </w:rPr>
        <w:t>xiongliming@hust.edu.cn</w:t>
      </w:r>
      <w:bookmarkEnd w:id="14"/>
    </w:p>
    <w:p w14:paraId="263F13C9" w14:textId="066A4F11" w:rsidR="009D27DB" w:rsidRPr="00084CB6" w:rsidRDefault="002D260B" w:rsidP="00084CB6">
      <w:pPr>
        <w:spacing w:line="480" w:lineRule="auto"/>
        <w:rPr>
          <w:b/>
          <w:bCs/>
        </w:rPr>
      </w:pPr>
      <w:r w:rsidRPr="00084CB6">
        <w:rPr>
          <w:b/>
          <w:bCs/>
        </w:rPr>
        <w:br w:type="page"/>
      </w:r>
    </w:p>
    <w:p w14:paraId="70A5097F" w14:textId="505725D9" w:rsidR="009D27DB" w:rsidRPr="00084CB6" w:rsidRDefault="00B51C0D" w:rsidP="00084CB6">
      <w:pPr>
        <w:spacing w:line="480" w:lineRule="auto"/>
        <w:jc w:val="center"/>
        <w:rPr>
          <w:b/>
          <w:bCs/>
        </w:rPr>
      </w:pPr>
      <w:r>
        <w:rPr>
          <w:rFonts w:hint="eastAsia"/>
          <w:b/>
          <w:bCs/>
          <w:noProof/>
        </w:rPr>
        <w:lastRenderedPageBreak/>
        <w:drawing>
          <wp:inline distT="0" distB="0" distL="0" distR="0" wp14:anchorId="3A53DE82" wp14:editId="0335A12F">
            <wp:extent cx="5274310" cy="4353560"/>
            <wp:effectExtent l="0" t="0" r="254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a:stretch>
                      <a:fillRect/>
                    </a:stretch>
                  </pic:blipFill>
                  <pic:spPr>
                    <a:xfrm>
                      <a:off x="0" y="0"/>
                      <a:ext cx="5274310" cy="4353560"/>
                    </a:xfrm>
                    <a:prstGeom prst="rect">
                      <a:avLst/>
                    </a:prstGeom>
                  </pic:spPr>
                </pic:pic>
              </a:graphicData>
            </a:graphic>
          </wp:inline>
        </w:drawing>
      </w:r>
    </w:p>
    <w:p w14:paraId="29A6C469" w14:textId="3A5363E2" w:rsidR="00F165C7" w:rsidRDefault="000005D7" w:rsidP="00084CB6">
      <w:pPr>
        <w:spacing w:line="480" w:lineRule="auto"/>
      </w:pPr>
      <w:r w:rsidRPr="00084CB6">
        <w:rPr>
          <w:b/>
          <w:bCs/>
        </w:rPr>
        <w:t xml:space="preserve">Figure S1. </w:t>
      </w:r>
      <w:r w:rsidR="000047FA">
        <w:rPr>
          <w:b/>
          <w:bCs/>
        </w:rPr>
        <w:t>M</w:t>
      </w:r>
      <w:r w:rsidRPr="00084CB6">
        <w:rPr>
          <w:b/>
          <w:bCs/>
        </w:rPr>
        <w:t xml:space="preserve">olecular dynamics simulation data supporting the aggregation behavior of </w:t>
      </w:r>
      <w:proofErr w:type="spellStart"/>
      <w:r w:rsidRPr="00084CB6">
        <w:rPr>
          <w:b/>
          <w:bCs/>
        </w:rPr>
        <w:t>rhein</w:t>
      </w:r>
      <w:proofErr w:type="spellEnd"/>
      <w:r w:rsidRPr="00084CB6">
        <w:rPr>
          <w:b/>
          <w:bCs/>
        </w:rPr>
        <w:t xml:space="preserve"> molecules within 100 ns. </w:t>
      </w:r>
      <w:r w:rsidRPr="00084CB6">
        <w:t>(a) RMSD of the Rhein-gel system during the 100 ns simulation. (b) SASA of the Rhein-gel system during the 100 ns simulation. (c) Time-dependent hydrogen bond number of the Rhein-gel system during the 100 ns simulation. (d) Radius of gyration (RG) of the Rhein-gel system during the 100 ns simulation.</w:t>
      </w:r>
    </w:p>
    <w:p w14:paraId="55E21B51" w14:textId="77777777" w:rsidR="00F165C7" w:rsidRDefault="00F165C7">
      <w:r>
        <w:br w:type="page"/>
      </w:r>
    </w:p>
    <w:p w14:paraId="5748BA6F" w14:textId="4E84B6EF" w:rsidR="009D27DB" w:rsidRPr="00084CB6" w:rsidRDefault="00FA580D" w:rsidP="00084CB6">
      <w:pPr>
        <w:spacing w:line="480" w:lineRule="auto"/>
        <w:rPr>
          <w:b/>
          <w:bCs/>
        </w:rPr>
      </w:pPr>
      <w:r>
        <w:rPr>
          <w:b/>
          <w:bCs/>
          <w:noProof/>
        </w:rPr>
        <w:lastRenderedPageBreak/>
        <w:drawing>
          <wp:inline distT="0" distB="0" distL="0" distR="0" wp14:anchorId="546ABC26" wp14:editId="099208DE">
            <wp:extent cx="5274310" cy="2837180"/>
            <wp:effectExtent l="0" t="0" r="254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7"/>
                    <a:stretch>
                      <a:fillRect/>
                    </a:stretch>
                  </pic:blipFill>
                  <pic:spPr>
                    <a:xfrm>
                      <a:off x="0" y="0"/>
                      <a:ext cx="5274310" cy="2837180"/>
                    </a:xfrm>
                    <a:prstGeom prst="rect">
                      <a:avLst/>
                    </a:prstGeom>
                  </pic:spPr>
                </pic:pic>
              </a:graphicData>
            </a:graphic>
          </wp:inline>
        </w:drawing>
      </w:r>
    </w:p>
    <w:p w14:paraId="52B2829F" w14:textId="14C0EBC9" w:rsidR="00815E8F" w:rsidRDefault="00815E8F" w:rsidP="00084CB6">
      <w:pPr>
        <w:spacing w:line="480" w:lineRule="auto"/>
      </w:pPr>
      <w:bookmarkStart w:id="15" w:name="OLE_LINK66"/>
      <w:r w:rsidRPr="00815E8F">
        <w:rPr>
          <w:b/>
          <w:bCs/>
        </w:rPr>
        <w:t>Figure S</w:t>
      </w:r>
      <w:r w:rsidR="00912E8C">
        <w:rPr>
          <w:b/>
          <w:bCs/>
        </w:rPr>
        <w:t>2</w:t>
      </w:r>
      <w:r w:rsidRPr="00815E8F">
        <w:rPr>
          <w:b/>
          <w:bCs/>
        </w:rPr>
        <w:t>. SEM morphology of the Rh/</w:t>
      </w:r>
      <w:proofErr w:type="spellStart"/>
      <w:r w:rsidRPr="00815E8F">
        <w:rPr>
          <w:b/>
          <w:bCs/>
        </w:rPr>
        <w:t>GelMA</w:t>
      </w:r>
      <w:proofErr w:type="spellEnd"/>
      <w:r w:rsidRPr="00815E8F">
        <w:rPr>
          <w:b/>
          <w:bCs/>
        </w:rPr>
        <w:t xml:space="preserve"> mixture before UV-induced </w:t>
      </w:r>
      <w:proofErr w:type="spellStart"/>
      <w:r w:rsidRPr="00815E8F">
        <w:rPr>
          <w:b/>
          <w:bCs/>
        </w:rPr>
        <w:t>photocrosslinking</w:t>
      </w:r>
      <w:proofErr w:type="spellEnd"/>
      <w:r w:rsidRPr="00815E8F">
        <w:rPr>
          <w:b/>
          <w:bCs/>
        </w:rPr>
        <w:t>.</w:t>
      </w:r>
      <w:r w:rsidRPr="00815E8F">
        <w:t xml:space="preserve"> (a) SEM image of the Rh/</w:t>
      </w:r>
      <w:proofErr w:type="spellStart"/>
      <w:r w:rsidRPr="00815E8F">
        <w:t>GelMA</w:t>
      </w:r>
      <w:proofErr w:type="spellEnd"/>
      <w:r w:rsidRPr="00815E8F">
        <w:t xml:space="preserve"> mixture prior to UV treatment and the corresponding magnified view. Scale bar: 10 </w:t>
      </w:r>
      <w:proofErr w:type="spellStart"/>
      <w:r w:rsidRPr="00815E8F">
        <w:t>μm</w:t>
      </w:r>
      <w:proofErr w:type="spellEnd"/>
      <w:r w:rsidRPr="00815E8F">
        <w:t xml:space="preserve"> (low-magnification image); 2 </w:t>
      </w:r>
      <w:proofErr w:type="spellStart"/>
      <w:r w:rsidRPr="00815E8F">
        <w:t>μm</w:t>
      </w:r>
      <w:proofErr w:type="spellEnd"/>
      <w:r w:rsidRPr="00815E8F">
        <w:t xml:space="preserve"> (magnified image).</w:t>
      </w:r>
    </w:p>
    <w:bookmarkEnd w:id="15"/>
    <w:p w14:paraId="54B8A3EB" w14:textId="25052D95" w:rsidR="00D53131" w:rsidRPr="00084CB6" w:rsidRDefault="009D27DB" w:rsidP="00084CB6">
      <w:pPr>
        <w:spacing w:line="480" w:lineRule="auto"/>
      </w:pPr>
      <w:r w:rsidRPr="00084CB6">
        <w:br w:type="page"/>
      </w:r>
      <w:bookmarkStart w:id="16" w:name="OLE_LINK64"/>
      <w:r w:rsidR="00D53131" w:rsidRPr="00084CB6">
        <w:rPr>
          <w:noProof/>
        </w:rPr>
        <w:lastRenderedPageBreak/>
        <w:drawing>
          <wp:inline distT="0" distB="0" distL="0" distR="0" wp14:anchorId="6C4A89DA" wp14:editId="4B545A6C">
            <wp:extent cx="5274310" cy="20193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stretch>
                      <a:fillRect/>
                    </a:stretch>
                  </pic:blipFill>
                  <pic:spPr>
                    <a:xfrm>
                      <a:off x="0" y="0"/>
                      <a:ext cx="5274310" cy="2019300"/>
                    </a:xfrm>
                    <a:prstGeom prst="rect">
                      <a:avLst/>
                    </a:prstGeom>
                  </pic:spPr>
                </pic:pic>
              </a:graphicData>
            </a:graphic>
          </wp:inline>
        </w:drawing>
      </w:r>
    </w:p>
    <w:p w14:paraId="34C478DC" w14:textId="3AE6D00C" w:rsidR="00D53131" w:rsidRPr="00D53131" w:rsidRDefault="00D53131" w:rsidP="00084CB6">
      <w:pPr>
        <w:spacing w:line="480" w:lineRule="auto"/>
      </w:pPr>
      <w:r w:rsidRPr="00D53131">
        <w:rPr>
          <w:b/>
          <w:bCs/>
        </w:rPr>
        <w:t>Figure S</w:t>
      </w:r>
      <w:r w:rsidR="00F165C7">
        <w:rPr>
          <w:b/>
          <w:bCs/>
        </w:rPr>
        <w:t>3</w:t>
      </w:r>
      <w:r w:rsidR="00EF3CD7" w:rsidRPr="00084CB6">
        <w:rPr>
          <w:b/>
          <w:bCs/>
        </w:rPr>
        <w:t xml:space="preserve">. In vitro degradation and drug release behaviors of the </w:t>
      </w:r>
      <w:proofErr w:type="spellStart"/>
      <w:r w:rsidR="00EF3CD7" w:rsidRPr="00084CB6">
        <w:rPr>
          <w:b/>
          <w:bCs/>
        </w:rPr>
        <w:t>CGRP@Rh-GelMA</w:t>
      </w:r>
      <w:proofErr w:type="spellEnd"/>
      <w:r w:rsidR="00EF3CD7" w:rsidRPr="00084CB6">
        <w:rPr>
          <w:b/>
          <w:bCs/>
        </w:rPr>
        <w:t xml:space="preserve"> hydrogel.</w:t>
      </w:r>
      <w:r w:rsidR="00EF3CD7" w:rsidRPr="00084CB6">
        <w:t xml:space="preserve"> (a) In vitro degradation profiles of </w:t>
      </w:r>
      <w:proofErr w:type="spellStart"/>
      <w:r w:rsidR="00EF3CD7" w:rsidRPr="00084CB6">
        <w:t>GelMA</w:t>
      </w:r>
      <w:proofErr w:type="spellEnd"/>
      <w:r w:rsidR="00EF3CD7" w:rsidRPr="00084CB6">
        <w:t xml:space="preserve"> and </w:t>
      </w:r>
      <w:proofErr w:type="spellStart"/>
      <w:r w:rsidR="00EF3CD7" w:rsidRPr="00084CB6">
        <w:t>CGRP@Rh-GelMA</w:t>
      </w:r>
      <w:proofErr w:type="spellEnd"/>
      <w:r w:rsidR="00EF3CD7" w:rsidRPr="00084CB6">
        <w:t xml:space="preserve"> hydrogels over 10 days, expressed as the percentage of mass remaining relative to the initial weight. (b) In vitro cumulative release profiles of CGRP and </w:t>
      </w:r>
      <w:proofErr w:type="spellStart"/>
      <w:r w:rsidR="00EF3CD7" w:rsidRPr="00084CB6">
        <w:t>rhein</w:t>
      </w:r>
      <w:proofErr w:type="spellEnd"/>
      <w:r w:rsidR="00EF3CD7" w:rsidRPr="00084CB6">
        <w:t xml:space="preserve"> from the </w:t>
      </w:r>
      <w:proofErr w:type="spellStart"/>
      <w:r w:rsidR="00EF3CD7" w:rsidRPr="00084CB6">
        <w:t>CGRP@Rh-GelMA</w:t>
      </w:r>
      <w:proofErr w:type="spellEnd"/>
      <w:r w:rsidR="00EF3CD7" w:rsidRPr="00084CB6">
        <w:t xml:space="preserve"> hydrogel over 10 days.</w:t>
      </w:r>
      <w:r w:rsidR="00EF3CD7" w:rsidRPr="00084CB6">
        <w:rPr>
          <w:rFonts w:hint="eastAsia"/>
        </w:rPr>
        <w:t xml:space="preserve"> </w:t>
      </w:r>
      <w:r w:rsidR="00EF3CD7" w:rsidRPr="00084CB6">
        <w:t>Data are presented as mean ± SD (n = 3). *P &lt; 0.05.</w:t>
      </w:r>
    </w:p>
    <w:bookmarkEnd w:id="16"/>
    <w:p w14:paraId="084BC0DC" w14:textId="4A755EB0" w:rsidR="009D27DB" w:rsidRPr="00084CB6" w:rsidRDefault="00D53131" w:rsidP="00084CB6">
      <w:pPr>
        <w:spacing w:line="480" w:lineRule="auto"/>
      </w:pPr>
      <w:r w:rsidRPr="00084CB6">
        <w:br w:type="page"/>
      </w:r>
    </w:p>
    <w:p w14:paraId="7ECDF4C7" w14:textId="3E070133" w:rsidR="000B4E4D" w:rsidRPr="00084CB6" w:rsidRDefault="00733E50" w:rsidP="00084CB6">
      <w:pPr>
        <w:spacing w:line="480" w:lineRule="auto"/>
        <w:jc w:val="center"/>
        <w:rPr>
          <w:b/>
          <w:bCs/>
        </w:rPr>
      </w:pPr>
      <w:r w:rsidRPr="00084CB6">
        <w:rPr>
          <w:b/>
          <w:bCs/>
          <w:noProof/>
        </w:rPr>
        <w:lastRenderedPageBreak/>
        <w:drawing>
          <wp:inline distT="0" distB="0" distL="0" distR="0" wp14:anchorId="2DC5C650" wp14:editId="3E52D1C1">
            <wp:extent cx="5274310" cy="138049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a:stretch>
                      <a:fillRect/>
                    </a:stretch>
                  </pic:blipFill>
                  <pic:spPr>
                    <a:xfrm>
                      <a:off x="0" y="0"/>
                      <a:ext cx="5274310" cy="1380490"/>
                    </a:xfrm>
                    <a:prstGeom prst="rect">
                      <a:avLst/>
                    </a:prstGeom>
                  </pic:spPr>
                </pic:pic>
              </a:graphicData>
            </a:graphic>
          </wp:inline>
        </w:drawing>
      </w:r>
    </w:p>
    <w:p w14:paraId="485F0FCB" w14:textId="27AA093E" w:rsidR="000B4E4D" w:rsidRPr="00084CB6" w:rsidRDefault="00317E70" w:rsidP="00084CB6">
      <w:pPr>
        <w:spacing w:line="480" w:lineRule="auto"/>
        <w:rPr>
          <w:b/>
          <w:bCs/>
        </w:rPr>
      </w:pPr>
      <w:bookmarkStart w:id="17" w:name="OLE_LINK140"/>
      <w:r w:rsidRPr="00084CB6">
        <w:rPr>
          <w:b/>
          <w:bCs/>
        </w:rPr>
        <w:t>Figure S</w:t>
      </w:r>
      <w:r w:rsidR="00F165C7">
        <w:rPr>
          <w:b/>
          <w:bCs/>
        </w:rPr>
        <w:t>4</w:t>
      </w:r>
      <w:r w:rsidRPr="00084CB6">
        <w:rPr>
          <w:b/>
          <w:bCs/>
        </w:rPr>
        <w:t>. Quantitative analysis of cell viability based on live/dead staining.</w:t>
      </w:r>
      <w:r w:rsidRPr="00084CB6">
        <w:rPr>
          <w:rFonts w:hint="eastAsia"/>
          <w:b/>
          <w:bCs/>
        </w:rPr>
        <w:t xml:space="preserve"> </w:t>
      </w:r>
      <w:r w:rsidRPr="00084CB6">
        <w:t>(a-c)</w:t>
      </w:r>
      <w:bookmarkEnd w:id="17"/>
      <w:r w:rsidRPr="00084CB6">
        <w:t xml:space="preserve"> Quantitative analysis of survival rates of RAW264.7 cells, HL-60 cells, and HUVECs after treatment with different hydrogels, corresponding to the live/dead staining results shown in Figure 2j. Data are presented as mean ± SD (n = 3); ns, p &gt; 0.05.</w:t>
      </w:r>
    </w:p>
    <w:p w14:paraId="3DCBAD25" w14:textId="49BE330A" w:rsidR="000B4E4D" w:rsidRPr="00084CB6" w:rsidRDefault="00725980" w:rsidP="00084CB6">
      <w:pPr>
        <w:spacing w:line="480" w:lineRule="auto"/>
        <w:rPr>
          <w:b/>
          <w:bCs/>
        </w:rPr>
      </w:pPr>
      <w:r w:rsidRPr="00084CB6">
        <w:rPr>
          <w:b/>
          <w:bCs/>
        </w:rPr>
        <w:br w:type="page"/>
      </w:r>
    </w:p>
    <w:p w14:paraId="630A3682" w14:textId="70C25FE1" w:rsidR="002D260B" w:rsidRPr="00084CB6" w:rsidRDefault="00914316" w:rsidP="00084CB6">
      <w:pPr>
        <w:spacing w:line="480" w:lineRule="auto"/>
        <w:jc w:val="center"/>
        <w:rPr>
          <w:rFonts w:hint="eastAsia"/>
          <w:b/>
          <w:bCs/>
        </w:rPr>
      </w:pPr>
      <w:r>
        <w:rPr>
          <w:rFonts w:hint="eastAsia"/>
          <w:b/>
          <w:bCs/>
          <w:noProof/>
        </w:rPr>
        <w:lastRenderedPageBreak/>
        <w:drawing>
          <wp:inline distT="0" distB="0" distL="0" distR="0" wp14:anchorId="6BE53A6A" wp14:editId="1FB0EAE9">
            <wp:extent cx="5274310" cy="195008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a:stretch>
                      <a:fillRect/>
                    </a:stretch>
                  </pic:blipFill>
                  <pic:spPr>
                    <a:xfrm>
                      <a:off x="0" y="0"/>
                      <a:ext cx="5274310" cy="1950085"/>
                    </a:xfrm>
                    <a:prstGeom prst="rect">
                      <a:avLst/>
                    </a:prstGeom>
                  </pic:spPr>
                </pic:pic>
              </a:graphicData>
            </a:graphic>
          </wp:inline>
        </w:drawing>
      </w:r>
    </w:p>
    <w:p w14:paraId="3D5DBC0A" w14:textId="2253EC0F" w:rsidR="001344AA" w:rsidRPr="00084CB6" w:rsidRDefault="00DB30BA" w:rsidP="00084CB6">
      <w:pPr>
        <w:spacing w:line="480" w:lineRule="auto"/>
      </w:pPr>
      <w:bookmarkStart w:id="18" w:name="OLE_LINK81"/>
      <w:bookmarkStart w:id="19" w:name="OLE_LINK84"/>
      <w:r w:rsidRPr="00084CB6">
        <w:rPr>
          <w:b/>
          <w:bCs/>
        </w:rPr>
        <w:t>Figure S</w:t>
      </w:r>
      <w:r w:rsidR="00F165C7">
        <w:rPr>
          <w:b/>
          <w:bCs/>
        </w:rPr>
        <w:t>5</w:t>
      </w:r>
      <w:r w:rsidRPr="00084CB6">
        <w:rPr>
          <w:b/>
          <w:bCs/>
        </w:rPr>
        <w:t xml:space="preserve">. </w:t>
      </w:r>
      <w:bookmarkEnd w:id="18"/>
      <w:r w:rsidRPr="00084CB6">
        <w:t xml:space="preserve">(a) Intracellular ROS scavenging assay and quantitative analysis in RAW264.7 cells under LPS stimulation; scale bar: 100 </w:t>
      </w:r>
      <w:proofErr w:type="spellStart"/>
      <w:r w:rsidRPr="00084CB6">
        <w:t>μm</w:t>
      </w:r>
      <w:proofErr w:type="spellEnd"/>
      <w:r w:rsidRPr="00084CB6">
        <w:t>. (b) Quantitative analysis corresponding to (a). Data are reported as mean ± SD (n = 3); ***p &lt; 0.001.</w:t>
      </w:r>
    </w:p>
    <w:bookmarkEnd w:id="19"/>
    <w:p w14:paraId="15F649EA" w14:textId="77777777" w:rsidR="001344AA" w:rsidRPr="00084CB6" w:rsidRDefault="001344AA" w:rsidP="00084CB6">
      <w:pPr>
        <w:spacing w:line="480" w:lineRule="auto"/>
      </w:pPr>
      <w:r w:rsidRPr="00084CB6">
        <w:br w:type="page"/>
      </w:r>
    </w:p>
    <w:p w14:paraId="22D94CBE" w14:textId="3B884A51" w:rsidR="0002398E" w:rsidRPr="00084CB6" w:rsidRDefault="00C96A04" w:rsidP="00084CB6">
      <w:pPr>
        <w:spacing w:line="480" w:lineRule="auto"/>
        <w:jc w:val="center"/>
      </w:pPr>
      <w:r>
        <w:rPr>
          <w:rFonts w:hint="eastAsia"/>
          <w:noProof/>
        </w:rPr>
        <w:lastRenderedPageBreak/>
        <w:drawing>
          <wp:inline distT="0" distB="0" distL="0" distR="0" wp14:anchorId="7697E854" wp14:editId="07F226C2">
            <wp:extent cx="5274310" cy="29159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a:stretch>
                      <a:fillRect/>
                    </a:stretch>
                  </pic:blipFill>
                  <pic:spPr>
                    <a:xfrm>
                      <a:off x="0" y="0"/>
                      <a:ext cx="5274310" cy="2915920"/>
                    </a:xfrm>
                    <a:prstGeom prst="rect">
                      <a:avLst/>
                    </a:prstGeom>
                  </pic:spPr>
                </pic:pic>
              </a:graphicData>
            </a:graphic>
          </wp:inline>
        </w:drawing>
      </w:r>
    </w:p>
    <w:p w14:paraId="21CC900A" w14:textId="36EC3F52" w:rsidR="00B709CC" w:rsidRPr="00084CB6" w:rsidRDefault="004D61D3" w:rsidP="00084CB6">
      <w:pPr>
        <w:spacing w:line="480" w:lineRule="auto"/>
      </w:pPr>
      <w:bookmarkStart w:id="20" w:name="OLE_LINK83"/>
      <w:r w:rsidRPr="00C96A04">
        <w:rPr>
          <w:b/>
          <w:bCs/>
        </w:rPr>
        <w:t>Figure S</w:t>
      </w:r>
      <w:r w:rsidR="00F165C7" w:rsidRPr="00C96A04">
        <w:rPr>
          <w:b/>
          <w:bCs/>
        </w:rPr>
        <w:t>6</w:t>
      </w:r>
      <w:r w:rsidRPr="00C96A04">
        <w:rPr>
          <w:b/>
          <w:bCs/>
        </w:rPr>
        <w:t>. Concentration-dependent ROS scavenging effect of Rh-containing hydrogels in LPS-stimulated RAW264.7 macrophages.</w:t>
      </w:r>
      <w:r w:rsidRPr="00084CB6">
        <w:t xml:space="preserve"> (a) Representative flow cytometry dot plots showing intracellular ROS levels in RAW264.7 cells stained with DCFH-DA after LPS stimulation. Cells were treated with containing increasing Rh concentrations (0, 2, 4, and 6 mg mL⁻¹). Data are reported as mean ± SD (n = 3)</w:t>
      </w:r>
      <w:bookmarkStart w:id="21" w:name="OLE_LINK65"/>
      <w:r w:rsidRPr="00084CB6">
        <w:t>;</w:t>
      </w:r>
      <w:bookmarkEnd w:id="21"/>
      <w:r w:rsidRPr="00084CB6">
        <w:t xml:space="preserve"> *p &lt; 0.05</w:t>
      </w:r>
      <w:r w:rsidR="00870A79">
        <w:rPr>
          <w:rFonts w:hint="eastAsia"/>
        </w:rPr>
        <w:t>;</w:t>
      </w:r>
      <w:r w:rsidR="00870A79">
        <w:t xml:space="preserve"> </w:t>
      </w:r>
      <w:r w:rsidR="00870A79" w:rsidRPr="00084CB6">
        <w:t>***p &lt; 0.001</w:t>
      </w:r>
      <w:r w:rsidR="00870A79">
        <w:rPr>
          <w:color w:val="auto"/>
          <w:kern w:val="0"/>
        </w:rPr>
        <w:t xml:space="preserve">; </w:t>
      </w:r>
      <w:r w:rsidR="00870A79" w:rsidRPr="00084CB6">
        <w:t>****p &lt; 0.0001</w:t>
      </w:r>
      <w:r w:rsidRPr="00084CB6">
        <w:t>.</w:t>
      </w:r>
    </w:p>
    <w:bookmarkEnd w:id="20"/>
    <w:p w14:paraId="3BCEE040" w14:textId="77777777" w:rsidR="00B709CC" w:rsidRPr="00084CB6" w:rsidRDefault="00B709CC" w:rsidP="00084CB6">
      <w:pPr>
        <w:spacing w:line="480" w:lineRule="auto"/>
      </w:pPr>
      <w:r w:rsidRPr="00084CB6">
        <w:br w:type="page"/>
      </w:r>
    </w:p>
    <w:p w14:paraId="1DDF0773" w14:textId="30C49FD4" w:rsidR="00B709CC" w:rsidRPr="00084CB6" w:rsidRDefault="00B709CC" w:rsidP="00084CB6">
      <w:pPr>
        <w:spacing w:line="480" w:lineRule="auto"/>
        <w:jc w:val="center"/>
      </w:pPr>
      <w:bookmarkStart w:id="22" w:name="_Hlk224740175"/>
      <w:r w:rsidRPr="00084CB6">
        <w:rPr>
          <w:rFonts w:hint="eastAsia"/>
          <w:noProof/>
        </w:rPr>
        <w:lastRenderedPageBreak/>
        <w:drawing>
          <wp:inline distT="0" distB="0" distL="0" distR="0" wp14:anchorId="376EB51B" wp14:editId="45001F7C">
            <wp:extent cx="4222865" cy="3122815"/>
            <wp:effectExtent l="0" t="0" r="635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2"/>
                    <a:stretch>
                      <a:fillRect/>
                    </a:stretch>
                  </pic:blipFill>
                  <pic:spPr>
                    <a:xfrm>
                      <a:off x="0" y="0"/>
                      <a:ext cx="4222865" cy="3122815"/>
                    </a:xfrm>
                    <a:prstGeom prst="rect">
                      <a:avLst/>
                    </a:prstGeom>
                  </pic:spPr>
                </pic:pic>
              </a:graphicData>
            </a:graphic>
          </wp:inline>
        </w:drawing>
      </w:r>
    </w:p>
    <w:p w14:paraId="45447075" w14:textId="08ACD719" w:rsidR="00662FDD" w:rsidRPr="00084CB6" w:rsidRDefault="000B1811" w:rsidP="00084CB6">
      <w:pPr>
        <w:spacing w:line="480" w:lineRule="auto"/>
      </w:pPr>
      <w:bookmarkStart w:id="23" w:name="OLE_LINK85"/>
      <w:r w:rsidRPr="00084CB6">
        <w:rPr>
          <w:b/>
          <w:bCs/>
        </w:rPr>
        <w:t xml:space="preserve">Figure </w:t>
      </w:r>
      <w:r w:rsidRPr="00912E8C">
        <w:rPr>
          <w:b/>
          <w:bCs/>
        </w:rPr>
        <w:t>S</w:t>
      </w:r>
      <w:r w:rsidR="00F165C7" w:rsidRPr="00912E8C">
        <w:rPr>
          <w:b/>
          <w:bCs/>
        </w:rPr>
        <w:t>7</w:t>
      </w:r>
      <w:r w:rsidRPr="00084CB6">
        <w:rPr>
          <w:b/>
          <w:bCs/>
        </w:rPr>
        <w:t>.</w:t>
      </w:r>
      <w:bookmarkEnd w:id="23"/>
      <w:r w:rsidRPr="00084CB6">
        <w:rPr>
          <w:b/>
          <w:bCs/>
        </w:rPr>
        <w:t xml:space="preserve"> Verification of type 2 diabetic rat model establishment by pancreatic histology and fasting blood glucose monitoring. </w:t>
      </w:r>
      <w:r w:rsidRPr="00084CB6">
        <w:t xml:space="preserve">(a) Representative H&amp;E staining images of pancreatic tissues from the Con, </w:t>
      </w:r>
      <w:proofErr w:type="spellStart"/>
      <w:r w:rsidRPr="00084CB6">
        <w:t>GelMA</w:t>
      </w:r>
      <w:proofErr w:type="spellEnd"/>
      <w:r w:rsidRPr="00084CB6">
        <w:t>, Rh-</w:t>
      </w:r>
      <w:proofErr w:type="spellStart"/>
      <w:r w:rsidRPr="00084CB6">
        <w:t>GelMA</w:t>
      </w:r>
      <w:proofErr w:type="spellEnd"/>
      <w:r w:rsidRPr="00084CB6">
        <w:t xml:space="preserve">, and </w:t>
      </w:r>
      <w:proofErr w:type="spellStart"/>
      <w:r w:rsidRPr="00084CB6">
        <w:t>CGRP@Rh-GelMA</w:t>
      </w:r>
      <w:proofErr w:type="spellEnd"/>
      <w:r w:rsidRPr="00084CB6">
        <w:t xml:space="preserve"> groups at the experimental endpoint. Red arrowheads indicate pancreatic islets. Scale bar = 200 </w:t>
      </w:r>
      <w:proofErr w:type="spellStart"/>
      <w:r w:rsidRPr="00084CB6">
        <w:t>μm</w:t>
      </w:r>
      <w:proofErr w:type="spellEnd"/>
      <w:r w:rsidRPr="00084CB6">
        <w:t>. (b) Dynamic monitoring of fasting blood glucose (FBG) levels during diabetic model establishment. FBG was measured before high-fat diet feeding (day -42), after 5 weeks of high-fat diet feeding (day -7), and on 3 consecutive days starting at 72 h after STZ</w:t>
      </w:r>
      <w:r w:rsidRPr="00084CB6">
        <w:rPr>
          <w:rFonts w:hint="eastAsia"/>
        </w:rPr>
        <w:t xml:space="preserve"> injection (days -4, -3, and -2). Rats with FBG </w:t>
      </w:r>
      <w:r w:rsidRPr="00084CB6">
        <w:rPr>
          <w:rFonts w:hint="eastAsia"/>
        </w:rPr>
        <w:t>≥</w:t>
      </w:r>
      <w:r w:rsidRPr="00084CB6">
        <w:rPr>
          <w:rFonts w:hint="eastAsia"/>
        </w:rPr>
        <w:t xml:space="preserve"> 11.1 mmol/L for 3 consecutive days were considered successfully established as insulin-resistant type 2 diabetic models. Data are presented as mean </w:t>
      </w:r>
      <w:r w:rsidRPr="00084CB6">
        <w:rPr>
          <w:rFonts w:hint="eastAsia"/>
        </w:rPr>
        <w:t>±</w:t>
      </w:r>
      <w:r w:rsidRPr="00084CB6">
        <w:rPr>
          <w:rFonts w:hint="eastAsia"/>
        </w:rPr>
        <w:t xml:space="preserve"> SD (n = 3); ns,</w:t>
      </w:r>
      <w:r w:rsidRPr="00084CB6">
        <w:t xml:space="preserve"> </w:t>
      </w:r>
      <w:r w:rsidRPr="00084CB6">
        <w:rPr>
          <w:rFonts w:hint="eastAsia"/>
        </w:rPr>
        <w:t xml:space="preserve">p </w:t>
      </w:r>
      <w:r w:rsidRPr="00084CB6">
        <w:rPr>
          <w:rFonts w:hint="eastAsia"/>
        </w:rPr>
        <w:t>＞</w:t>
      </w:r>
      <w:r w:rsidRPr="00084CB6">
        <w:rPr>
          <w:rFonts w:hint="eastAsia"/>
        </w:rPr>
        <w:t xml:space="preserve"> 0.0</w:t>
      </w:r>
      <w:r w:rsidR="000B4E4D" w:rsidRPr="00084CB6">
        <w:t>5</w:t>
      </w:r>
      <w:r w:rsidRPr="00084CB6">
        <w:rPr>
          <w:rFonts w:hint="eastAsia"/>
        </w:rPr>
        <w:t>.</w:t>
      </w:r>
      <w:bookmarkEnd w:id="22"/>
    </w:p>
    <w:p w14:paraId="43B2A859" w14:textId="77777777" w:rsidR="00662FDD" w:rsidRPr="00084CB6" w:rsidRDefault="00662FDD" w:rsidP="00084CB6">
      <w:pPr>
        <w:spacing w:line="480" w:lineRule="auto"/>
      </w:pPr>
      <w:r w:rsidRPr="00084CB6">
        <w:br w:type="page"/>
      </w:r>
    </w:p>
    <w:p w14:paraId="773EBB48" w14:textId="77777777" w:rsidR="00BE5CE7" w:rsidRPr="00084CB6" w:rsidRDefault="00BE5CE7" w:rsidP="00084CB6">
      <w:pPr>
        <w:spacing w:line="480" w:lineRule="auto"/>
      </w:pPr>
      <w:r w:rsidRPr="00084CB6">
        <w:rPr>
          <w:rFonts w:hint="eastAsia"/>
          <w:noProof/>
        </w:rPr>
        <w:lastRenderedPageBreak/>
        <w:drawing>
          <wp:inline distT="0" distB="0" distL="0" distR="0" wp14:anchorId="6BE8FFC2" wp14:editId="64A8AA37">
            <wp:extent cx="5274310" cy="1504315"/>
            <wp:effectExtent l="0" t="0" r="25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3"/>
                    <a:stretch>
                      <a:fillRect/>
                    </a:stretch>
                  </pic:blipFill>
                  <pic:spPr>
                    <a:xfrm>
                      <a:off x="0" y="0"/>
                      <a:ext cx="5274310" cy="1504315"/>
                    </a:xfrm>
                    <a:prstGeom prst="rect">
                      <a:avLst/>
                    </a:prstGeom>
                  </pic:spPr>
                </pic:pic>
              </a:graphicData>
            </a:graphic>
          </wp:inline>
        </w:drawing>
      </w:r>
    </w:p>
    <w:p w14:paraId="49FDDF99" w14:textId="2067E1CE" w:rsidR="006C583A" w:rsidRPr="00084CB6" w:rsidRDefault="00BE5CE7" w:rsidP="00084CB6">
      <w:pPr>
        <w:spacing w:line="480" w:lineRule="auto"/>
        <w:rPr>
          <w:b/>
          <w:bCs/>
        </w:rPr>
      </w:pPr>
      <w:r w:rsidRPr="00084CB6">
        <w:rPr>
          <w:b/>
          <w:bCs/>
        </w:rPr>
        <w:t>Figure S</w:t>
      </w:r>
      <w:r w:rsidR="00F165C7">
        <w:rPr>
          <w:b/>
          <w:bCs/>
        </w:rPr>
        <w:t>8</w:t>
      </w:r>
      <w:r w:rsidRPr="00084CB6">
        <w:rPr>
          <w:b/>
          <w:bCs/>
        </w:rPr>
        <w:t>. Histological comparison of normal skin tissue and healed wound tissue</w:t>
      </w:r>
      <w:r w:rsidR="006C583A" w:rsidRPr="00084CB6">
        <w:rPr>
          <w:b/>
          <w:bCs/>
        </w:rPr>
        <w:t>.</w:t>
      </w:r>
      <w:r w:rsidRPr="00084CB6">
        <w:t xml:space="preserve"> (a) H&amp;E staining of normal skin tissue. (b) Masson’s trichrome staining of normal skin tissue. (c) Quantitative analysis of collagen deposition in normal skin and different treatment groups. Scale bar: </w:t>
      </w:r>
      <w:bookmarkStart w:id="24" w:name="_Hlk224757838"/>
      <w:r w:rsidR="00A07D8B" w:rsidRPr="00084CB6">
        <w:t>1</w:t>
      </w:r>
      <w:r w:rsidRPr="00084CB6">
        <w:t xml:space="preserve"> </w:t>
      </w:r>
      <w:r w:rsidR="00A07D8B" w:rsidRPr="00084CB6">
        <w:rPr>
          <w:rFonts w:hint="eastAsia"/>
        </w:rPr>
        <w:t>m</w:t>
      </w:r>
      <w:r w:rsidRPr="00084CB6">
        <w:t>m (low-magnification images); 5</w:t>
      </w:r>
      <w:r w:rsidR="00A07D8B" w:rsidRPr="00084CB6">
        <w:t>0</w:t>
      </w:r>
      <w:r w:rsidRPr="00084CB6">
        <w:t xml:space="preserve"> </w:t>
      </w:r>
      <w:proofErr w:type="spellStart"/>
      <w:r w:rsidRPr="00084CB6">
        <w:t>μm</w:t>
      </w:r>
      <w:bookmarkEnd w:id="24"/>
      <w:proofErr w:type="spellEnd"/>
      <w:r w:rsidRPr="00084CB6">
        <w:t xml:space="preserve"> (magnified images). Data are presented as mean ± SD (n = 3); ns, p &gt; 0.05; *p &lt; 0.05</w:t>
      </w:r>
      <w:r w:rsidR="000047FA">
        <w:t>;</w:t>
      </w:r>
      <w:r w:rsidRPr="00084CB6">
        <w:t xml:space="preserve"> **p &lt; 0.01.</w:t>
      </w:r>
    </w:p>
    <w:p w14:paraId="5F92A4A9" w14:textId="77777777" w:rsidR="006C583A" w:rsidRPr="00084CB6" w:rsidRDefault="006C583A" w:rsidP="00084CB6">
      <w:pPr>
        <w:spacing w:line="480" w:lineRule="auto"/>
        <w:rPr>
          <w:b/>
          <w:bCs/>
        </w:rPr>
      </w:pPr>
      <w:r w:rsidRPr="00084CB6">
        <w:rPr>
          <w:b/>
          <w:bCs/>
        </w:rPr>
        <w:br w:type="page"/>
      </w:r>
    </w:p>
    <w:p w14:paraId="28DA6BF0" w14:textId="7135F883" w:rsidR="00662FDD" w:rsidRPr="00084CB6" w:rsidRDefault="006C583A" w:rsidP="00084CB6">
      <w:pPr>
        <w:spacing w:line="480" w:lineRule="auto"/>
        <w:jc w:val="center"/>
        <w:rPr>
          <w:b/>
          <w:bCs/>
        </w:rPr>
      </w:pPr>
      <w:r w:rsidRPr="00084CB6">
        <w:rPr>
          <w:rFonts w:hint="eastAsia"/>
          <w:b/>
          <w:bCs/>
          <w:noProof/>
        </w:rPr>
        <w:lastRenderedPageBreak/>
        <w:drawing>
          <wp:inline distT="0" distB="0" distL="0" distR="0" wp14:anchorId="26F377F2" wp14:editId="6EB867A3">
            <wp:extent cx="5274310" cy="1764030"/>
            <wp:effectExtent l="0" t="0" r="254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4"/>
                    <a:stretch>
                      <a:fillRect/>
                    </a:stretch>
                  </pic:blipFill>
                  <pic:spPr>
                    <a:xfrm>
                      <a:off x="0" y="0"/>
                      <a:ext cx="5274310" cy="1764030"/>
                    </a:xfrm>
                    <a:prstGeom prst="rect">
                      <a:avLst/>
                    </a:prstGeom>
                  </pic:spPr>
                </pic:pic>
              </a:graphicData>
            </a:graphic>
          </wp:inline>
        </w:drawing>
      </w:r>
    </w:p>
    <w:p w14:paraId="0CB4C880" w14:textId="6ECC23F1" w:rsidR="006C583A" w:rsidRPr="00084CB6" w:rsidRDefault="0027695D" w:rsidP="00084CB6">
      <w:pPr>
        <w:spacing w:line="480" w:lineRule="auto"/>
        <w:rPr>
          <w:b/>
          <w:bCs/>
        </w:rPr>
      </w:pPr>
      <w:r w:rsidRPr="00084CB6">
        <w:rPr>
          <w:b/>
          <w:bCs/>
        </w:rPr>
        <w:t>Figure S</w:t>
      </w:r>
      <w:r w:rsidR="00F165C7">
        <w:rPr>
          <w:b/>
          <w:bCs/>
        </w:rPr>
        <w:t>9</w:t>
      </w:r>
      <w:r w:rsidRPr="00084CB6">
        <w:rPr>
          <w:b/>
          <w:bCs/>
        </w:rPr>
        <w:t xml:space="preserve">. Quantitative analysis of re-epithelialization and granulation tissue thickness in healed wound tissues. </w:t>
      </w:r>
      <w:r w:rsidRPr="00084CB6">
        <w:t>(a) Quantitative analysis of re-epithelialization in wound tissues at day 10 after different treatments. (b) Quantitative analysis of granulation tissue thickness in wound tissues at day 10 after different treatments. Data are presented as mean ± SD (n = 3); *p &lt; 0.05</w:t>
      </w:r>
      <w:r w:rsidR="000047FA">
        <w:t>;</w:t>
      </w:r>
      <w:r w:rsidRPr="00084CB6">
        <w:t xml:space="preserve"> **p &lt; 0.01</w:t>
      </w:r>
      <w:r w:rsidR="000047FA">
        <w:t>;</w:t>
      </w:r>
      <w:r w:rsidRPr="00084CB6">
        <w:t xml:space="preserve"> ***p &lt; 0.001.</w:t>
      </w:r>
    </w:p>
    <w:p w14:paraId="3E8B9A8C" w14:textId="77777777" w:rsidR="006C583A" w:rsidRPr="00084CB6" w:rsidRDefault="006C583A" w:rsidP="00084CB6">
      <w:pPr>
        <w:spacing w:line="480" w:lineRule="auto"/>
        <w:jc w:val="left"/>
        <w:rPr>
          <w:b/>
          <w:bCs/>
        </w:rPr>
      </w:pPr>
    </w:p>
    <w:sectPr w:rsidR="006C583A" w:rsidRPr="00084C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B23DF" w14:textId="77777777" w:rsidR="00FF76D1" w:rsidRDefault="00FF76D1" w:rsidP="00F17AB2">
      <w:pPr>
        <w:spacing w:line="240" w:lineRule="auto"/>
      </w:pPr>
      <w:r>
        <w:separator/>
      </w:r>
    </w:p>
  </w:endnote>
  <w:endnote w:type="continuationSeparator" w:id="0">
    <w:p w14:paraId="3A07C081" w14:textId="77777777" w:rsidR="00FF76D1" w:rsidRDefault="00FF76D1" w:rsidP="00F17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B5848" w14:textId="77777777" w:rsidR="00FF76D1" w:rsidRDefault="00FF76D1" w:rsidP="00F17AB2">
      <w:pPr>
        <w:spacing w:line="240" w:lineRule="auto"/>
      </w:pPr>
      <w:r>
        <w:separator/>
      </w:r>
    </w:p>
  </w:footnote>
  <w:footnote w:type="continuationSeparator" w:id="0">
    <w:p w14:paraId="17D73224" w14:textId="77777777" w:rsidR="00FF76D1" w:rsidRDefault="00FF76D1" w:rsidP="00F17AB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62"/>
    <w:rsid w:val="000005D7"/>
    <w:rsid w:val="000047FA"/>
    <w:rsid w:val="0002398E"/>
    <w:rsid w:val="00033862"/>
    <w:rsid w:val="0006762C"/>
    <w:rsid w:val="000713CC"/>
    <w:rsid w:val="00084CB6"/>
    <w:rsid w:val="000B1811"/>
    <w:rsid w:val="000B4E4D"/>
    <w:rsid w:val="000F3E0E"/>
    <w:rsid w:val="001344AA"/>
    <w:rsid w:val="00150979"/>
    <w:rsid w:val="00170615"/>
    <w:rsid w:val="002600BF"/>
    <w:rsid w:val="0027695D"/>
    <w:rsid w:val="002945CB"/>
    <w:rsid w:val="002C1C00"/>
    <w:rsid w:val="002C4E76"/>
    <w:rsid w:val="002D1BB6"/>
    <w:rsid w:val="002D260B"/>
    <w:rsid w:val="002D4463"/>
    <w:rsid w:val="00317E70"/>
    <w:rsid w:val="00376351"/>
    <w:rsid w:val="00384789"/>
    <w:rsid w:val="00392D2F"/>
    <w:rsid w:val="00396B06"/>
    <w:rsid w:val="003A63B5"/>
    <w:rsid w:val="003F1F04"/>
    <w:rsid w:val="004A372A"/>
    <w:rsid w:val="004D30E3"/>
    <w:rsid w:val="004D61D3"/>
    <w:rsid w:val="00531B0E"/>
    <w:rsid w:val="005B588C"/>
    <w:rsid w:val="005F13C5"/>
    <w:rsid w:val="0063232A"/>
    <w:rsid w:val="00662FDD"/>
    <w:rsid w:val="006A3DEC"/>
    <w:rsid w:val="006B3C5A"/>
    <w:rsid w:val="006C583A"/>
    <w:rsid w:val="006C68D2"/>
    <w:rsid w:val="006E70FA"/>
    <w:rsid w:val="00703280"/>
    <w:rsid w:val="00725980"/>
    <w:rsid w:val="00733E50"/>
    <w:rsid w:val="00760998"/>
    <w:rsid w:val="007D190B"/>
    <w:rsid w:val="007E570E"/>
    <w:rsid w:val="00815E8F"/>
    <w:rsid w:val="00833F07"/>
    <w:rsid w:val="0084510A"/>
    <w:rsid w:val="00852F02"/>
    <w:rsid w:val="00870A79"/>
    <w:rsid w:val="008C630A"/>
    <w:rsid w:val="00912E8C"/>
    <w:rsid w:val="00914316"/>
    <w:rsid w:val="00970D01"/>
    <w:rsid w:val="009C5C55"/>
    <w:rsid w:val="009D27DB"/>
    <w:rsid w:val="00A0021A"/>
    <w:rsid w:val="00A07D8B"/>
    <w:rsid w:val="00A46EDD"/>
    <w:rsid w:val="00A50703"/>
    <w:rsid w:val="00A515B9"/>
    <w:rsid w:val="00A61C0B"/>
    <w:rsid w:val="00A660B6"/>
    <w:rsid w:val="00B51C0D"/>
    <w:rsid w:val="00B61021"/>
    <w:rsid w:val="00B709CC"/>
    <w:rsid w:val="00BE5CE7"/>
    <w:rsid w:val="00C177CD"/>
    <w:rsid w:val="00C96A04"/>
    <w:rsid w:val="00CD051E"/>
    <w:rsid w:val="00CE3839"/>
    <w:rsid w:val="00CF0762"/>
    <w:rsid w:val="00D414F6"/>
    <w:rsid w:val="00D53131"/>
    <w:rsid w:val="00D752EF"/>
    <w:rsid w:val="00DB30BA"/>
    <w:rsid w:val="00DB7F0E"/>
    <w:rsid w:val="00DC2608"/>
    <w:rsid w:val="00E03668"/>
    <w:rsid w:val="00E039E2"/>
    <w:rsid w:val="00E45C08"/>
    <w:rsid w:val="00E73818"/>
    <w:rsid w:val="00ED4BF6"/>
    <w:rsid w:val="00EF3CD7"/>
    <w:rsid w:val="00F165C7"/>
    <w:rsid w:val="00F17AB2"/>
    <w:rsid w:val="00F27329"/>
    <w:rsid w:val="00F30AA3"/>
    <w:rsid w:val="00F401C7"/>
    <w:rsid w:val="00F456E6"/>
    <w:rsid w:val="00F56F19"/>
    <w:rsid w:val="00F60967"/>
    <w:rsid w:val="00FA580D"/>
    <w:rsid w:val="00FF7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BDF74B"/>
  <w14:defaultImageDpi w14:val="32767"/>
  <w15:chartTrackingRefBased/>
  <w15:docId w15:val="{E9F4B15E-C5FF-44D9-B6F9-8A81DA0B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Segoe UI"/>
        <w:color w:val="212121"/>
        <w:kern w:val="2"/>
        <w:sz w:val="24"/>
        <w:szCs w:val="22"/>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1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AB2"/>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F17AB2"/>
    <w:rPr>
      <w:sz w:val="18"/>
      <w:szCs w:val="18"/>
    </w:rPr>
  </w:style>
  <w:style w:type="paragraph" w:styleId="a5">
    <w:name w:val="footer"/>
    <w:basedOn w:val="a"/>
    <w:link w:val="a6"/>
    <w:uiPriority w:val="99"/>
    <w:unhideWhenUsed/>
    <w:rsid w:val="00F17AB2"/>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F17AB2"/>
    <w:rPr>
      <w:sz w:val="18"/>
      <w:szCs w:val="18"/>
    </w:rPr>
  </w:style>
  <w:style w:type="character" w:styleId="a7">
    <w:name w:val="Strong"/>
    <w:basedOn w:val="a0"/>
    <w:uiPriority w:val="22"/>
    <w:qFormat/>
    <w:rsid w:val="000B18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8891">
      <w:bodyDiv w:val="1"/>
      <w:marLeft w:val="0"/>
      <w:marRight w:val="0"/>
      <w:marTop w:val="0"/>
      <w:marBottom w:val="0"/>
      <w:divBdr>
        <w:top w:val="none" w:sz="0" w:space="0" w:color="auto"/>
        <w:left w:val="none" w:sz="0" w:space="0" w:color="auto"/>
        <w:bottom w:val="none" w:sz="0" w:space="0" w:color="auto"/>
        <w:right w:val="none" w:sz="0" w:space="0" w:color="auto"/>
      </w:divBdr>
    </w:div>
    <w:div w:id="42651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2796</TotalTime>
  <Pages>10</Pages>
  <Words>665</Words>
  <Characters>3795</Characters>
  <Application>Microsoft Office Word</Application>
  <DocSecurity>0</DocSecurity>
  <Lines>31</Lines>
  <Paragraphs>8</Paragraphs>
  <ScaleCrop>false</ScaleCrop>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Ricketts</dc:creator>
  <cp:keywords/>
  <dc:description/>
  <cp:lastModifiedBy>Sue Ricketts</cp:lastModifiedBy>
  <cp:revision>114</cp:revision>
  <dcterms:created xsi:type="dcterms:W3CDTF">2025-11-06T05:18:00Z</dcterms:created>
  <dcterms:modified xsi:type="dcterms:W3CDTF">2026-04-28T13:41:00Z</dcterms:modified>
</cp:coreProperties>
</file>