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A71CA">
      <w:pPr>
        <w:spacing w:line="360" w:lineRule="auto"/>
        <w:jc w:val="left"/>
      </w:pPr>
      <w:r>
        <w:rPr>
          <w:rFonts w:eastAsiaTheme="minorEastAsia"/>
          <w:b/>
          <w:bCs/>
          <w:sz w:val="32"/>
          <w:szCs w:val="32"/>
        </w:rPr>
        <w:t>Supplementary Information</w:t>
      </w:r>
    </w:p>
    <w:p w14:paraId="012F0931">
      <w:pPr>
        <w:pStyle w:val="39"/>
        <w:jc w:val="both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Hydrogel</w:t>
      </w:r>
      <w:bookmarkStart w:id="1" w:name="_GoBack"/>
      <w:bookmarkEnd w:id="1"/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icroneedle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d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elivery of a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p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almitoylated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p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eptide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p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romotes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h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air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egeneration via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d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ual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a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ctivation of Wnt/</w:t>
      </w:r>
      <w:r>
        <w:rPr>
          <w:rFonts w:hint="default" w:ascii="Times New Roman Bold" w:hAnsi="Times New Roman Bold" w:cs="Times New Roman Bold"/>
          <w:b/>
          <w:bCs w:val="0"/>
          <w:sz w:val="30"/>
          <w:szCs w:val="30"/>
          <w:lang w:val="en-US" w:eastAsia="zh-CN"/>
        </w:rPr>
        <w:t>β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c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atenin and cAMP</w:t>
      </w:r>
      <w:r>
        <w:rPr>
          <w:rFonts w:hint="default" w:ascii="Times New Roman Bold" w:hAnsi="Times New Roman Bold" w:cs="Times New Roman Bold"/>
          <w:b/>
          <w:bCs w:val="0"/>
          <w:sz w:val="30"/>
          <w:szCs w:val="30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PKA 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ignaling</w:t>
      </w:r>
    </w:p>
    <w:p w14:paraId="11D507A8">
      <w:pPr>
        <w:pStyle w:val="39"/>
        <w:jc w:val="both"/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</w:pPr>
    </w:p>
    <w:p w14:paraId="3C342CD1">
      <w:pPr>
        <w:spacing w:line="360" w:lineRule="auto"/>
        <w:jc w:val="center"/>
        <w:rPr>
          <w:b/>
          <w:bCs/>
        </w:rPr>
      </w:pPr>
      <w:r>
        <w:rPr>
          <w:rFonts w:hint="eastAsia"/>
          <w:b/>
          <w:bCs/>
          <w14:ligatures w14:val="standardContextual"/>
        </w:rPr>
        <w:drawing>
          <wp:inline distT="0" distB="0" distL="0" distR="0">
            <wp:extent cx="3535680" cy="3124200"/>
            <wp:effectExtent l="0" t="0" r="20320" b="0"/>
            <wp:docPr id="10117828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82860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416" cy="31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DA627">
      <w:pPr>
        <w:spacing w:line="360" w:lineRule="auto"/>
        <w:rPr>
          <w:rFonts w:eastAsiaTheme="minorEastAsia"/>
        </w:rPr>
      </w:pPr>
      <w:r>
        <w:rPr>
          <w:b/>
          <w:bCs/>
        </w:rPr>
        <w:t xml:space="preserve">Fig. S1. </w:t>
      </w:r>
      <w:r>
        <w:t>FTIR spectra of the HA, MA, and HAMA</w:t>
      </w:r>
      <w:r>
        <w:rPr>
          <w:rFonts w:hint="eastAsia"/>
        </w:rPr>
        <w:t>.</w:t>
      </w:r>
    </w:p>
    <w:p w14:paraId="7DB2CD34">
      <w:pPr>
        <w:jc w:val="center"/>
      </w:pPr>
      <w:r>
        <w:rPr>
          <w14:ligatures w14:val="standardContextual"/>
        </w:rPr>
        <w:drawing>
          <wp:inline distT="0" distB="0" distL="0" distR="0">
            <wp:extent cx="3433445" cy="4157345"/>
            <wp:effectExtent l="0" t="0" r="20955" b="8255"/>
            <wp:docPr id="14194353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3536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3572" cy="415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AEAD">
      <w:pPr>
        <w:spacing w:line="360" w:lineRule="auto"/>
        <w:jc w:val="both"/>
        <w:rPr>
          <w:b/>
          <w:bCs/>
        </w:rPr>
      </w:pPr>
      <w:r>
        <w:rPr>
          <w:b/>
          <w:bCs/>
        </w:rPr>
        <w:t>Fig. S</w:t>
      </w:r>
      <w:r>
        <w:rPr>
          <w:rFonts w:hint="eastAsia"/>
          <w:b/>
          <w:bCs/>
          <w:lang w:val="en-US" w:eastAsia="zh-CN"/>
        </w:rPr>
        <w:t>2</w:t>
      </w:r>
      <w:r>
        <w:rPr>
          <w:b/>
          <w:bCs/>
        </w:rPr>
        <w:t xml:space="preserve">. </w:t>
      </w:r>
      <w:r>
        <w:rPr>
          <w:rFonts w:hint="eastAsia"/>
        </w:rPr>
        <w:t>DPCs were treated with Pal-MPAPO with different concentrations for 24 h.</w:t>
      </w:r>
      <w:r>
        <w:t xml:space="preserve"> </w:t>
      </w:r>
      <w:r>
        <w:rPr>
          <w:rFonts w:hint="eastAsia"/>
        </w:rPr>
        <w:t>Cell proliferation was measured using the CCK-8 assay. Data points represent mean ± SD. 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0.05, **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0.01, ***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0.001, ****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&lt; 0.0001.</w:t>
      </w:r>
    </w:p>
    <w:p w14:paraId="3993D4FF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Table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</w:rPr>
        <w:t xml:space="preserve"> </w:t>
      </w:r>
      <w:r>
        <w:rPr>
          <w:b/>
          <w:bCs/>
        </w:rPr>
        <w:t xml:space="preserve">Human dermal papilla cell </w:t>
      </w:r>
      <w:r>
        <w:rPr>
          <w:rFonts w:hint="eastAsia"/>
          <w:b/>
          <w:bCs/>
        </w:rPr>
        <w:t>p</w:t>
      </w:r>
      <w:r>
        <w:rPr>
          <w:b/>
          <w:bCs/>
        </w:rPr>
        <w:t>rimers</w:t>
      </w:r>
    </w:p>
    <w:tbl>
      <w:tblPr>
        <w:tblStyle w:val="15"/>
        <w:tblW w:w="72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1"/>
        <w:gridCol w:w="1284"/>
        <w:gridCol w:w="4395"/>
      </w:tblGrid>
      <w:tr w14:paraId="64AB8EB3">
        <w:trPr>
          <w:trHeight w:val="57" w:hRule="atLeast"/>
          <w:jc w:val="center"/>
        </w:trPr>
        <w:tc>
          <w:tcPr>
            <w:tcW w:w="1551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8A9DE">
            <w:pPr>
              <w:widowControl/>
              <w:spacing w:line="360" w:lineRule="auto"/>
              <w:jc w:val="center"/>
              <w:textAlignment w:val="center"/>
              <w:rPr>
                <w:bCs/>
                <w:szCs w:val="21"/>
              </w:rPr>
            </w:pPr>
            <w:r>
              <w:rPr>
                <w:bCs/>
                <w:kern w:val="0"/>
                <w:szCs w:val="21"/>
                <w:lang w:bidi="ar"/>
              </w:rPr>
              <w:t>Target Name</w:t>
            </w:r>
          </w:p>
        </w:tc>
        <w:tc>
          <w:tcPr>
            <w:tcW w:w="5679" w:type="dxa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95840">
            <w:pPr>
              <w:widowControl/>
              <w:spacing w:line="360" w:lineRule="auto"/>
              <w:jc w:val="center"/>
              <w:textAlignment w:val="center"/>
              <w:rPr>
                <w:bCs/>
                <w:szCs w:val="21"/>
              </w:rPr>
            </w:pPr>
            <w:r>
              <w:rPr>
                <w:bCs/>
                <w:kern w:val="0"/>
                <w:szCs w:val="21"/>
                <w:lang w:bidi="ar"/>
              </w:rPr>
              <w:t>Primer</w:t>
            </w:r>
          </w:p>
        </w:tc>
      </w:tr>
      <w:tr w14:paraId="209FFEEA">
        <w:trPr>
          <w:trHeight w:val="57" w:hRule="atLeast"/>
          <w:jc w:val="center"/>
        </w:trPr>
        <w:tc>
          <w:tcPr>
            <w:tcW w:w="1551" w:type="dxa"/>
            <w:vMerge w:val="restart"/>
            <w:tcBorders>
              <w:top w:val="single" w:color="auto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E682F">
            <w:pPr>
              <w:spacing w:line="360" w:lineRule="auto"/>
              <w:jc w:val="center"/>
            </w:pPr>
            <w:r>
              <w:t>β-actin</w:t>
            </w:r>
          </w:p>
        </w:tc>
        <w:tc>
          <w:tcPr>
            <w:tcW w:w="1284" w:type="dxa"/>
            <w:tcBorders>
              <w:top w:val="single" w:color="auto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8FEB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Borders>
              <w:top w:val="single" w:color="auto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0F0BA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t>TCCTCCTGAGCGCAAGTACTCC</w:t>
            </w:r>
          </w:p>
        </w:tc>
      </w:tr>
      <w:tr w14:paraId="41BC8F53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35032DB3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FD0BEF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BFBCD8">
            <w:pPr>
              <w:widowControl/>
              <w:spacing w:line="360" w:lineRule="auto"/>
              <w:ind w:firstLine="240" w:firstLineChars="100"/>
              <w:jc w:val="left"/>
              <w:textAlignment w:val="center"/>
            </w:pPr>
            <w:r>
              <w:t>CATACTCCTGCTTGCTGATCCAC</w:t>
            </w:r>
          </w:p>
        </w:tc>
      </w:tr>
      <w:tr w14:paraId="0C33C771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9D3295B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GSK3β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E68FD4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2896F4">
            <w:pPr>
              <w:widowControl/>
              <w:spacing w:line="360" w:lineRule="auto"/>
              <w:ind w:firstLine="240" w:firstLineChars="100"/>
              <w:jc w:val="left"/>
              <w:textAlignment w:val="center"/>
            </w:pPr>
            <w:r>
              <w:rPr>
                <w:color w:val="000000"/>
                <w:kern w:val="0"/>
                <w:lang w:bidi="ar"/>
              </w:rPr>
              <w:t>CTTATTCCTCCTCATGCTCGG</w:t>
            </w:r>
          </w:p>
        </w:tc>
      </w:tr>
      <w:tr w14:paraId="630B9663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3976E164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B17AAB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BBB495">
            <w:pPr>
              <w:widowControl/>
              <w:spacing w:line="360" w:lineRule="auto"/>
              <w:ind w:firstLine="240" w:firstLineChars="100"/>
              <w:jc w:val="left"/>
              <w:textAlignment w:val="center"/>
            </w:pPr>
            <w:r>
              <w:rPr>
                <w:color w:val="000000"/>
                <w:kern w:val="0"/>
                <w:lang w:bidi="ar"/>
              </w:rPr>
              <w:t>GCAGAAGCAGCATTATTGGT</w:t>
            </w:r>
          </w:p>
        </w:tc>
      </w:tr>
      <w:tr w14:paraId="2692E4F0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E954123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Wnt3a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F0A824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6F5169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CTTTGCAGTGACACGCTCAT</w:t>
            </w:r>
          </w:p>
        </w:tc>
      </w:tr>
      <w:tr w14:paraId="7F55B59D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6C65A314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2E1E15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44C567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ACCATCCCACCAAACTCGAT</w:t>
            </w:r>
          </w:p>
        </w:tc>
      </w:tr>
      <w:tr w14:paraId="232F297F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FEE6F5B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Wnt</w:t>
            </w:r>
            <w:r>
              <w:rPr>
                <w:rFonts w:hint="eastAsia"/>
                <w:color w:val="000000"/>
                <w:shd w:val="clear" w:color="auto" w:fill="FFFFFF"/>
              </w:rPr>
              <w:t>10b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32DB70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192863">
            <w:pPr>
              <w:widowControl/>
              <w:spacing w:line="360" w:lineRule="auto"/>
              <w:ind w:firstLine="240" w:firstLineChars="100"/>
              <w:textAlignment w:val="center"/>
              <w:rPr>
                <w:color w:val="000000"/>
                <w:kern w:val="0"/>
                <w:lang w:bidi="ar"/>
              </w:rPr>
            </w:pPr>
            <w:r>
              <w:rPr>
                <w:color w:val="000000"/>
                <w:kern w:val="0"/>
                <w:lang w:bidi="ar"/>
              </w:rPr>
              <w:t>TGCGAATCCACAACAACAGG</w:t>
            </w:r>
          </w:p>
        </w:tc>
      </w:tr>
      <w:tr w14:paraId="18141067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6357A435">
            <w:pPr>
              <w:spacing w:line="360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437280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8C6BE6">
            <w:pPr>
              <w:widowControl/>
              <w:spacing w:line="360" w:lineRule="auto"/>
              <w:ind w:firstLine="240" w:firstLineChars="100"/>
              <w:textAlignment w:val="center"/>
              <w:rPr>
                <w:color w:val="000000"/>
                <w:kern w:val="0"/>
                <w:lang w:bidi="ar"/>
              </w:rPr>
            </w:pPr>
            <w:r>
              <w:rPr>
                <w:color w:val="000000"/>
                <w:kern w:val="0"/>
                <w:lang w:bidi="ar"/>
              </w:rPr>
              <w:t>CTTGCATTTCCGCTTCAGGT</w:t>
            </w:r>
          </w:p>
        </w:tc>
      </w:tr>
      <w:tr w14:paraId="7E871307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62546E4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β-catenin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1D603C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01BB9C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AGCTGGAATTCTTTCTAACCTC</w:t>
            </w:r>
          </w:p>
        </w:tc>
      </w:tr>
      <w:tr w14:paraId="205158BB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1EF1FF10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D2C4AE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D02611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CGAAGGACAGTACGCACAA</w:t>
            </w:r>
          </w:p>
        </w:tc>
      </w:tr>
      <w:tr w14:paraId="40EC7CA4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BC5CFC1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Lef-1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C00671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C3E31C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ATGATCCCCTTCAAGGACGAGG</w:t>
            </w:r>
          </w:p>
        </w:tc>
      </w:tr>
      <w:tr w14:paraId="4099F6C8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4B7686C1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1C7886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48816C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CCGGGATGATTTCAGACTCGTTC</w:t>
            </w:r>
          </w:p>
        </w:tc>
      </w:tr>
      <w:tr w14:paraId="2386647F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D9D3BBB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Cyclin D1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097669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106F30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CGCGTACCCCGATGCCAAC</w:t>
            </w:r>
          </w:p>
        </w:tc>
      </w:tr>
      <w:tr w14:paraId="6B7BAB49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75CA30BA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BC528B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B78BD2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CCAGGTGGCGACGATCTTCC</w:t>
            </w:r>
          </w:p>
        </w:tc>
      </w:tr>
      <w:tr w14:paraId="592BF930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26711F9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Bcl-2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293A13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A5C2B9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GAGGAGCTTTGTTTCAACCA</w:t>
            </w:r>
          </w:p>
        </w:tc>
      </w:tr>
      <w:tr w14:paraId="118BD8B7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0703994E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1D0A45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1FD719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AATACCATGAATTAAATGCGGAA</w:t>
            </w:r>
          </w:p>
        </w:tc>
      </w:tr>
      <w:tr w14:paraId="75ECAF3D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3E58931">
            <w:pPr>
              <w:spacing w:line="360" w:lineRule="auto"/>
              <w:jc w:val="center"/>
            </w:pPr>
            <w:r>
              <w:t>VIPR1/VPAC1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CCEA93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4FF812">
            <w:pPr>
              <w:widowControl/>
              <w:spacing w:line="360" w:lineRule="auto"/>
              <w:ind w:firstLine="240" w:firstLineChars="100"/>
              <w:textAlignment w:val="center"/>
              <w:rPr>
                <w:color w:val="000000"/>
                <w:kern w:val="0"/>
                <w:lang w:bidi="ar"/>
              </w:rPr>
            </w:pPr>
            <w:r>
              <w:rPr>
                <w:color w:val="000000"/>
                <w:kern w:val="0"/>
                <w:lang w:bidi="ar"/>
              </w:rPr>
              <w:t>CCATTCAAGGCCGCAATGTA</w:t>
            </w:r>
          </w:p>
        </w:tc>
      </w:tr>
      <w:tr w14:paraId="4E559297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7CCE0537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AB1AE0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32BBA5">
            <w:pPr>
              <w:widowControl/>
              <w:spacing w:line="360" w:lineRule="auto"/>
              <w:ind w:firstLine="240" w:firstLineChars="100"/>
              <w:textAlignment w:val="center"/>
              <w:rPr>
                <w:color w:val="000000"/>
                <w:kern w:val="0"/>
                <w:lang w:bidi="ar"/>
              </w:rPr>
            </w:pPr>
            <w:r>
              <w:rPr>
                <w:color w:val="000000"/>
                <w:kern w:val="0"/>
                <w:lang w:bidi="ar"/>
              </w:rPr>
              <w:t>CGTAGAACATGGTCTGCTGC</w:t>
            </w:r>
          </w:p>
        </w:tc>
      </w:tr>
      <w:tr w14:paraId="47FB30DA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BBAFF2A">
            <w:pPr>
              <w:spacing w:line="360" w:lineRule="auto"/>
              <w:jc w:val="center"/>
            </w:pPr>
            <w:r>
              <w:rPr>
                <w:rFonts w:hint="eastAsia"/>
              </w:rPr>
              <w:t>VIPR2/VPAC2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C1EF26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2DBDE7">
            <w:pPr>
              <w:widowControl/>
              <w:spacing w:line="360" w:lineRule="auto"/>
              <w:ind w:firstLine="240" w:firstLineChars="100"/>
              <w:textAlignment w:val="center"/>
              <w:rPr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CTGTACGAGTGACGGATG</w:t>
            </w:r>
          </w:p>
        </w:tc>
      </w:tr>
      <w:tr w14:paraId="03C2D66C">
        <w:trPr>
          <w:trHeight w:val="57" w:hRule="atLeast"/>
          <w:jc w:val="center"/>
        </w:trPr>
        <w:tc>
          <w:tcPr>
            <w:tcW w:w="1551" w:type="dxa"/>
            <w:vMerge w:val="continue"/>
            <w:tcBorders>
              <w:bottom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1D5D9">
            <w:pPr>
              <w:spacing w:line="360" w:lineRule="auto"/>
              <w:jc w:val="center"/>
            </w:pPr>
          </w:p>
        </w:tc>
        <w:tc>
          <w:tcPr>
            <w:tcW w:w="1284" w:type="dxa"/>
            <w:tcBorders>
              <w:bottom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45543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4395" w:type="dxa"/>
            <w:tcBorders>
              <w:bottom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6C022">
            <w:pPr>
              <w:widowControl/>
              <w:spacing w:line="360" w:lineRule="auto"/>
              <w:ind w:firstLine="240" w:firstLineChars="100"/>
              <w:textAlignment w:val="center"/>
              <w:rPr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AGCAGCCAGAAGAAGTTG</w:t>
            </w:r>
          </w:p>
        </w:tc>
      </w:tr>
    </w:tbl>
    <w:p w14:paraId="7E828801">
      <w:pPr>
        <w:spacing w:line="360" w:lineRule="auto"/>
        <w:rPr>
          <w:b/>
          <w:bCs/>
        </w:rPr>
      </w:pPr>
    </w:p>
    <w:p w14:paraId="6B60560A">
      <w:pPr>
        <w:rPr>
          <w:rFonts w:eastAsia="微软雅黑"/>
          <w:b/>
          <w:bCs/>
        </w:rPr>
      </w:pPr>
      <w:r>
        <w:rPr>
          <w:rFonts w:eastAsia="微软雅黑"/>
          <w:b/>
          <w:bCs/>
        </w:rPr>
        <w:t>Table S</w:t>
      </w:r>
      <w:r>
        <w:rPr>
          <w:rFonts w:hint="eastAsia" w:eastAsia="微软雅黑"/>
          <w:b/>
          <w:bCs/>
        </w:rPr>
        <w:t>2</w:t>
      </w:r>
      <w:r>
        <w:rPr>
          <w:rFonts w:eastAsia="微软雅黑"/>
          <w:b/>
          <w:bCs/>
        </w:rPr>
        <w:t xml:space="preserve">. </w:t>
      </w:r>
      <w:r>
        <w:rPr>
          <w:rFonts w:hint="eastAsia" w:eastAsia="微软雅黑"/>
          <w:b/>
          <w:bCs/>
        </w:rPr>
        <w:t>Information on primary antibodies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835"/>
        <w:gridCol w:w="1842"/>
        <w:gridCol w:w="1502"/>
      </w:tblGrid>
      <w:tr w14:paraId="73B02838">
        <w:trPr>
          <w:jc w:val="center"/>
        </w:trPr>
        <w:tc>
          <w:tcPr>
            <w:tcW w:w="2127" w:type="dxa"/>
            <w:tcBorders>
              <w:bottom w:val="single" w:color="auto" w:sz="6" w:space="0"/>
            </w:tcBorders>
            <w:vAlign w:val="center"/>
          </w:tcPr>
          <w:p w14:paraId="69D1A794">
            <w:pPr>
              <w:jc w:val="center"/>
              <w:rPr>
                <w:rFonts w:eastAsia="微软雅黑"/>
                <w:kern w:val="0"/>
                <w:szCs w:val="20"/>
              </w:rPr>
            </w:pPr>
            <w:r>
              <w:rPr>
                <w:rFonts w:eastAsia="微软雅黑"/>
                <w:kern w:val="0"/>
                <w:szCs w:val="20"/>
              </w:rPr>
              <w:t>Primary</w:t>
            </w:r>
            <w:r>
              <w:rPr>
                <w:rFonts w:hint="eastAsia" w:eastAsia="微软雅黑"/>
                <w:kern w:val="0"/>
                <w:szCs w:val="20"/>
              </w:rPr>
              <w:t xml:space="preserve"> </w:t>
            </w:r>
            <w:r>
              <w:rPr>
                <w:rFonts w:eastAsia="微软雅黑"/>
                <w:kern w:val="0"/>
                <w:szCs w:val="20"/>
              </w:rPr>
              <w:t>antibodies</w:t>
            </w:r>
          </w:p>
        </w:tc>
        <w:tc>
          <w:tcPr>
            <w:tcW w:w="2835" w:type="dxa"/>
            <w:tcBorders>
              <w:bottom w:val="single" w:color="auto" w:sz="6" w:space="0"/>
            </w:tcBorders>
            <w:vAlign w:val="center"/>
          </w:tcPr>
          <w:p w14:paraId="2B16D2FA">
            <w:pPr>
              <w:jc w:val="center"/>
              <w:rPr>
                <w:rFonts w:eastAsia="微软雅黑"/>
                <w:kern w:val="0"/>
                <w:szCs w:val="20"/>
              </w:rPr>
            </w:pPr>
            <w:r>
              <w:rPr>
                <w:rFonts w:hint="eastAsia" w:eastAsia="微软雅黑"/>
                <w:kern w:val="0"/>
                <w:szCs w:val="20"/>
              </w:rPr>
              <w:t>Supplier</w:t>
            </w:r>
            <w:r>
              <w:rPr>
                <w:rFonts w:eastAsia="微软雅黑"/>
                <w:kern w:val="0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bottom w:val="single" w:color="auto" w:sz="6" w:space="0"/>
            </w:tcBorders>
            <w:vAlign w:val="center"/>
          </w:tcPr>
          <w:p w14:paraId="25A87E1D">
            <w:pPr>
              <w:jc w:val="center"/>
              <w:rPr>
                <w:rFonts w:eastAsia="微软雅黑"/>
                <w:bCs/>
                <w:kern w:val="0"/>
                <w:szCs w:val="20"/>
              </w:rPr>
            </w:pPr>
            <w:r>
              <w:rPr>
                <w:rFonts w:eastAsia="微软雅黑"/>
                <w:bCs/>
                <w:color w:val="000000"/>
                <w:kern w:val="0"/>
                <w:szCs w:val="21"/>
              </w:rPr>
              <w:t>Dilution</w:t>
            </w:r>
          </w:p>
        </w:tc>
        <w:tc>
          <w:tcPr>
            <w:tcW w:w="1502" w:type="dxa"/>
            <w:tcBorders>
              <w:bottom w:val="single" w:color="auto" w:sz="6" w:space="0"/>
            </w:tcBorders>
          </w:tcPr>
          <w:p w14:paraId="4BFAE857">
            <w:pPr>
              <w:jc w:val="center"/>
              <w:rPr>
                <w:rFonts w:eastAsia="微软雅黑"/>
                <w:kern w:val="0"/>
                <w:szCs w:val="20"/>
              </w:rPr>
            </w:pPr>
            <w:r>
              <w:rPr>
                <w:rFonts w:eastAsia="微软雅黑"/>
                <w:kern w:val="0"/>
                <w:szCs w:val="21"/>
              </w:rPr>
              <w:t>Source</w:t>
            </w:r>
          </w:p>
        </w:tc>
      </w:tr>
      <w:tr w14:paraId="2AF6F8C5">
        <w:trPr>
          <w:jc w:val="center"/>
        </w:trPr>
        <w:tc>
          <w:tcPr>
            <w:tcW w:w="2127" w:type="dxa"/>
            <w:vAlign w:val="center"/>
          </w:tcPr>
          <w:p w14:paraId="4803EBA6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β-actin</w:t>
            </w:r>
          </w:p>
        </w:tc>
        <w:tc>
          <w:tcPr>
            <w:tcW w:w="2835" w:type="dxa"/>
            <w:vAlign w:val="center"/>
          </w:tcPr>
          <w:p w14:paraId="59740A28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Affinity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AF7018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  <w:vAlign w:val="center"/>
          </w:tcPr>
          <w:p w14:paraId="53B68BFA">
            <w:pPr>
              <w:tabs>
                <w:tab w:val="left" w:pos="404"/>
                <w:tab w:val="center" w:pos="1662"/>
              </w:tabs>
              <w:spacing w:line="360" w:lineRule="auto"/>
              <w:jc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5000</w:t>
            </w:r>
          </w:p>
        </w:tc>
        <w:tc>
          <w:tcPr>
            <w:tcW w:w="1502" w:type="dxa"/>
            <w:vAlign w:val="center"/>
          </w:tcPr>
          <w:p w14:paraId="1D24E1CB">
            <w:pPr>
              <w:tabs>
                <w:tab w:val="center" w:pos="1662"/>
              </w:tabs>
              <w:spacing w:line="360" w:lineRule="auto"/>
              <w:jc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1577B187">
        <w:trPr>
          <w:jc w:val="center"/>
        </w:trPr>
        <w:tc>
          <w:tcPr>
            <w:tcW w:w="2127" w:type="dxa"/>
            <w:vAlign w:val="center"/>
          </w:tcPr>
          <w:p w14:paraId="745BD4A8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Bcl-2</w:t>
            </w:r>
          </w:p>
        </w:tc>
        <w:tc>
          <w:tcPr>
            <w:tcW w:w="2835" w:type="dxa"/>
          </w:tcPr>
          <w:p w14:paraId="01FA30CA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12789-1-AP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762E5D51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2000</w:t>
            </w:r>
          </w:p>
        </w:tc>
        <w:tc>
          <w:tcPr>
            <w:tcW w:w="1502" w:type="dxa"/>
            <w:vAlign w:val="center"/>
          </w:tcPr>
          <w:p w14:paraId="6BBEE583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0255FBDA">
        <w:trPr>
          <w:jc w:val="center"/>
        </w:trPr>
        <w:tc>
          <w:tcPr>
            <w:tcW w:w="2127" w:type="dxa"/>
            <w:vAlign w:val="center"/>
          </w:tcPr>
          <w:p w14:paraId="2BE240EA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Cyclin D1</w:t>
            </w:r>
          </w:p>
        </w:tc>
        <w:tc>
          <w:tcPr>
            <w:tcW w:w="2835" w:type="dxa"/>
          </w:tcPr>
          <w:p w14:paraId="21E125AE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26939-1-AP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556F416D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3000</w:t>
            </w:r>
          </w:p>
        </w:tc>
        <w:tc>
          <w:tcPr>
            <w:tcW w:w="1502" w:type="dxa"/>
            <w:vAlign w:val="center"/>
          </w:tcPr>
          <w:p w14:paraId="282DDBCC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12A5DB6F">
        <w:trPr>
          <w:jc w:val="center"/>
        </w:trPr>
        <w:tc>
          <w:tcPr>
            <w:tcW w:w="2127" w:type="dxa"/>
            <w:vAlign w:val="center"/>
          </w:tcPr>
          <w:p w14:paraId="37AB8C66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GSK3β</w:t>
            </w:r>
          </w:p>
        </w:tc>
        <w:tc>
          <w:tcPr>
            <w:tcW w:w="2835" w:type="dxa"/>
          </w:tcPr>
          <w:p w14:paraId="4B35F35B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22104-1-AP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6FC5D3C8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2000</w:t>
            </w:r>
          </w:p>
        </w:tc>
        <w:tc>
          <w:tcPr>
            <w:tcW w:w="1502" w:type="dxa"/>
            <w:vAlign w:val="center"/>
          </w:tcPr>
          <w:p w14:paraId="135A84D0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560895F4">
        <w:trPr>
          <w:trHeight w:val="402" w:hRule="atLeast"/>
          <w:jc w:val="center"/>
        </w:trPr>
        <w:tc>
          <w:tcPr>
            <w:tcW w:w="2127" w:type="dxa"/>
            <w:vAlign w:val="center"/>
          </w:tcPr>
          <w:p w14:paraId="320F25BA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Lef-1</w:t>
            </w:r>
          </w:p>
        </w:tc>
        <w:tc>
          <w:tcPr>
            <w:tcW w:w="2835" w:type="dxa"/>
          </w:tcPr>
          <w:p w14:paraId="0A271223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Cs w:val="24"/>
                <w:lang w:bidi="ar"/>
              </w:rPr>
              <w:t>(14972-1-AP)</w:t>
            </w:r>
          </w:p>
        </w:tc>
        <w:tc>
          <w:tcPr>
            <w:tcW w:w="1842" w:type="dxa"/>
          </w:tcPr>
          <w:p w14:paraId="17EF79B9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:10</w:t>
            </w:r>
            <w:r>
              <w:rPr>
                <w:rFonts w:eastAsia="微软雅黑"/>
                <w:kern w:val="0"/>
                <w:szCs w:val="24"/>
              </w:rPr>
              <w:t>00</w:t>
            </w:r>
          </w:p>
        </w:tc>
        <w:tc>
          <w:tcPr>
            <w:tcW w:w="1502" w:type="dxa"/>
            <w:vAlign w:val="center"/>
          </w:tcPr>
          <w:p w14:paraId="591D59BD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7167736B">
        <w:trPr>
          <w:jc w:val="center"/>
        </w:trPr>
        <w:tc>
          <w:tcPr>
            <w:tcW w:w="2127" w:type="dxa"/>
            <w:vAlign w:val="center"/>
          </w:tcPr>
          <w:p w14:paraId="048097EB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p-GSK3β</w:t>
            </w:r>
          </w:p>
        </w:tc>
        <w:tc>
          <w:tcPr>
            <w:tcW w:w="2835" w:type="dxa"/>
          </w:tcPr>
          <w:p w14:paraId="5450B510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67558-1-Ig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373F0479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1500</w:t>
            </w:r>
          </w:p>
        </w:tc>
        <w:tc>
          <w:tcPr>
            <w:tcW w:w="1502" w:type="dxa"/>
            <w:vAlign w:val="center"/>
          </w:tcPr>
          <w:p w14:paraId="079B71BF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Mouse</w:t>
            </w:r>
          </w:p>
        </w:tc>
      </w:tr>
      <w:tr w14:paraId="6C208857">
        <w:trPr>
          <w:jc w:val="center"/>
        </w:trPr>
        <w:tc>
          <w:tcPr>
            <w:tcW w:w="2127" w:type="dxa"/>
            <w:vAlign w:val="center"/>
          </w:tcPr>
          <w:p w14:paraId="05F5884C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Wnt3a</w:t>
            </w:r>
          </w:p>
        </w:tc>
        <w:tc>
          <w:tcPr>
            <w:tcW w:w="2835" w:type="dxa"/>
          </w:tcPr>
          <w:p w14:paraId="377A6DC7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26744-1-AP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6ED23E89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800</w:t>
            </w:r>
          </w:p>
        </w:tc>
        <w:tc>
          <w:tcPr>
            <w:tcW w:w="1502" w:type="dxa"/>
            <w:vAlign w:val="center"/>
          </w:tcPr>
          <w:p w14:paraId="12B60668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21870C2F">
        <w:trPr>
          <w:jc w:val="center"/>
        </w:trPr>
        <w:tc>
          <w:tcPr>
            <w:tcW w:w="2127" w:type="dxa"/>
            <w:vAlign w:val="center"/>
          </w:tcPr>
          <w:p w14:paraId="371B532A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Wnt10b</w:t>
            </w:r>
          </w:p>
        </w:tc>
        <w:tc>
          <w:tcPr>
            <w:tcW w:w="2835" w:type="dxa"/>
          </w:tcPr>
          <w:p w14:paraId="2E5238EB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67210-1-Ig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235E4DDD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</w:t>
            </w:r>
            <w:r>
              <w:rPr>
                <w:rFonts w:hint="eastAsia" w:eastAsia="微软雅黑"/>
                <w:kern w:val="0"/>
                <w:szCs w:val="24"/>
              </w:rPr>
              <w:t>:</w:t>
            </w:r>
            <w:r>
              <w:rPr>
                <w:rFonts w:eastAsia="微软雅黑"/>
                <w:kern w:val="0"/>
                <w:szCs w:val="24"/>
              </w:rPr>
              <w:t>2000</w:t>
            </w:r>
          </w:p>
        </w:tc>
        <w:tc>
          <w:tcPr>
            <w:tcW w:w="1502" w:type="dxa"/>
            <w:vAlign w:val="center"/>
          </w:tcPr>
          <w:p w14:paraId="73DDDD7D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Mouse</w:t>
            </w:r>
          </w:p>
        </w:tc>
      </w:tr>
      <w:tr w14:paraId="1ECCEBE8">
        <w:trPr>
          <w:jc w:val="center"/>
        </w:trPr>
        <w:tc>
          <w:tcPr>
            <w:tcW w:w="2127" w:type="dxa"/>
            <w:vAlign w:val="center"/>
          </w:tcPr>
          <w:p w14:paraId="54EB1FA5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β-catenin</w:t>
            </w:r>
          </w:p>
        </w:tc>
        <w:tc>
          <w:tcPr>
            <w:tcW w:w="2835" w:type="dxa"/>
          </w:tcPr>
          <w:p w14:paraId="5B29DC19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Proteintech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 xml:space="preserve"> (</w:t>
            </w:r>
            <w:r>
              <w:rPr>
                <w:color w:val="000000"/>
                <w:kern w:val="0"/>
                <w:szCs w:val="24"/>
                <w:lang w:bidi="ar"/>
              </w:rPr>
              <w:t>51067-2-AP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1842" w:type="dxa"/>
          </w:tcPr>
          <w:p w14:paraId="6FED9F25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1:2000</w:t>
            </w:r>
          </w:p>
        </w:tc>
        <w:tc>
          <w:tcPr>
            <w:tcW w:w="1502" w:type="dxa"/>
            <w:vAlign w:val="center"/>
          </w:tcPr>
          <w:p w14:paraId="09FF3625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4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  <w:tr w14:paraId="572046D9">
        <w:trPr>
          <w:jc w:val="center"/>
        </w:trPr>
        <w:tc>
          <w:tcPr>
            <w:tcW w:w="2127" w:type="dxa"/>
            <w:vAlign w:val="center"/>
          </w:tcPr>
          <w:p w14:paraId="7A6EEED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0"/>
                <w:lang w:bidi="ar"/>
              </w:rPr>
            </w:pPr>
            <w:r>
              <w:rPr>
                <w:color w:val="000000"/>
                <w:kern w:val="0"/>
                <w:szCs w:val="20"/>
                <w:lang w:bidi="ar"/>
              </w:rPr>
              <w:t>PKA</w:t>
            </w:r>
          </w:p>
        </w:tc>
        <w:tc>
          <w:tcPr>
            <w:tcW w:w="2835" w:type="dxa"/>
          </w:tcPr>
          <w:p w14:paraId="0CCDA0E6">
            <w:pPr>
              <w:widowControl/>
              <w:spacing w:line="360" w:lineRule="auto"/>
              <w:jc w:val="center"/>
              <w:textAlignment w:val="top"/>
              <w:rPr>
                <w:color w:val="000000"/>
                <w:kern w:val="0"/>
                <w:szCs w:val="20"/>
                <w:lang w:bidi="ar"/>
              </w:rPr>
            </w:pPr>
            <w:r>
              <w:rPr>
                <w:color w:val="000000"/>
                <w:kern w:val="0"/>
                <w:szCs w:val="20"/>
                <w:lang w:bidi="ar"/>
              </w:rPr>
              <w:t>Affinity</w:t>
            </w:r>
            <w:r>
              <w:rPr>
                <w:rFonts w:hint="eastAsia"/>
                <w:color w:val="000000"/>
                <w:kern w:val="0"/>
                <w:szCs w:val="20"/>
                <w:lang w:bidi="ar"/>
              </w:rPr>
              <w:t xml:space="preserve"> </w:t>
            </w:r>
            <w:r>
              <w:rPr>
                <w:color w:val="000000"/>
                <w:kern w:val="0"/>
                <w:szCs w:val="20"/>
                <w:lang w:bidi="ar"/>
              </w:rPr>
              <w:t>(AF7</w:t>
            </w:r>
            <w:r>
              <w:rPr>
                <w:rFonts w:hint="eastAsia"/>
                <w:color w:val="000000"/>
                <w:kern w:val="0"/>
                <w:szCs w:val="20"/>
                <w:lang w:bidi="ar"/>
              </w:rPr>
              <w:t>746</w:t>
            </w:r>
            <w:r>
              <w:rPr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842" w:type="dxa"/>
          </w:tcPr>
          <w:p w14:paraId="47A25585">
            <w:pPr>
              <w:widowControl/>
              <w:spacing w:line="360" w:lineRule="auto"/>
              <w:jc w:val="center"/>
              <w:textAlignment w:val="top"/>
              <w:rPr>
                <w:rFonts w:eastAsia="微软雅黑"/>
                <w:kern w:val="0"/>
                <w:szCs w:val="20"/>
              </w:rPr>
            </w:pPr>
            <w:r>
              <w:rPr>
                <w:rFonts w:eastAsia="微软雅黑"/>
                <w:kern w:val="0"/>
                <w:szCs w:val="20"/>
              </w:rPr>
              <w:t>1:</w:t>
            </w:r>
            <w:r>
              <w:rPr>
                <w:rFonts w:hint="eastAsia" w:eastAsia="微软雅黑"/>
                <w:kern w:val="0"/>
                <w:szCs w:val="20"/>
              </w:rPr>
              <w:t>15</w:t>
            </w:r>
            <w:r>
              <w:rPr>
                <w:rFonts w:eastAsia="微软雅黑"/>
                <w:kern w:val="0"/>
                <w:szCs w:val="20"/>
              </w:rPr>
              <w:t>00</w:t>
            </w:r>
          </w:p>
        </w:tc>
        <w:tc>
          <w:tcPr>
            <w:tcW w:w="1502" w:type="dxa"/>
            <w:vAlign w:val="center"/>
          </w:tcPr>
          <w:p w14:paraId="39B7B179">
            <w:pPr>
              <w:widowControl/>
              <w:spacing w:line="360" w:lineRule="auto"/>
              <w:jc w:val="center"/>
              <w:textAlignment w:val="center"/>
              <w:rPr>
                <w:rFonts w:eastAsia="微软雅黑"/>
                <w:kern w:val="0"/>
                <w:szCs w:val="20"/>
              </w:rPr>
            </w:pPr>
            <w:r>
              <w:rPr>
                <w:rFonts w:eastAsia="微软雅黑"/>
                <w:kern w:val="0"/>
                <w:szCs w:val="24"/>
              </w:rPr>
              <w:t>Rabbit</w:t>
            </w:r>
          </w:p>
        </w:tc>
      </w:tr>
    </w:tbl>
    <w:p w14:paraId="787B2EFC">
      <w:pPr>
        <w:rPr>
          <w:rFonts w:eastAsia="微软雅黑"/>
          <w:b/>
          <w:bCs/>
        </w:rPr>
      </w:pPr>
    </w:p>
    <w:p w14:paraId="55AFAA0B">
      <w:pPr>
        <w:rPr>
          <w:rFonts w:eastAsia="微软雅黑"/>
        </w:rPr>
      </w:pPr>
      <w:r>
        <w:rPr>
          <w:rFonts w:eastAsia="微软雅黑"/>
          <w:b/>
          <w:bCs/>
        </w:rPr>
        <w:t>Table S</w:t>
      </w:r>
      <w:r>
        <w:rPr>
          <w:rFonts w:hint="eastAsia" w:eastAsia="微软雅黑"/>
          <w:b/>
          <w:bCs/>
        </w:rPr>
        <w:t>3</w:t>
      </w:r>
      <w:r>
        <w:rPr>
          <w:rFonts w:eastAsia="微软雅黑"/>
        </w:rPr>
        <w:t xml:space="preserve">. </w:t>
      </w:r>
      <w:r>
        <w:rPr>
          <w:rFonts w:hint="eastAsia" w:eastAsia="微软雅黑"/>
          <w:b/>
          <w:bCs/>
        </w:rPr>
        <w:t xml:space="preserve">Information on </w:t>
      </w:r>
      <w:r>
        <w:rPr>
          <w:rFonts w:hint="default" w:eastAsia="微软雅黑"/>
          <w:b/>
          <w:bCs/>
          <w:lang w:val="en-US"/>
        </w:rPr>
        <w:t>s</w:t>
      </w:r>
      <w:r>
        <w:rPr>
          <w:rFonts w:hint="eastAsia" w:eastAsia="微软雅黑"/>
          <w:b/>
          <w:bCs/>
        </w:rPr>
        <w:t>econdary</w:t>
      </w:r>
      <w:r>
        <w:rPr>
          <w:rFonts w:hint="eastAsia" w:eastAsia="微软雅黑"/>
          <w:b/>
          <w:bCs/>
          <w:lang w:val="en-US" w:eastAsia="zh-CN"/>
        </w:rPr>
        <w:t xml:space="preserve"> </w:t>
      </w:r>
      <w:r>
        <w:rPr>
          <w:rFonts w:hint="eastAsia" w:eastAsia="微软雅黑"/>
          <w:b/>
          <w:bCs/>
        </w:rPr>
        <w:t>antibodies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552"/>
        <w:gridCol w:w="2114"/>
      </w:tblGrid>
      <w:tr w14:paraId="34F98F95">
        <w:trPr>
          <w:jc w:val="center"/>
        </w:trPr>
        <w:tc>
          <w:tcPr>
            <w:tcW w:w="2977" w:type="dxa"/>
            <w:tcBorders>
              <w:bottom w:val="single" w:color="auto" w:sz="6" w:space="0"/>
            </w:tcBorders>
            <w:vAlign w:val="center"/>
          </w:tcPr>
          <w:p w14:paraId="4F1B5790">
            <w:pPr>
              <w:spacing w:line="360" w:lineRule="auto"/>
              <w:jc w:val="center"/>
              <w:rPr>
                <w:rFonts w:eastAsia="微软雅黑"/>
                <w:b/>
                <w:kern w:val="0"/>
                <w:szCs w:val="21"/>
              </w:rPr>
            </w:pPr>
            <w:r>
              <w:rPr>
                <w:rFonts w:eastAsia="微软雅黑"/>
                <w:bCs/>
                <w:kern w:val="0"/>
                <w:szCs w:val="21"/>
              </w:rPr>
              <w:t>Secondary</w:t>
            </w:r>
            <w:r>
              <w:rPr>
                <w:rFonts w:eastAsia="微软雅黑"/>
                <w:kern w:val="0"/>
                <w:szCs w:val="20"/>
              </w:rPr>
              <w:t xml:space="preserve"> antibodies</w:t>
            </w:r>
          </w:p>
        </w:tc>
        <w:tc>
          <w:tcPr>
            <w:tcW w:w="2552" w:type="dxa"/>
            <w:tcBorders>
              <w:bottom w:val="single" w:color="auto" w:sz="6" w:space="0"/>
            </w:tcBorders>
            <w:vAlign w:val="center"/>
          </w:tcPr>
          <w:p w14:paraId="66FB1AE8">
            <w:pPr>
              <w:spacing w:line="360" w:lineRule="auto"/>
              <w:jc w:val="center"/>
              <w:rPr>
                <w:rFonts w:eastAsia="微软雅黑"/>
                <w:kern w:val="0"/>
                <w:szCs w:val="20"/>
              </w:rPr>
            </w:pPr>
            <w:r>
              <w:rPr>
                <w:rFonts w:hint="eastAsia" w:eastAsia="微软雅黑"/>
                <w:kern w:val="0"/>
                <w:szCs w:val="20"/>
              </w:rPr>
              <w:t>Supplier</w:t>
            </w:r>
          </w:p>
        </w:tc>
        <w:tc>
          <w:tcPr>
            <w:tcW w:w="2114" w:type="dxa"/>
            <w:tcBorders>
              <w:bottom w:val="single" w:color="auto" w:sz="6" w:space="0"/>
            </w:tcBorders>
            <w:vAlign w:val="center"/>
          </w:tcPr>
          <w:p w14:paraId="4A443030">
            <w:pPr>
              <w:spacing w:line="360" w:lineRule="auto"/>
              <w:jc w:val="center"/>
              <w:rPr>
                <w:rFonts w:eastAsia="微软雅黑"/>
                <w:bCs/>
                <w:kern w:val="0"/>
                <w:szCs w:val="20"/>
              </w:rPr>
            </w:pPr>
            <w:r>
              <w:rPr>
                <w:rFonts w:eastAsia="微软雅黑"/>
                <w:bCs/>
                <w:color w:val="000000"/>
                <w:kern w:val="0"/>
                <w:szCs w:val="21"/>
              </w:rPr>
              <w:t>Dilution</w:t>
            </w:r>
          </w:p>
        </w:tc>
      </w:tr>
      <w:tr w14:paraId="793F81A8">
        <w:trPr>
          <w:jc w:val="center"/>
        </w:trPr>
        <w:tc>
          <w:tcPr>
            <w:tcW w:w="2977" w:type="dxa"/>
            <w:vAlign w:val="center"/>
          </w:tcPr>
          <w:p w14:paraId="6506216A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HRP-</w:t>
            </w:r>
            <w:r>
              <w:rPr>
                <w:kern w:val="0"/>
                <w:szCs w:val="24"/>
              </w:rPr>
              <w:t xml:space="preserve"> </w:t>
            </w:r>
            <w:r>
              <w:rPr>
                <w:color w:val="000000"/>
                <w:kern w:val="0"/>
                <w:szCs w:val="24"/>
                <w:lang w:bidi="ar"/>
              </w:rPr>
              <w:t>Goat Anti-Rabbit IgG</w:t>
            </w:r>
          </w:p>
        </w:tc>
        <w:tc>
          <w:tcPr>
            <w:tcW w:w="2552" w:type="dxa"/>
            <w:vAlign w:val="center"/>
          </w:tcPr>
          <w:p w14:paraId="373CDAFE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Abcam (</w:t>
            </w:r>
            <w:r>
              <w:rPr>
                <w:color w:val="000000"/>
                <w:kern w:val="0"/>
                <w:szCs w:val="24"/>
                <w:lang w:bidi="ar"/>
              </w:rPr>
              <w:t>ab214880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14" w:type="dxa"/>
            <w:vAlign w:val="center"/>
          </w:tcPr>
          <w:p w14:paraId="34AA02F0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1:5000</w:t>
            </w:r>
          </w:p>
        </w:tc>
      </w:tr>
      <w:tr w14:paraId="6C41E12D">
        <w:trPr>
          <w:jc w:val="center"/>
        </w:trPr>
        <w:tc>
          <w:tcPr>
            <w:tcW w:w="2977" w:type="dxa"/>
            <w:vAlign w:val="center"/>
          </w:tcPr>
          <w:p w14:paraId="145E0D62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HRP-</w:t>
            </w:r>
            <w:r>
              <w:rPr>
                <w:kern w:val="0"/>
                <w:szCs w:val="24"/>
              </w:rPr>
              <w:t xml:space="preserve"> </w:t>
            </w:r>
            <w:r>
              <w:rPr>
                <w:color w:val="000000"/>
                <w:kern w:val="0"/>
                <w:szCs w:val="24"/>
                <w:lang w:bidi="ar"/>
              </w:rPr>
              <w:t>Goat Anti-Mouse IgG</w:t>
            </w:r>
          </w:p>
        </w:tc>
        <w:tc>
          <w:tcPr>
            <w:tcW w:w="2552" w:type="dxa"/>
            <w:vAlign w:val="center"/>
          </w:tcPr>
          <w:p w14:paraId="77342C1C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color w:val="000000"/>
                <w:kern w:val="0"/>
                <w:szCs w:val="24"/>
                <w:lang w:bidi="ar"/>
              </w:rPr>
              <w:t>Abcam (ab</w:t>
            </w: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6789</w:t>
            </w:r>
            <w:r>
              <w:rPr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2114" w:type="dxa"/>
            <w:vAlign w:val="center"/>
          </w:tcPr>
          <w:p w14:paraId="278D2143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4"/>
                <w:lang w:bidi="ar"/>
              </w:rPr>
              <w:t>1:5000</w:t>
            </w:r>
          </w:p>
        </w:tc>
      </w:tr>
    </w:tbl>
    <w:p w14:paraId="0C93D7A0">
      <w:pPr>
        <w:spacing w:line="360" w:lineRule="auto"/>
        <w:jc w:val="center"/>
        <w:rPr>
          <w:b/>
          <w:bCs/>
        </w:rPr>
      </w:pPr>
    </w:p>
    <w:p w14:paraId="5452980A">
      <w:pPr>
        <w:spacing w:line="360" w:lineRule="auto"/>
        <w:rPr>
          <w:rFonts w:hint="eastAsia" w:eastAsia="宋体"/>
          <w:b/>
          <w:bCs/>
          <w:lang w:eastAsia="zh-CN"/>
        </w:rPr>
      </w:pPr>
      <w:r>
        <w:rPr>
          <w:rFonts w:hint="eastAsia" w:eastAsia="宋体"/>
          <w:b/>
          <w:bCs/>
          <w:lang w:eastAsia="zh-CN"/>
        </w:rPr>
        <w:drawing>
          <wp:inline distT="0" distB="0" distL="114300" distR="114300">
            <wp:extent cx="5271770" cy="5445760"/>
            <wp:effectExtent l="0" t="0" r="11430" b="15240"/>
            <wp:docPr id="1" name="图片 1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44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339D7">
      <w:pPr>
        <w:spacing w:line="360" w:lineRule="auto"/>
        <w:rPr>
          <w:rFonts w:eastAsiaTheme="minorEastAsia"/>
        </w:rPr>
      </w:pPr>
      <w:r>
        <w:rPr>
          <w:b/>
          <w:bCs/>
        </w:rPr>
        <w:t>Fig. S</w:t>
      </w:r>
      <w:r>
        <w:rPr>
          <w:rFonts w:hint="eastAsia"/>
          <w:b/>
          <w:bCs/>
          <w:lang w:val="en-US" w:eastAsia="zh-CN"/>
        </w:rPr>
        <w:t>3</w:t>
      </w:r>
      <w:r>
        <w:rPr>
          <w:b/>
          <w:bCs/>
        </w:rPr>
        <w:t xml:space="preserve">. </w:t>
      </w:r>
      <w:r>
        <w:t>Quantitative analysis of Wnt3a,</w:t>
      </w:r>
      <w:r>
        <w:rPr>
          <w:rFonts w:hint="eastAsia"/>
        </w:rPr>
        <w:t xml:space="preserve"> </w:t>
      </w:r>
      <w:r>
        <w:t>Wnt</w:t>
      </w:r>
      <w:r>
        <w:rPr>
          <w:rFonts w:hint="eastAsia"/>
        </w:rPr>
        <w:t>10b</w:t>
      </w:r>
      <w:r>
        <w:t>,</w:t>
      </w:r>
      <w:r>
        <w:rPr>
          <w:rFonts w:hint="eastAsia"/>
        </w:rPr>
        <w:t xml:space="preserve"> </w:t>
      </w:r>
      <w:r>
        <w:t>β-catenin, GSK3β, p-GSK3β, Cyclin D1</w:t>
      </w:r>
      <w:r>
        <w:rPr>
          <w:rFonts w:hint="eastAsia"/>
        </w:rPr>
        <w:t xml:space="preserve">, </w:t>
      </w:r>
      <w:r>
        <w:t>Lef-1</w:t>
      </w:r>
      <w:r>
        <w:rPr>
          <w:rFonts w:hint="eastAsia"/>
        </w:rPr>
        <w:t xml:space="preserve"> </w:t>
      </w:r>
      <w:r>
        <w:t>and Bcl-2 protein levels</w:t>
      </w:r>
      <w:r>
        <w:rPr>
          <w:rFonts w:hint="eastAsia"/>
        </w:rPr>
        <w:t xml:space="preserve"> </w:t>
      </w:r>
      <w:r>
        <w:t>in the DPCs in different groups</w:t>
      </w:r>
      <w:r>
        <w:rPr>
          <w:rFonts w:hint="eastAsia"/>
        </w:rPr>
        <w:t>. Data points represent mean ± SD. 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0.05, **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0.01, ***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0.001, ****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&lt; 0.0001.</w:t>
      </w:r>
    </w:p>
    <w:p w14:paraId="5D86066F">
      <w:pPr>
        <w:spacing w:line="360" w:lineRule="auto"/>
        <w:jc w:val="center"/>
        <w:rPr>
          <w:rFonts w:hint="eastAsia" w:ascii="Times New Roman Bold" w:hAnsi="Times New Roman Bold" w:eastAsia="宋体" w:cs="Times New Roman Bold"/>
          <w:b/>
          <w:bCs/>
          <w:lang w:eastAsia="zh-CN"/>
        </w:rPr>
      </w:pPr>
      <w:r>
        <w:rPr>
          <w:rFonts w:hint="eastAsia" w:ascii="Times New Roman Bold" w:hAnsi="Times New Roman Bold" w:eastAsia="宋体" w:cs="Times New Roman Bold"/>
          <w:b/>
          <w:bCs/>
          <w:lang w:eastAsia="zh-CN"/>
        </w:rPr>
        <w:drawing>
          <wp:inline distT="0" distB="0" distL="114300" distR="114300">
            <wp:extent cx="4735830" cy="2664460"/>
            <wp:effectExtent l="0" t="0" r="13970" b="2540"/>
            <wp:docPr id="2" name="图片 2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698FD">
      <w:pPr>
        <w:spacing w:line="360" w:lineRule="auto"/>
        <w:rPr>
          <w:rFonts w:hint="default"/>
          <w:b/>
          <w:bCs/>
          <w:lang w:val="en-US"/>
        </w:rPr>
      </w:pPr>
      <w:r>
        <w:rPr>
          <w:rFonts w:hint="default" w:ascii="Times New Roman Bold" w:hAnsi="Times New Roman Bold" w:cs="Times New Roman Bold"/>
          <w:b/>
          <w:bCs/>
        </w:rPr>
        <w:t>Fig. S</w:t>
      </w:r>
      <w:r>
        <w:rPr>
          <w:rFonts w:hint="eastAsia" w:ascii="Times New Roman Bold" w:hAnsi="Times New Roman Bold" w:cs="Times New Roman Bold"/>
          <w:b/>
          <w:bCs/>
          <w:lang w:val="en-US" w:eastAsia="zh-CN"/>
        </w:rPr>
        <w:t>4</w:t>
      </w:r>
      <w:r>
        <w:rPr>
          <w:rFonts w:hint="eastAsia"/>
          <w:b w:val="0"/>
          <w:bCs w:val="0"/>
        </w:rPr>
        <w:t>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 xml:space="preserve">Additional evaluation of VPAC2 involvement in </w:t>
      </w:r>
      <w:r>
        <w:rPr>
          <w:rFonts w:hint="eastAsia" w:ascii="Times New Roman" w:hAnsi="Times New Roman" w:cs="Times New Roman"/>
          <w:sz w:val="24"/>
        </w:rPr>
        <w:t>Pal-MPAPO</w:t>
      </w:r>
      <w:r>
        <w:rPr>
          <w:rFonts w:hint="eastAsia"/>
          <w:b w:val="0"/>
          <w:bCs w:val="0"/>
        </w:rPr>
        <w:t>-induced signaling in DPCs.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(a</w:t>
      </w:r>
      <w:r>
        <w:rPr>
          <w:rFonts w:hint="default"/>
          <w:b w:val="0"/>
          <w:bCs w:val="0"/>
          <w:lang w:val="en-US"/>
        </w:rPr>
        <w:t>, b</w:t>
      </w:r>
      <w:r>
        <w:rPr>
          <w:rFonts w:hint="eastAsia"/>
          <w:b w:val="0"/>
          <w:bCs w:val="0"/>
        </w:rPr>
        <w:t>) Relative mRNA expression of VPAC1 and VPAC2 after Pal-MPAPO treatment or si-VPAC2 transfection.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(</w:t>
      </w:r>
      <w:r>
        <w:rPr>
          <w:rFonts w:hint="default"/>
          <w:b w:val="0"/>
          <w:bCs w:val="0"/>
          <w:lang w:val="en-US"/>
        </w:rPr>
        <w:t>c</w:t>
      </w:r>
      <w:r>
        <w:rPr>
          <w:rFonts w:hint="eastAsia"/>
          <w:b w:val="0"/>
          <w:bCs w:val="0"/>
        </w:rPr>
        <w:t xml:space="preserve">) Intracellular cAMP levels measured by ELISA in </w:t>
      </w:r>
      <w:r>
        <w:rPr>
          <w:rFonts w:hint="default"/>
          <w:b w:val="0"/>
          <w:bCs w:val="0"/>
          <w:lang w:val="en-US"/>
        </w:rPr>
        <w:t>different</w:t>
      </w:r>
      <w:r>
        <w:rPr>
          <w:rFonts w:hint="eastAsia"/>
          <w:b w:val="0"/>
          <w:bCs w:val="0"/>
        </w:rPr>
        <w:t xml:space="preserve"> groups.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Data are presented as mean ± SD (n = 3). Statistical significance was analyzed by one-way ANOVA.</w:t>
      </w:r>
      <w:r>
        <w:rPr>
          <w:rFonts w:hint="default"/>
          <w:b w:val="0"/>
          <w:bCs w:val="0"/>
          <w:lang w:val="en-US"/>
        </w:rPr>
        <w:t xml:space="preserve"> 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lang w:val="en-US"/>
        </w:rPr>
        <w:t>p</w:t>
      </w:r>
      <w:r>
        <w:rPr>
          <w:rFonts w:hint="default"/>
          <w:b w:val="0"/>
          <w:bCs w:val="0"/>
          <w:lang w:val="en-US"/>
        </w:rPr>
        <w:t xml:space="preserve"> &lt; 0.05, **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lang w:val="en-US"/>
        </w:rPr>
        <w:t>p</w:t>
      </w:r>
      <w:r>
        <w:rPr>
          <w:rFonts w:hint="default"/>
          <w:b w:val="0"/>
          <w:bCs w:val="0"/>
          <w:lang w:val="en-US"/>
        </w:rPr>
        <w:t xml:space="preserve"> &lt; 0.01, ***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lang w:val="en-US"/>
        </w:rPr>
        <w:t xml:space="preserve">p </w:t>
      </w:r>
      <w:r>
        <w:rPr>
          <w:rFonts w:hint="default"/>
          <w:b w:val="0"/>
          <w:bCs w:val="0"/>
          <w:lang w:val="en-US"/>
        </w:rPr>
        <w:t>&lt; 0.001, ****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lang w:val="en-US"/>
        </w:rPr>
        <w:t>p</w:t>
      </w:r>
      <w:r>
        <w:rPr>
          <w:rFonts w:hint="default"/>
          <w:b w:val="0"/>
          <w:bCs w:val="0"/>
          <w:lang w:val="en-US"/>
        </w:rPr>
        <w:t xml:space="preserve"> &lt; 0.0001. </w:t>
      </w:r>
    </w:p>
    <w:p w14:paraId="44108531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Table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>m</w:t>
      </w:r>
      <w:r>
        <w:rPr>
          <w:b/>
          <w:bCs/>
        </w:rPr>
        <w:t xml:space="preserve">ouse </w:t>
      </w:r>
      <w:r>
        <w:rPr>
          <w:rFonts w:hint="eastAsia"/>
          <w:b/>
          <w:bCs/>
        </w:rPr>
        <w:t>t</w:t>
      </w:r>
      <w:r>
        <w:rPr>
          <w:b/>
          <w:bCs/>
        </w:rPr>
        <w:t xml:space="preserve">issue </w:t>
      </w:r>
      <w:r>
        <w:rPr>
          <w:rFonts w:hint="eastAsia"/>
          <w:b/>
          <w:bCs/>
        </w:rPr>
        <w:t>p</w:t>
      </w:r>
      <w:r>
        <w:rPr>
          <w:b/>
          <w:bCs/>
        </w:rPr>
        <w:t>rimers</w:t>
      </w:r>
    </w:p>
    <w:tbl>
      <w:tblPr>
        <w:tblStyle w:val="15"/>
        <w:tblW w:w="72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1"/>
        <w:gridCol w:w="1284"/>
        <w:gridCol w:w="4395"/>
      </w:tblGrid>
      <w:tr w14:paraId="11B8D228">
        <w:trPr>
          <w:trHeight w:val="57" w:hRule="atLeast"/>
          <w:jc w:val="center"/>
        </w:trPr>
        <w:tc>
          <w:tcPr>
            <w:tcW w:w="1551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76C24">
            <w:pPr>
              <w:widowControl/>
              <w:spacing w:line="360" w:lineRule="auto"/>
              <w:jc w:val="center"/>
              <w:textAlignment w:val="center"/>
              <w:rPr>
                <w:bCs/>
                <w:szCs w:val="21"/>
              </w:rPr>
            </w:pPr>
            <w:r>
              <w:rPr>
                <w:bCs/>
                <w:kern w:val="0"/>
                <w:szCs w:val="21"/>
                <w:lang w:bidi="ar"/>
              </w:rPr>
              <w:t>Target Name</w:t>
            </w:r>
          </w:p>
        </w:tc>
        <w:tc>
          <w:tcPr>
            <w:tcW w:w="5679" w:type="dxa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AD358">
            <w:pPr>
              <w:widowControl/>
              <w:spacing w:line="360" w:lineRule="auto"/>
              <w:jc w:val="center"/>
              <w:textAlignment w:val="center"/>
              <w:rPr>
                <w:bCs/>
                <w:szCs w:val="21"/>
              </w:rPr>
            </w:pPr>
            <w:r>
              <w:rPr>
                <w:bCs/>
                <w:kern w:val="0"/>
                <w:szCs w:val="21"/>
                <w:lang w:bidi="ar"/>
              </w:rPr>
              <w:t>Primer</w:t>
            </w:r>
          </w:p>
        </w:tc>
      </w:tr>
      <w:tr w14:paraId="5CDF7E03">
        <w:trPr>
          <w:trHeight w:val="57" w:hRule="atLeast"/>
          <w:jc w:val="center"/>
        </w:trPr>
        <w:tc>
          <w:tcPr>
            <w:tcW w:w="1551" w:type="dxa"/>
            <w:vMerge w:val="restart"/>
            <w:tcBorders>
              <w:top w:val="single" w:color="auto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37E155">
            <w:pPr>
              <w:spacing w:line="360" w:lineRule="auto"/>
              <w:jc w:val="center"/>
            </w:pPr>
            <w:r>
              <w:t>β-actin</w:t>
            </w:r>
          </w:p>
        </w:tc>
        <w:tc>
          <w:tcPr>
            <w:tcW w:w="1284" w:type="dxa"/>
            <w:tcBorders>
              <w:top w:val="single" w:color="auto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1E736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Borders>
              <w:top w:val="single" w:color="auto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1ED8B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t>CTCCTGAGCGCAAGTACTCT</w:t>
            </w:r>
          </w:p>
        </w:tc>
      </w:tr>
      <w:tr w14:paraId="122EA50D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6FA9EC01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60A103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780AB9">
            <w:pPr>
              <w:widowControl/>
              <w:spacing w:line="360" w:lineRule="auto"/>
              <w:ind w:firstLine="240" w:firstLineChars="100"/>
              <w:jc w:val="left"/>
              <w:textAlignment w:val="center"/>
            </w:pPr>
            <w:r>
              <w:t>TACTCCTGCTTGCTGATCCAC</w:t>
            </w:r>
          </w:p>
        </w:tc>
      </w:tr>
      <w:tr w14:paraId="540C8C30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67D0739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GSK3β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7D0558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DEA4EF">
            <w:pPr>
              <w:widowControl/>
              <w:spacing w:line="360" w:lineRule="auto"/>
              <w:ind w:firstLine="240" w:firstLineChars="100"/>
              <w:jc w:val="left"/>
              <w:textAlignment w:val="center"/>
            </w:pPr>
            <w:r>
              <w:rPr>
                <w:color w:val="000000"/>
                <w:kern w:val="0"/>
                <w:lang w:bidi="ar"/>
              </w:rPr>
              <w:t>TCCCTTGAGATTCTTCCGA</w:t>
            </w:r>
          </w:p>
        </w:tc>
      </w:tr>
      <w:tr w14:paraId="5198AD37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015E10E4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3D60BC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7E85B8">
            <w:pPr>
              <w:widowControl/>
              <w:spacing w:line="360" w:lineRule="auto"/>
              <w:ind w:firstLine="240" w:firstLineChars="100"/>
              <w:jc w:val="left"/>
              <w:textAlignment w:val="center"/>
            </w:pPr>
            <w:r>
              <w:rPr>
                <w:color w:val="000000"/>
                <w:kern w:val="0"/>
                <w:lang w:bidi="ar"/>
              </w:rPr>
              <w:t>TACTTTGTCAAGCTAACCCC</w:t>
            </w:r>
          </w:p>
        </w:tc>
      </w:tr>
      <w:tr w14:paraId="724B6303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9160940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Wnt3a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E506BF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21948B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GGGAGTCAGCCTTTGTCCAT</w:t>
            </w:r>
          </w:p>
        </w:tc>
      </w:tr>
      <w:tr w14:paraId="12BA3AFB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3C728EE3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FE04E0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E02ACB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ACAGATAGCAGCTGATCCCTC</w:t>
            </w:r>
          </w:p>
        </w:tc>
      </w:tr>
      <w:tr w14:paraId="4FBF71D0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6633BDA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β-catenin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4BE2A9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638E3E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AAGAAACCAGCATAGATGACAG</w:t>
            </w:r>
          </w:p>
        </w:tc>
      </w:tr>
      <w:tr w14:paraId="108D3213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761ED017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A47DC8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0F03CE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AAGGTAAGAGTCACGACCA</w:t>
            </w:r>
          </w:p>
        </w:tc>
      </w:tr>
      <w:tr w14:paraId="710D7D43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E6353C8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Lef-1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2FCAC5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972DFA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TCATCTTTGGTTAACGAGTCCGA</w:t>
            </w:r>
          </w:p>
        </w:tc>
      </w:tr>
      <w:tr w14:paraId="623D4C37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0691363A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9F446A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1D7F32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TGCTTTCCTTCATCAGGGTGT</w:t>
            </w:r>
          </w:p>
        </w:tc>
      </w:tr>
      <w:tr w14:paraId="320A9493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546608E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Cyclin D1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98580D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E01F43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TAAAGTTACTGTGCTGGGTCCTG</w:t>
            </w:r>
          </w:p>
        </w:tc>
      </w:tr>
      <w:tr w14:paraId="01CE9552">
        <w:trPr>
          <w:trHeight w:val="57" w:hRule="atLeast"/>
          <w:jc w:val="center"/>
        </w:trPr>
        <w:tc>
          <w:tcPr>
            <w:tcW w:w="155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 w14:paraId="6A7BB97A">
            <w:pPr>
              <w:spacing w:line="360" w:lineRule="auto"/>
              <w:jc w:val="center"/>
            </w:pP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66A5C7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C072BD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GGCTGTAGAATCCTATGTCCTC</w:t>
            </w:r>
          </w:p>
        </w:tc>
      </w:tr>
      <w:tr w14:paraId="22CBDDD0">
        <w:trPr>
          <w:trHeight w:val="57" w:hRule="atLeast"/>
          <w:jc w:val="center"/>
        </w:trPr>
        <w:tc>
          <w:tcPr>
            <w:tcW w:w="15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D686A64">
            <w:pPr>
              <w:spacing w:line="360" w:lineRule="auto"/>
              <w:jc w:val="center"/>
            </w:pPr>
            <w:r>
              <w:rPr>
                <w:color w:val="000000"/>
                <w:shd w:val="clear" w:color="auto" w:fill="FFFFFF"/>
              </w:rPr>
              <w:t>Bcl-2</w:t>
            </w:r>
          </w:p>
        </w:tc>
        <w:tc>
          <w:tcPr>
            <w:tcW w:w="128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2CCDDC">
            <w:pPr>
              <w:widowControl/>
              <w:spacing w:line="360" w:lineRule="auto"/>
              <w:jc w:val="center"/>
              <w:textAlignment w:val="center"/>
            </w:pPr>
            <w:r>
              <w:t>Forward</w:t>
            </w:r>
          </w:p>
        </w:tc>
        <w:tc>
          <w:tcPr>
            <w:tcW w:w="4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6BEF8B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ACTTCTCTCGTCGCTACCGTC</w:t>
            </w:r>
          </w:p>
        </w:tc>
      </w:tr>
      <w:tr w14:paraId="59AB5BD2">
        <w:trPr>
          <w:trHeight w:val="57" w:hRule="atLeast"/>
          <w:jc w:val="center"/>
        </w:trPr>
        <w:tc>
          <w:tcPr>
            <w:tcW w:w="1551" w:type="dxa"/>
            <w:vMerge w:val="continue"/>
            <w:tcBorders>
              <w:bottom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A717E">
            <w:pPr>
              <w:spacing w:line="360" w:lineRule="auto"/>
              <w:jc w:val="center"/>
            </w:pPr>
          </w:p>
        </w:tc>
        <w:tc>
          <w:tcPr>
            <w:tcW w:w="1284" w:type="dxa"/>
            <w:tcBorders>
              <w:bottom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EB893">
            <w:pPr>
              <w:widowControl/>
              <w:spacing w:line="360" w:lineRule="auto"/>
              <w:jc w:val="center"/>
              <w:textAlignment w:val="center"/>
            </w:pPr>
            <w:r>
              <w:t>Reverse</w:t>
            </w:r>
          </w:p>
        </w:tc>
        <w:tc>
          <w:tcPr>
            <w:tcW w:w="4395" w:type="dxa"/>
            <w:tcBorders>
              <w:bottom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CA12B">
            <w:pPr>
              <w:widowControl/>
              <w:spacing w:line="360" w:lineRule="auto"/>
              <w:ind w:firstLine="240" w:firstLineChars="100"/>
              <w:textAlignment w:val="center"/>
            </w:pPr>
            <w:r>
              <w:rPr>
                <w:color w:val="000000"/>
                <w:kern w:val="0"/>
                <w:lang w:bidi="ar"/>
              </w:rPr>
              <w:t>CCCCATCCCTGAAGAGTTCCT</w:t>
            </w:r>
          </w:p>
        </w:tc>
      </w:tr>
    </w:tbl>
    <w:p w14:paraId="371390EE">
      <w:pPr>
        <w:spacing w:line="360" w:lineRule="auto"/>
        <w:jc w:val="center"/>
        <w:rPr>
          <w:b/>
          <w:bCs/>
        </w:rPr>
      </w:pPr>
    </w:p>
    <w:p w14:paraId="48CA0F89">
      <w:pPr>
        <w:rPr>
          <w:b/>
          <w:bCs/>
        </w:rPr>
      </w:pPr>
      <w:r>
        <w:rPr>
          <w:b/>
          <w:bCs/>
          <w14:ligatures w14:val="standardContextual"/>
        </w:rPr>
        <w:drawing>
          <wp:inline distT="0" distB="0" distL="0" distR="0">
            <wp:extent cx="5274310" cy="7460615"/>
            <wp:effectExtent l="0" t="0" r="2540" b="6985"/>
            <wp:docPr id="15353177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1778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15410">
      <w:pPr>
        <w:spacing w:line="360" w:lineRule="auto"/>
        <w:rPr>
          <w:b/>
          <w:bCs/>
        </w:rPr>
      </w:pPr>
      <w:bookmarkStart w:id="0" w:name="OLE_LINK4"/>
      <w:r>
        <w:rPr>
          <w:b/>
          <w:bCs/>
        </w:rPr>
        <w:t>Fig. S</w:t>
      </w:r>
      <w:r>
        <w:rPr>
          <w:rFonts w:hint="eastAsia"/>
          <w:b/>
          <w:bCs/>
          <w:lang w:val="en-US" w:eastAsia="zh-CN"/>
        </w:rPr>
        <w:t>5</w:t>
      </w:r>
      <w:r>
        <w:rPr>
          <w:b/>
          <w:bCs/>
        </w:rPr>
        <w:t xml:space="preserve">. </w:t>
      </w:r>
      <w:r>
        <w:t>Quantitative analysis of Wnt3a,</w:t>
      </w:r>
      <w:r>
        <w:rPr>
          <w:rFonts w:hint="eastAsia"/>
        </w:rPr>
        <w:t xml:space="preserve"> </w:t>
      </w:r>
      <w:r>
        <w:t>β-catenin, GSK3β, p-GSK3β, Lef-1, Cyclin D1 and Bcl-2 protein levels</w:t>
      </w:r>
      <w:r>
        <w:rPr>
          <w:rFonts w:hint="eastAsia"/>
        </w:rPr>
        <w:t xml:space="preserve"> </w:t>
      </w:r>
      <w:r>
        <w:t>from three independent mice skin tissues</w:t>
      </w:r>
      <w:r>
        <w:rPr>
          <w:rFonts w:hint="eastAsia"/>
        </w:rPr>
        <w:t xml:space="preserve">, </w:t>
      </w:r>
      <w:r>
        <w:t>detected by western blotting</w:t>
      </w:r>
      <w:r>
        <w:rPr>
          <w:rFonts w:hint="eastAsia"/>
        </w:rPr>
        <w:t>. Data points represent mean ± SD. 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0.05, **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0.01, ***</w:t>
      </w:r>
      <w:r>
        <w:rPr>
          <w:rFonts w:hint="eastAsia"/>
          <w:i/>
          <w:iCs/>
        </w:rPr>
        <w:t>p</w:t>
      </w:r>
      <w:r>
        <w:rPr>
          <w:rFonts w:hint="eastAsia"/>
        </w:rPr>
        <w:t xml:space="preserve"> &lt; 0.001, ****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&lt; 0.0001.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E4"/>
    <w:rsid w:val="00074F4D"/>
    <w:rsid w:val="000E29E4"/>
    <w:rsid w:val="000F533A"/>
    <w:rsid w:val="00125412"/>
    <w:rsid w:val="001560DC"/>
    <w:rsid w:val="00183C34"/>
    <w:rsid w:val="001B7E11"/>
    <w:rsid w:val="001F3344"/>
    <w:rsid w:val="002879CE"/>
    <w:rsid w:val="002C0952"/>
    <w:rsid w:val="003436A6"/>
    <w:rsid w:val="0037382D"/>
    <w:rsid w:val="003B4C7D"/>
    <w:rsid w:val="003F4127"/>
    <w:rsid w:val="004626DA"/>
    <w:rsid w:val="00490E21"/>
    <w:rsid w:val="004A2688"/>
    <w:rsid w:val="004B0EF1"/>
    <w:rsid w:val="00570DD2"/>
    <w:rsid w:val="005D1F44"/>
    <w:rsid w:val="0069051F"/>
    <w:rsid w:val="0075696B"/>
    <w:rsid w:val="007A0851"/>
    <w:rsid w:val="00907367"/>
    <w:rsid w:val="00934E5C"/>
    <w:rsid w:val="0093660B"/>
    <w:rsid w:val="00936D63"/>
    <w:rsid w:val="009617C8"/>
    <w:rsid w:val="0096489C"/>
    <w:rsid w:val="00980CFC"/>
    <w:rsid w:val="009E1015"/>
    <w:rsid w:val="00A014BF"/>
    <w:rsid w:val="00A04B86"/>
    <w:rsid w:val="00A16B99"/>
    <w:rsid w:val="00A45E3F"/>
    <w:rsid w:val="00A947CC"/>
    <w:rsid w:val="00AB7661"/>
    <w:rsid w:val="00AF380D"/>
    <w:rsid w:val="00B53F04"/>
    <w:rsid w:val="00B81704"/>
    <w:rsid w:val="00C2058D"/>
    <w:rsid w:val="00C326C0"/>
    <w:rsid w:val="00C922D8"/>
    <w:rsid w:val="00CE3C2D"/>
    <w:rsid w:val="00DE1495"/>
    <w:rsid w:val="00E05543"/>
    <w:rsid w:val="00E7072C"/>
    <w:rsid w:val="00EA2411"/>
    <w:rsid w:val="00EA52B6"/>
    <w:rsid w:val="00EC1637"/>
    <w:rsid w:val="00F036AB"/>
    <w:rsid w:val="00F773AF"/>
    <w:rsid w:val="00FC54DD"/>
    <w:rsid w:val="1DFF65F2"/>
    <w:rsid w:val="2FBDF973"/>
    <w:rsid w:val="3BFEE5AE"/>
    <w:rsid w:val="3D863EB6"/>
    <w:rsid w:val="3F8FC690"/>
    <w:rsid w:val="577FAC94"/>
    <w:rsid w:val="6AF5C414"/>
    <w:rsid w:val="6CFA1D3C"/>
    <w:rsid w:val="6FEBC2D9"/>
    <w:rsid w:val="7EBB3F23"/>
    <w:rsid w:val="7F3A7962"/>
    <w:rsid w:val="7FB9A84B"/>
    <w:rsid w:val="7FBF9CA2"/>
    <w:rsid w:val="7FDD624B"/>
    <w:rsid w:val="7FFF6625"/>
    <w:rsid w:val="7FFF73F1"/>
    <w:rsid w:val="9AF6C13D"/>
    <w:rsid w:val="B36FFA50"/>
    <w:rsid w:val="BBFEB8D9"/>
    <w:rsid w:val="BFEF95CC"/>
    <w:rsid w:val="D79A193C"/>
    <w:rsid w:val="DF9D60E9"/>
    <w:rsid w:val="DFEF7C36"/>
    <w:rsid w:val="DFFB2326"/>
    <w:rsid w:val="E6FF81C8"/>
    <w:rsid w:val="E77F1837"/>
    <w:rsid w:val="E9AFD531"/>
    <w:rsid w:val="EFB30A04"/>
    <w:rsid w:val="EFFD72F0"/>
    <w:rsid w:val="F6D775D8"/>
    <w:rsid w:val="F9ACFB64"/>
    <w:rsid w:val="FA5F213E"/>
    <w:rsid w:val="FA9A65F9"/>
    <w:rsid w:val="FB9F367E"/>
    <w:rsid w:val="FDDF613F"/>
    <w:rsid w:val="FED70975"/>
    <w:rsid w:val="FF7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48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  <w:style w:type="paragraph" w:customStyle="1" w:styleId="38">
    <w:name w:val="无间隔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default" w:ascii="等线" w:hAnsi="等线" w:eastAsia="等线" w:cs="等线"/>
      <w:kern w:val="2"/>
      <w:sz w:val="22"/>
      <w:szCs w:val="22"/>
      <w:lang w:val="en-US" w:eastAsia="zh-CN" w:bidi="ar"/>
    </w:rPr>
  </w:style>
  <w:style w:type="paragraph" w:styleId="39">
    <w:name w:val="No Spacing"/>
    <w:qFormat/>
    <w:uiPriority w:val="1"/>
    <w:pPr>
      <w:widowControl w:val="0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479</Words>
  <Characters>2731</Characters>
  <Lines>1</Lines>
  <Paragraphs>1</Paragraphs>
  <TotalTime>0</TotalTime>
  <ScaleCrop>false</ScaleCrop>
  <LinksUpToDate>false</LinksUpToDate>
  <CharactersWithSpaces>3204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2025-04-09T23:11:00Z</dcterms:created>
  <dc:creator>强 李</dc:creator>
  <cp:lastModifiedBy>都柏林</cp:lastModifiedBy>
  <dcterms:modified xsi:type="dcterms:W3CDTF">2026-03-31T20:13:45Z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1A24625F0DD46E05766C89687E7C751F_42</vt:lpwstr>
  </property>
</Properties>
</file>