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drawing>
          <wp:inline distT="0" distB="0" distL="0" distR="0" wp14:anchorId="104E39AD" wp14:editId="24076583">
            <wp:extent cx="5274310" cy="4315460"/>
            <wp:effectExtent l="0" t="0" r="0" b="2540"/>
            <wp:docPr id="49878554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85541" name="图片 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S1 Particle size distribution of NK-NVs loaded with SRB by different methods (A) or ratios (B).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drawing>
          <wp:inline distT="0" distB="0" distL="0" distR="0" wp14:anchorId="4ACE06E4" wp14:editId="5CEB2A6C">
            <wp:extent cx="5274310" cy="2317750"/>
            <wp:effectExtent l="0" t="0" r="0" b="6350"/>
            <wp:docPr id="12159713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971328" name="图片 1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S2 Evaluation of SRB sensitivity in HepG2 (A) and SNU398 cells (B).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lastRenderedPageBreak/>
        <w:drawing>
          <wp:inline distT="0" distB="0" distL="0" distR="0" wp14:anchorId="44C76A05" wp14:editId="313B142A">
            <wp:extent cx="5274310" cy="2529205"/>
            <wp:effectExtent l="0" t="0" r="0" b="0"/>
            <wp:docPr id="35290747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07474" name="图片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S3 Characterization of the drug-resistant phenotype in Huh7/SR cells. (A) The expression level of ABCB1 in Huh7/SR cells was detected at the mRNA level. (B) Western blot analysis of P-glycoprotein expression in Huh7/SR cells.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drawing>
          <wp:inline distT="0" distB="0" distL="0" distR="0" wp14:anchorId="42815AA3" wp14:editId="777EEEB6">
            <wp:extent cx="5274310" cy="3256915"/>
            <wp:effectExtent l="0" t="0" r="0" b="0"/>
            <wp:docPr id="89553505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35059" name="图片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S4 Effect of NK-NVs. (A) Analysis of gene expression changes in major categories based on KEGG data from NK and NK-NVs. (B) Cells (SNU398, BXPC-3, MBA-MD-231, SKOV3) viabilities after treated with free SRB at different concentrations.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lastRenderedPageBreak/>
        <w:drawing>
          <wp:inline distT="0" distB="0" distL="0" distR="0" wp14:anchorId="5B98B19A" wp14:editId="0BE259F5">
            <wp:extent cx="5274310" cy="8178165"/>
            <wp:effectExtent l="0" t="0" r="0" b="635"/>
            <wp:docPr id="438294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29413" name="图片 1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7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Figure S5 In vitro anticancer treatment. The killing efficacy of NK-NVs loaded with SRB using different methods (A) and ratios (B) against Huh7/SR cells. (C) The killing efficacy of N against </w:t>
      </w:r>
      <w:r>
        <w:rPr>
          <w:rFonts w:ascii="Times New Roman" w:hAnsi="Times New Roman" w:cs="Times New Roman"/>
          <w:szCs w:val="21"/>
        </w:rPr>
        <w:lastRenderedPageBreak/>
        <w:t>Huh7/SR cells at different doses and time points. (D-E) Viability of two drug-resistant cell lines (Huh7/SR, SNU398) following 48h exposure to graded concentrations of NK-NVs-SRB. (F) Effect of inhibiting NK-NVs-SRB internalization with MβCD on cell death.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drawing>
          <wp:inline distT="0" distB="0" distL="114300" distR="114300" wp14:anchorId="05A1CCE5" wp14:editId="2B3E2C35">
            <wp:extent cx="5269865" cy="1640205"/>
            <wp:effectExtent l="0" t="0" r="13335" b="10795"/>
            <wp:docPr id="6" name="图片 6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</w:t>
      </w:r>
      <w:r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Flow cytometric detection of NK-NVs-SRB-induced damage to normal hepatocytes</w:t>
      </w:r>
      <w:r>
        <w:rPr>
          <w:rFonts w:ascii="Times New Roman" w:hAnsi="Times New Roman" w:cs="Times New Roman"/>
          <w:szCs w:val="21"/>
        </w:rPr>
        <w:t>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drawing>
          <wp:inline distT="0" distB="0" distL="0" distR="0" wp14:anchorId="0B32BDE1" wp14:editId="34AB254C">
            <wp:extent cx="5274310" cy="4572000"/>
            <wp:effectExtent l="0" t="0" r="0" b="0"/>
            <wp:docPr id="140840954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09545" name="图片 1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</w:t>
      </w:r>
      <w:r>
        <w:rPr>
          <w:rFonts w:ascii="Times New Roman" w:hAnsi="Times New Roman" w:cs="Times New Roman" w:hint="eastAsia"/>
          <w:szCs w:val="21"/>
        </w:rPr>
        <w:t>7</w:t>
      </w:r>
      <w:r>
        <w:rPr>
          <w:rFonts w:ascii="Times New Roman" w:hAnsi="Times New Roman" w:cs="Times New Roman"/>
          <w:szCs w:val="21"/>
        </w:rPr>
        <w:t xml:space="preserve"> Detection of whether NK-NVs-SRB is recognized and extruded by the efflux protein Pgp via flow cytometry (A) and Western blot (B).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lastRenderedPageBreak/>
        <w:drawing>
          <wp:inline distT="0" distB="0" distL="0" distR="0" wp14:anchorId="24C2B62B" wp14:editId="5CD35621">
            <wp:extent cx="5274310" cy="4403725"/>
            <wp:effectExtent l="0" t="0" r="0" b="3175"/>
            <wp:docPr id="46373660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36607" name="图片 1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</w:t>
      </w:r>
      <w:r>
        <w:rPr>
          <w:rFonts w:ascii="Times New Roman" w:hAnsi="Times New Roman" w:cs="Times New Roman" w:hint="eastAsia"/>
          <w:szCs w:val="21"/>
        </w:rPr>
        <w:t>8</w:t>
      </w:r>
      <w:r>
        <w:rPr>
          <w:rFonts w:ascii="Times New Roman" w:hAnsi="Times New Roman" w:cs="Times New Roman"/>
          <w:szCs w:val="21"/>
        </w:rPr>
        <w:t xml:space="preserve"> Knockdown efficiency of </w:t>
      </w:r>
      <w:r>
        <w:rPr>
          <w:rFonts w:ascii="Times New Roman" w:hAnsi="Times New Roman" w:cs="Times New Roman" w:hint="eastAsia"/>
          <w:szCs w:val="21"/>
        </w:rPr>
        <w:t>AKT1</w:t>
      </w:r>
      <w:r>
        <w:rPr>
          <w:rFonts w:ascii="Times New Roman" w:hAnsi="Times New Roman" w:cs="Times New Roman"/>
          <w:szCs w:val="21"/>
        </w:rPr>
        <w:t xml:space="preserve"> in </w:t>
      </w:r>
      <w:r>
        <w:rPr>
          <w:rFonts w:ascii="Times New Roman" w:hAnsi="Times New Roman" w:cs="Times New Roman" w:hint="eastAsia"/>
          <w:szCs w:val="21"/>
        </w:rPr>
        <w:t>Huh7/SR.</w:t>
      </w:r>
      <w:r>
        <w:rPr>
          <w:rFonts w:ascii="Times New Roman" w:hAnsi="Times New Roman" w:cs="Times New Roman"/>
          <w:szCs w:val="21"/>
        </w:rPr>
        <w:t>(A) qRT-PCR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(B)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Western blot.</w:t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val="en-IN" w:eastAsia="en-IN"/>
        </w:rPr>
        <w:drawing>
          <wp:inline distT="0" distB="0" distL="0" distR="0" wp14:anchorId="329C06E8" wp14:editId="26C1C0BC">
            <wp:extent cx="5274310" cy="2077085"/>
            <wp:effectExtent l="0" t="0" r="0" b="5715"/>
            <wp:docPr id="177392332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23326" name="图片 1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69" w:rsidRDefault="00F11969" w:rsidP="00F11969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</w:t>
      </w:r>
      <w:r>
        <w:rPr>
          <w:rFonts w:ascii="Times New Roman" w:hAnsi="Times New Roman" w:cs="Times New Roman" w:hint="eastAsia"/>
          <w:szCs w:val="21"/>
        </w:rPr>
        <w:t>9</w:t>
      </w:r>
      <w:r>
        <w:rPr>
          <w:rFonts w:ascii="Times New Roman" w:hAnsi="Times New Roman" w:cs="Times New Roman"/>
          <w:szCs w:val="21"/>
        </w:rPr>
        <w:t xml:space="preserve"> Effect of the SRB and LY294002 combination on ferroptosis in Huh7/SR cells.</w:t>
      </w:r>
      <w:r>
        <w:rPr>
          <w:rFonts w:ascii="Times New Roman" w:hAnsi="Times New Roman" w:cs="Times New Roman" w:hint="eastAsia"/>
          <w:szCs w:val="21"/>
        </w:rPr>
        <w:t xml:space="preserve"> (A) Fe</w:t>
      </w:r>
      <w:r>
        <w:rPr>
          <w:rFonts w:ascii="Times New Roman" w:hAnsi="Times New Roman" w:cs="Times New Roman" w:hint="eastAsia"/>
          <w:szCs w:val="21"/>
          <w:vertAlign w:val="superscript"/>
        </w:rPr>
        <w:t>2+</w:t>
      </w:r>
      <w:r>
        <w:rPr>
          <w:rFonts w:ascii="Times New Roman" w:hAnsi="Times New Roman" w:cs="Times New Roman" w:hint="eastAsia"/>
          <w:szCs w:val="21"/>
        </w:rPr>
        <w:t>. (B) MDA.</w:t>
      </w:r>
    </w:p>
    <w:p w:rsidR="0014716A" w:rsidRDefault="00F11969">
      <w:bookmarkStart w:id="0" w:name="_GoBack"/>
      <w:bookmarkEnd w:id="0"/>
    </w:p>
    <w:sectPr w:rsidR="0014716A">
      <w:footerReference w:type="even" r:id="rId13"/>
      <w:footerReference w:type="default" r:id="rId14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"/>
    </w:sdtPr>
    <w:sdtEndPr>
      <w:rPr>
        <w:rStyle w:val="PageNumber"/>
      </w:rPr>
    </w:sdtEndPr>
    <w:sdtContent>
      <w:p w:rsidR="00302224" w:rsidRDefault="00F11969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02224" w:rsidRDefault="00F119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364485498"/>
    </w:sdtPr>
    <w:sdtEndPr>
      <w:rPr>
        <w:rStyle w:val="PageNumber"/>
      </w:rPr>
    </w:sdtEndPr>
    <w:sdtContent>
      <w:p w:rsidR="00302224" w:rsidRDefault="00F11969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:rsidR="00302224" w:rsidRDefault="00F1196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969"/>
    <w:rsid w:val="002D7A6C"/>
    <w:rsid w:val="002E2AF0"/>
    <w:rsid w:val="00F1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9958A-25F1-4A0A-9AC5-654BC5E10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969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119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11969"/>
    <w:rPr>
      <w:rFonts w:eastAsiaTheme="minorEastAsia"/>
      <w:kern w:val="2"/>
      <w:sz w:val="18"/>
      <w:szCs w:val="18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qFormat/>
    <w:rsid w:val="00F11969"/>
  </w:style>
  <w:style w:type="character" w:styleId="LineNumber">
    <w:name w:val="line number"/>
    <w:basedOn w:val="DefaultParagraphFont"/>
    <w:uiPriority w:val="99"/>
    <w:semiHidden/>
    <w:unhideWhenUsed/>
    <w:rsid w:val="00F1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fontTable" Target="fontTable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Varatharaj Sekar</dc:creator>
  <cp:keywords/>
  <dc:description/>
  <cp:lastModifiedBy>Varatharaj Sekar</cp:lastModifiedBy>
  <cp:revision>1</cp:revision>
  <dcterms:created xsi:type="dcterms:W3CDTF">2026-05-09T10:50:00Z</dcterms:created>
  <dcterms:modified xsi:type="dcterms:W3CDTF">2026-05-09T10:51:00Z</dcterms:modified>
</cp:coreProperties>
</file>