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0F59A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highlight w:val="none"/>
        </w:rPr>
      </w:pPr>
      <w:r>
        <w:rPr>
          <w:rFonts w:ascii="Times New Roman" w:hAnsi="Times New Roman" w:cs="Times New Roman"/>
          <w:b/>
          <w:color w:val="auto"/>
          <w:sz w:val="24"/>
          <w:highlight w:val="none"/>
        </w:rPr>
        <w:t>Engineer</w:t>
      </w:r>
      <w:r>
        <w:rPr>
          <w:rFonts w:hint="eastAsia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ed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 xml:space="preserve"> Neuronal Exosomes Mediat</w:t>
      </w:r>
      <w:r>
        <w:rPr>
          <w:rFonts w:hint="eastAsia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e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 xml:space="preserve"> α-Synuclein Clearance to </w:t>
      </w:r>
      <w:r>
        <w:rPr>
          <w:rFonts w:hint="eastAsia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Ameliorate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 xml:space="preserve"> Parkinson</w:t>
      </w:r>
      <w:r>
        <w:rPr>
          <w:rFonts w:ascii="Times New Roman" w:hAnsi="Times New Roman" w:cs="Times New Roman"/>
          <w:sz w:val="24"/>
        </w:rPr>
        <w:t>’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>s Disease</w:t>
      </w:r>
    </w:p>
    <w:p w14:paraId="7D43D7A9">
      <w:pPr>
        <w:spacing w:line="360" w:lineRule="auto"/>
        <w:rPr>
          <w:rFonts w:cstheme="minorHAnsi"/>
          <w:color w:val="auto"/>
          <w:sz w:val="24"/>
          <w:highlight w:val="none"/>
        </w:rPr>
      </w:pPr>
    </w:p>
    <w:p w14:paraId="12CF8C10">
      <w:pPr>
        <w:spacing w:line="360" w:lineRule="auto"/>
        <w:rPr>
          <w:rFonts w:ascii="Times New Roman" w:hAnsi="Times New Roman"/>
          <w:color w:val="auto"/>
          <w:szCs w:val="21"/>
          <w:highlight w:val="none"/>
        </w:rPr>
      </w:pP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Lufei Chen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1</w:t>
      </w:r>
      <w:r>
        <w:rPr>
          <w:rFonts w:ascii="Times New Roman" w:hAnsi="Times New Roman"/>
          <w:color w:val="auto"/>
          <w:szCs w:val="21"/>
          <w:highlight w:val="none"/>
          <w:vertAlign w:val="superscript"/>
        </w:rPr>
        <w:t>,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</w:rPr>
        <w:t>#</w:t>
      </w:r>
      <w:r>
        <w:rPr>
          <w:rFonts w:ascii="Times New Roman" w:hAnsi="Times New Roman"/>
          <w:color w:val="auto"/>
          <w:szCs w:val="21"/>
          <w:highlight w:val="none"/>
        </w:rPr>
        <w:t xml:space="preserve">, </w:t>
      </w:r>
      <w:r>
        <w:rPr>
          <w:rFonts w:hint="eastAsia" w:ascii="Times New Roman" w:hAnsi="Times New Roman"/>
          <w:color w:val="auto"/>
          <w:szCs w:val="21"/>
          <w:highlight w:val="none"/>
        </w:rPr>
        <w:t>Xiaoling Lin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1</w:t>
      </w:r>
      <w:r>
        <w:rPr>
          <w:rFonts w:ascii="Times New Roman" w:hAnsi="Times New Roman"/>
          <w:color w:val="auto"/>
          <w:szCs w:val="21"/>
          <w:highlight w:val="none"/>
          <w:vertAlign w:val="superscript"/>
        </w:rPr>
        <w:t>,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</w:rPr>
        <w:t>#</w:t>
      </w:r>
      <w:r>
        <w:rPr>
          <w:rFonts w:ascii="Times New Roman" w:hAnsi="Times New Roman"/>
          <w:color w:val="auto"/>
          <w:szCs w:val="21"/>
          <w:highlight w:val="none"/>
        </w:rPr>
        <w:t xml:space="preserve">, </w:t>
      </w:r>
      <w:r>
        <w:rPr>
          <w:rFonts w:hint="eastAsia" w:ascii="Times New Roman" w:hAnsi="Times New Roman"/>
          <w:color w:val="auto"/>
          <w:szCs w:val="21"/>
          <w:highlight w:val="none"/>
        </w:rPr>
        <w:t>Mingzhi Fu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</w:t>
      </w:r>
      <w:r>
        <w:rPr>
          <w:rFonts w:ascii="Times New Roman" w:hAnsi="Times New Roman"/>
          <w:color w:val="auto"/>
          <w:szCs w:val="21"/>
          <w:highlight w:val="none"/>
        </w:rPr>
        <w:t xml:space="preserve">, </w:t>
      </w:r>
      <w:r>
        <w:rPr>
          <w:rFonts w:hint="eastAsia" w:ascii="Times New Roman" w:hAnsi="Times New Roman"/>
          <w:color w:val="auto"/>
          <w:szCs w:val="21"/>
          <w:highlight w:val="none"/>
        </w:rPr>
        <w:t>Shenglang Chen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</w:t>
      </w:r>
      <w:r>
        <w:rPr>
          <w:rFonts w:ascii="Times New Roman" w:hAnsi="Times New Roman"/>
          <w:color w:val="auto"/>
          <w:szCs w:val="21"/>
          <w:highlight w:val="none"/>
        </w:rPr>
        <w:t xml:space="preserve">, </w:t>
      </w:r>
      <w:r>
        <w:rPr>
          <w:rFonts w:hint="eastAsia" w:ascii="Times New Roman" w:hAnsi="Times New Roman"/>
          <w:color w:val="auto"/>
          <w:szCs w:val="21"/>
          <w:highlight w:val="none"/>
        </w:rPr>
        <w:t>Zhexiao Yan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</w:t>
      </w:r>
      <w:r>
        <w:rPr>
          <w:rFonts w:ascii="Times New Roman" w:hAnsi="Times New Roman"/>
          <w:color w:val="auto"/>
          <w:szCs w:val="21"/>
          <w:highlight w:val="none"/>
        </w:rPr>
        <w:t xml:space="preserve">, </w:t>
      </w:r>
      <w:r>
        <w:rPr>
          <w:rFonts w:hint="eastAsia" w:ascii="Times New Roman" w:hAnsi="Times New Roman"/>
          <w:color w:val="auto"/>
          <w:szCs w:val="21"/>
          <w:highlight w:val="none"/>
        </w:rPr>
        <w:t>Yuelin Diao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</w:t>
      </w:r>
      <w:r>
        <w:rPr>
          <w:rFonts w:ascii="Times New Roman" w:hAnsi="Times New Roman"/>
          <w:color w:val="auto"/>
          <w:szCs w:val="21"/>
          <w:highlight w:val="none"/>
        </w:rPr>
        <w:t xml:space="preserve">, </w:t>
      </w:r>
      <w:r>
        <w:rPr>
          <w:rFonts w:hint="eastAsia" w:ascii="Times New Roman" w:hAnsi="Times New Roman"/>
          <w:color w:val="auto"/>
          <w:szCs w:val="21"/>
          <w:highlight w:val="none"/>
        </w:rPr>
        <w:t>Genyu Chen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1</w:t>
      </w:r>
      <w:r>
        <w:rPr>
          <w:rFonts w:ascii="Times New Roman" w:hAnsi="Times New Roman"/>
          <w:color w:val="auto"/>
          <w:szCs w:val="21"/>
          <w:highlight w:val="none"/>
          <w:vertAlign w:val="superscript"/>
        </w:rPr>
        <w:t>,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</w:t>
      </w:r>
      <w:r>
        <w:rPr>
          <w:rFonts w:ascii="Times New Roman" w:hAnsi="Times New Roman"/>
          <w:color w:val="auto"/>
          <w:szCs w:val="21"/>
          <w:highlight w:val="none"/>
        </w:rPr>
        <w:t xml:space="preserve">, </w:t>
      </w:r>
      <w:bookmarkStart w:id="0" w:name="_Hlk120715014"/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Zichen Huang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, Yan Sun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2,7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/>
          <w:color w:val="auto"/>
          <w:szCs w:val="21"/>
          <w:highlight w:val="none"/>
        </w:rPr>
        <w:t>Yaxin Lin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, Zucheng Ye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2</w:t>
      </w:r>
      <w:r>
        <w:rPr>
          <w:rFonts w:ascii="Times New Roman" w:hAnsi="Times New Roman"/>
          <w:color w:val="auto"/>
          <w:szCs w:val="21"/>
          <w:highlight w:val="none"/>
        </w:rPr>
        <w:t xml:space="preserve">*, </w:t>
      </w:r>
      <w:r>
        <w:rPr>
          <w:rFonts w:hint="eastAsia" w:ascii="Times New Roman" w:hAnsi="Times New Roman"/>
          <w:color w:val="auto"/>
          <w:szCs w:val="21"/>
          <w:highlight w:val="none"/>
        </w:rPr>
        <w:t>Ying Zhou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3</w:t>
      </w:r>
      <w:r>
        <w:rPr>
          <w:rFonts w:ascii="Times New Roman" w:hAnsi="Times New Roman"/>
          <w:color w:val="auto"/>
          <w:szCs w:val="21"/>
          <w:highlight w:val="none"/>
          <w:vertAlign w:val="superscript"/>
        </w:rPr>
        <w:t>,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4</w:t>
      </w:r>
      <w:r>
        <w:rPr>
          <w:rFonts w:ascii="Times New Roman" w:hAnsi="Times New Roman"/>
          <w:color w:val="auto"/>
          <w:szCs w:val="21"/>
          <w:highlight w:val="none"/>
        </w:rPr>
        <w:t xml:space="preserve">*, </w:t>
      </w:r>
      <w:bookmarkEnd w:id="0"/>
      <w:r>
        <w:rPr>
          <w:rFonts w:hint="eastAsia" w:ascii="Times New Roman" w:hAnsi="Times New Roman"/>
          <w:color w:val="auto"/>
          <w:szCs w:val="21"/>
          <w:highlight w:val="none"/>
        </w:rPr>
        <w:t>Qinyong Ye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1</w:t>
      </w:r>
      <w:r>
        <w:rPr>
          <w:rFonts w:ascii="Times New Roman" w:hAnsi="Times New Roman"/>
          <w:color w:val="auto"/>
          <w:szCs w:val="21"/>
          <w:highlight w:val="none"/>
          <w:vertAlign w:val="superscript"/>
        </w:rPr>
        <w:t>,</w:t>
      </w:r>
      <w:r>
        <w:rPr>
          <w:rFonts w:hint="eastAsia" w:ascii="Times New Roman" w:hAnsi="Times New Roman"/>
          <w:color w:val="auto"/>
          <w:szCs w:val="21"/>
          <w:highlight w:val="none"/>
          <w:vertAlign w:val="superscript"/>
          <w:lang w:val="en-US" w:eastAsia="zh-CN"/>
        </w:rPr>
        <w:t>5,6</w:t>
      </w:r>
      <w:r>
        <w:rPr>
          <w:rFonts w:ascii="Times New Roman" w:hAnsi="Times New Roman"/>
          <w:color w:val="auto"/>
          <w:szCs w:val="21"/>
          <w:highlight w:val="none"/>
        </w:rPr>
        <w:t>*</w:t>
      </w:r>
    </w:p>
    <w:p w14:paraId="70B150E8">
      <w:pPr>
        <w:spacing w:line="360" w:lineRule="auto"/>
        <w:rPr>
          <w:rFonts w:ascii="Times New Roman" w:hAnsi="Times New Roman"/>
          <w:b/>
          <w:bCs/>
          <w:color w:val="auto"/>
          <w:szCs w:val="21"/>
          <w:highlight w:val="none"/>
        </w:rPr>
      </w:pPr>
    </w:p>
    <w:p w14:paraId="3F7CC751">
      <w:pPr>
        <w:spacing w:line="360" w:lineRule="auto"/>
        <w:rPr>
          <w:rFonts w:hint="eastAsia" w:ascii="Times New Roman" w:hAnsi="Times New Roman" w:eastAsiaTheme="minorEastAsia"/>
          <w:color w:val="auto"/>
          <w:szCs w:val="21"/>
          <w:highlight w:val="none"/>
          <w:lang w:val="en-US" w:eastAsia="zh-CN"/>
        </w:rPr>
      </w:pPr>
      <w:r>
        <w:rPr>
          <w:rFonts w:ascii="Times New Roman" w:hAnsi="Times New Roman"/>
          <w:color w:val="auto"/>
          <w:szCs w:val="21"/>
          <w:highlight w:val="none"/>
        </w:rPr>
        <w:t xml:space="preserve">1. </w:t>
      </w:r>
      <w:r>
        <w:rPr>
          <w:rFonts w:hint="eastAsia" w:ascii="Times New Roman" w:hAnsi="Times New Roman"/>
          <w:color w:val="auto"/>
          <w:szCs w:val="21"/>
          <w:highlight w:val="none"/>
        </w:rPr>
        <w:t>Department of Neurology, Fujian Medical University Union Hospital, Fuzhou, 350001, China</w:t>
      </w: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.</w:t>
      </w:r>
    </w:p>
    <w:p w14:paraId="2BD54D75">
      <w:pPr>
        <w:spacing w:line="360" w:lineRule="auto"/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</w:pP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2. Fujian Provincial Key Laboratory of Brain Aging and Neurodegenerative Diseases, School of Basic Medical Sciences, Fujian Medical University, Fuzhou, 350122, China.</w:t>
      </w:r>
    </w:p>
    <w:p w14:paraId="5BC2F92A">
      <w:pPr>
        <w:spacing w:line="360" w:lineRule="auto"/>
        <w:rPr>
          <w:rFonts w:hint="default" w:ascii="Times New Roman" w:hAnsi="Times New Roman"/>
          <w:color w:val="auto"/>
          <w:szCs w:val="21"/>
          <w:highlight w:val="none"/>
          <w:lang w:val="en-US" w:eastAsia="zh-CN"/>
        </w:rPr>
      </w:pP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3. College of Biological Science and Engineering, Fuzhou University, Fuzhou, 350108, China.</w:t>
      </w:r>
    </w:p>
    <w:p w14:paraId="301095A7">
      <w:pPr>
        <w:spacing w:line="360" w:lineRule="auto"/>
        <w:rPr>
          <w:rFonts w:ascii="Times New Roman" w:hAnsi="Times New Roman"/>
          <w:color w:val="auto"/>
          <w:szCs w:val="21"/>
          <w:highlight w:val="none"/>
        </w:rPr>
      </w:pP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4</w:t>
      </w:r>
      <w:r>
        <w:rPr>
          <w:rFonts w:ascii="Times New Roman" w:hAnsi="Times New Roman"/>
          <w:color w:val="auto"/>
          <w:szCs w:val="21"/>
          <w:highlight w:val="none"/>
        </w:rPr>
        <w:t xml:space="preserve">. CAS Key Laboratory of Standardization and Measurement for Nanotechnology, </w:t>
      </w:r>
      <w:bookmarkStart w:id="1" w:name="_Hlk120714962"/>
      <w:r>
        <w:rPr>
          <w:rFonts w:ascii="Times New Roman" w:hAnsi="Times New Roman"/>
          <w:color w:val="auto"/>
          <w:szCs w:val="21"/>
          <w:highlight w:val="none"/>
        </w:rPr>
        <w:t>CAS Key Laboratory for Biomedical Effects of Nanomaterials and Nanosafety, CAS Center for Excellence in Nanoscience, National Center for Nanoscience and Technology, Beijing 100190, China.</w:t>
      </w:r>
      <w:bookmarkEnd w:id="1"/>
    </w:p>
    <w:p w14:paraId="1612A71B">
      <w:pPr>
        <w:spacing w:line="360" w:lineRule="auto"/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</w:pP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5. Fujian Key Laboratory of Molecular Neurology and Institute of Neuroscience, Fujian Medical University, Fuzhou, 350004, China.</w:t>
      </w:r>
    </w:p>
    <w:p w14:paraId="13F558FA">
      <w:pPr>
        <w:spacing w:line="360" w:lineRule="auto"/>
        <w:rPr>
          <w:rFonts w:hint="default" w:ascii="Times New Roman" w:hAnsi="Times New Roman"/>
          <w:color w:val="auto"/>
          <w:szCs w:val="21"/>
          <w:highlight w:val="none"/>
          <w:lang w:val="en-US" w:eastAsia="zh-CN"/>
        </w:rPr>
      </w:pP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6. Clinical Research Center for Precision Diagnosis and Treatment of Neurological Diseases of Fujian Province, Fuzhou, 350001, China.</w:t>
      </w:r>
    </w:p>
    <w:p w14:paraId="42554775">
      <w:pPr>
        <w:spacing w:line="360" w:lineRule="auto"/>
        <w:rPr>
          <w:rFonts w:hint="default" w:ascii="Times New Roman" w:hAnsi="Times New Roman" w:eastAsiaTheme="minorEastAsia"/>
          <w:color w:val="auto"/>
          <w:szCs w:val="21"/>
          <w:highlight w:val="none"/>
          <w:lang w:val="en-US" w:eastAsia="zh-CN"/>
        </w:rPr>
      </w:pPr>
      <w:r>
        <w:rPr>
          <w:rFonts w:hint="eastAsia" w:ascii="Times New Roman" w:hAnsi="Times New Roman"/>
          <w:color w:val="auto"/>
          <w:szCs w:val="21"/>
          <w:highlight w:val="none"/>
          <w:lang w:val="en-US" w:eastAsia="zh-CN"/>
        </w:rPr>
        <w:t>7. School of Basic Medical Sciences, Ningxia Medical University, Yinchuan 750004, China.</w:t>
      </w:r>
    </w:p>
    <w:p w14:paraId="430D8016">
      <w:pPr>
        <w:spacing w:line="360" w:lineRule="auto"/>
        <w:rPr>
          <w:rFonts w:ascii="Times New Roman" w:hAnsi="Times New Roman"/>
          <w:color w:val="auto"/>
          <w:szCs w:val="21"/>
          <w:highlight w:val="none"/>
        </w:rPr>
      </w:pPr>
    </w:p>
    <w:p w14:paraId="208760F0">
      <w:pPr>
        <w:spacing w:line="360" w:lineRule="auto"/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/>
          <w:color w:val="auto"/>
          <w:szCs w:val="21"/>
          <w:highlight w:val="none"/>
        </w:rPr>
        <w:t>#These authors contributed equally to this work.</w:t>
      </w:r>
    </w:p>
    <w:p w14:paraId="4AF80C54">
      <w:pPr>
        <w:spacing w:line="360" w:lineRule="auto"/>
        <w:rPr>
          <w:rFonts w:ascii="Times New Roman" w:hAnsi="Times New Roman"/>
          <w:color w:val="auto"/>
          <w:szCs w:val="21"/>
          <w:highlight w:val="none"/>
        </w:rPr>
      </w:pPr>
    </w:p>
    <w:p w14:paraId="764DEACC">
      <w:pPr>
        <w:spacing w:line="360" w:lineRule="auto"/>
        <w:rPr>
          <w:rFonts w:ascii="Times New Roman" w:hAnsi="Times New Roman"/>
          <w:color w:val="auto"/>
          <w:szCs w:val="21"/>
          <w:highlight w:val="none"/>
        </w:rPr>
      </w:pPr>
      <w:r>
        <w:rPr>
          <w:rFonts w:ascii="Times New Roman" w:hAnsi="Times New Roman"/>
          <w:b/>
          <w:bCs/>
          <w:szCs w:val="21"/>
        </w:rPr>
        <w:t xml:space="preserve">* Corresponding authors: </w:t>
      </w:r>
      <w:r>
        <w:rPr>
          <w:rFonts w:ascii="Times New Roman" w:hAnsi="Times New Roman"/>
          <w:szCs w:val="21"/>
        </w:rPr>
        <w:t xml:space="preserve">Email: </w:t>
      </w:r>
      <w:r>
        <w:rPr>
          <w:rFonts w:hint="eastAsia" w:ascii="Times New Roman" w:hAnsi="Times New Roman"/>
          <w:szCs w:val="21"/>
          <w:lang w:val="en-US" w:eastAsia="zh-CN"/>
        </w:rPr>
        <w:t>zhouying@fzu.edu.cn</w:t>
      </w:r>
      <w:r>
        <w:rPr>
          <w:rFonts w:ascii="Times New Roman" w:hAnsi="Times New Roman"/>
          <w:szCs w:val="21"/>
        </w:rPr>
        <w:t xml:space="preserve">; </w:t>
      </w:r>
      <w:bookmarkStart w:id="2" w:name="_Hlk120714982"/>
      <w:r>
        <w:rPr>
          <w:rFonts w:hint="eastAsia" w:ascii="Times New Roman" w:hAnsi="Times New Roman"/>
          <w:szCs w:val="21"/>
        </w:rPr>
        <w:t>zcye@fjmu.edu.cn</w:t>
      </w:r>
      <w:r>
        <w:rPr>
          <w:rFonts w:ascii="Times New Roman" w:hAnsi="Times New Roman"/>
          <w:szCs w:val="21"/>
        </w:rPr>
        <w:t xml:space="preserve">; </w:t>
      </w:r>
      <w:bookmarkEnd w:id="2"/>
      <w:r>
        <w:rPr>
          <w:rFonts w:hint="eastAsia" w:ascii="Times New Roman" w:hAnsi="Times New Roman"/>
          <w:szCs w:val="21"/>
        </w:rPr>
        <w:t>unionqyye8@fjmu.edu.cn</w:t>
      </w:r>
    </w:p>
    <w:p w14:paraId="7A0C14B3">
      <w:pPr>
        <w:spacing w:line="360" w:lineRule="auto"/>
        <w:rPr>
          <w:rFonts w:ascii="Times New Roman" w:hAnsi="Times New Roman"/>
          <w:b/>
          <w:bCs/>
          <w:color w:val="auto"/>
          <w:szCs w:val="21"/>
          <w:highlight w:val="none"/>
        </w:rPr>
      </w:pPr>
    </w:p>
    <w:p w14:paraId="35D1D9EE">
      <w:pPr>
        <w:spacing w:line="360" w:lineRule="auto"/>
        <w:rPr>
          <w:rFonts w:cstheme="minorHAnsi"/>
          <w:sz w:val="24"/>
        </w:rPr>
      </w:pPr>
    </w:p>
    <w:p w14:paraId="5E29A211">
      <w:pPr>
        <w:spacing w:line="360" w:lineRule="auto"/>
        <w:rPr>
          <w:rFonts w:cstheme="minorHAnsi"/>
          <w:sz w:val="24"/>
        </w:rPr>
      </w:pPr>
    </w:p>
    <w:p w14:paraId="6EAF06C6">
      <w:pPr>
        <w:jc w:val="center"/>
      </w:pPr>
    </w:p>
    <w:p w14:paraId="0489EB93">
      <w:pPr>
        <w:jc w:val="center"/>
      </w:pPr>
    </w:p>
    <w:p w14:paraId="39F2F07A">
      <w:pPr>
        <w:jc w:val="center"/>
      </w:pPr>
    </w:p>
    <w:p w14:paraId="53B41B43">
      <w:pPr>
        <w:jc w:val="center"/>
      </w:pPr>
      <w:r>
        <w:drawing>
          <wp:inline distT="0" distB="0" distL="0" distR="0">
            <wp:extent cx="5274310" cy="164147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80AD1"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1"/>
        </w:rPr>
        <w:t>Fig</w:t>
      </w:r>
      <w:r>
        <w:rPr>
          <w:rFonts w:hint="eastAsia" w:ascii="Times New Roman" w:hAnsi="Times New Roman"/>
          <w:b/>
          <w:bCs/>
          <w:sz w:val="24"/>
          <w:szCs w:val="21"/>
          <w:lang w:val="en-US" w:eastAsia="zh-CN"/>
        </w:rPr>
        <w:t>.</w:t>
      </w:r>
      <w:r>
        <w:rPr>
          <w:rFonts w:ascii="Times New Roman" w:hAnsi="Times New Roman"/>
          <w:b/>
          <w:bCs/>
          <w:sz w:val="24"/>
          <w:szCs w:val="21"/>
        </w:rPr>
        <w:t xml:space="preserve"> S1</w:t>
      </w:r>
      <w:r>
        <w:rPr>
          <w:rFonts w:ascii="Times New Roman" w:hAnsi="Times New Roman"/>
          <w:sz w:val="24"/>
          <w:szCs w:val="21"/>
        </w:rPr>
        <w:t xml:space="preserve"> PQQ reverses H</w:t>
      </w:r>
      <w:r>
        <w:rPr>
          <w:rFonts w:ascii="Times New Roman" w:hAnsi="Times New Roman"/>
          <w:sz w:val="24"/>
          <w:szCs w:val="21"/>
          <w:vertAlign w:val="subscript"/>
        </w:rPr>
        <w:t>2</w:t>
      </w:r>
      <w:r>
        <w:rPr>
          <w:rFonts w:ascii="Times New Roman" w:hAnsi="Times New Roman"/>
          <w:sz w:val="24"/>
          <w:szCs w:val="21"/>
        </w:rPr>
        <w:t>O</w:t>
      </w:r>
      <w:r>
        <w:rPr>
          <w:rFonts w:ascii="Times New Roman" w:hAnsi="Times New Roman"/>
          <w:sz w:val="24"/>
          <w:szCs w:val="21"/>
          <w:vertAlign w:val="subscript"/>
        </w:rPr>
        <w:t>2</w:t>
      </w:r>
      <w:r>
        <w:rPr>
          <w:rFonts w:ascii="Times New Roman" w:hAnsi="Times New Roman"/>
          <w:sz w:val="24"/>
          <w:szCs w:val="21"/>
        </w:rPr>
        <w:t>-induced oxidative stress. (</w:t>
      </w:r>
      <w:r>
        <w:rPr>
          <w:rFonts w:ascii="Times New Roman" w:hAnsi="Times New Roman"/>
          <w:b/>
          <w:bCs/>
          <w:sz w:val="24"/>
          <w:szCs w:val="21"/>
        </w:rPr>
        <w:t>A</w:t>
      </w:r>
      <w:r>
        <w:rPr>
          <w:rFonts w:ascii="Times New Roman" w:hAnsi="Times New Roman"/>
          <w:sz w:val="24"/>
          <w:szCs w:val="21"/>
        </w:rPr>
        <w:t xml:space="preserve">) Cell viability of SH-SY5Y treated with different concentrations of H₂O₂ for 24 hours, as determined by CCK-8 assay. The half-maximal inhibitory concentration (IC₅₀) of H₂O₂ was 100 </w:t>
      </w:r>
      <w:r>
        <w:rPr>
          <w:rFonts w:hint="default" w:ascii="Times New Roman" w:hAnsi="Times New Roman" w:cs="Times New Roman"/>
          <w:sz w:val="24"/>
          <w:szCs w:val="21"/>
        </w:rPr>
        <w:t>μ</w:t>
      </w:r>
      <w:r>
        <w:rPr>
          <w:rFonts w:ascii="Times New Roman" w:hAnsi="Times New Roman"/>
          <w:sz w:val="24"/>
          <w:szCs w:val="21"/>
        </w:rPr>
        <w:t>M. (</w:t>
      </w:r>
      <w:r>
        <w:rPr>
          <w:rFonts w:ascii="Times New Roman" w:hAnsi="Times New Roman"/>
          <w:b/>
          <w:bCs/>
          <w:sz w:val="24"/>
          <w:szCs w:val="21"/>
        </w:rPr>
        <w:t>B</w:t>
      </w:r>
      <w:r>
        <w:rPr>
          <w:rFonts w:ascii="Times New Roman" w:hAnsi="Times New Roman"/>
          <w:sz w:val="24"/>
          <w:szCs w:val="21"/>
        </w:rPr>
        <w:t>) Cell viability of SH-SY5Y treated with different concentrations of PQQ combined with 100 μM H₂O₂.</w:t>
      </w:r>
    </w:p>
    <w:p w14:paraId="10859C79"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 w14:paraId="2CB2A080"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 w14:paraId="1DBAED11"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 w14:paraId="7BCAF843">
      <w:pPr>
        <w:jc w:val="center"/>
      </w:pPr>
      <w:r>
        <w:drawing>
          <wp:inline distT="0" distB="0" distL="114300" distR="114300">
            <wp:extent cx="3383915" cy="2520315"/>
            <wp:effectExtent l="0" t="0" r="0" b="0"/>
            <wp:docPr id="7" name="图片 1" descr="asyn结合曲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asyn结合曲线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00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SPRi measurement of the binding affinity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</w:rPr>
        <w:t>Pep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toward </w:t>
      </w:r>
      <w:r>
        <w:rPr>
          <w:rFonts w:hint="default" w:ascii="Times New Roman" w:hAnsi="Times New Roman" w:cs="Times New Roman"/>
          <w:sz w:val="24"/>
          <w:szCs w:val="24"/>
        </w:rPr>
        <w:t>α</w:t>
      </w:r>
      <w:r>
        <w:rPr>
          <w:rFonts w:hint="eastAsia" w:ascii="Times New Roman" w:hAnsi="Times New Roman" w:cs="Times New Roman"/>
          <w:sz w:val="24"/>
          <w:szCs w:val="24"/>
        </w:rPr>
        <w:t>Syn at various protein concentrations.</w:t>
      </w:r>
    </w:p>
    <w:p w14:paraId="1330AF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FBCB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1291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A4DD0B">
      <w:pPr>
        <w:jc w:val="center"/>
      </w:pPr>
      <w:r>
        <w:drawing>
          <wp:inline distT="0" distB="0" distL="0" distR="0">
            <wp:extent cx="5274310" cy="2426335"/>
            <wp:effectExtent l="0" t="0" r="254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23F24"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>
        <w:rPr>
          <w:rFonts w:ascii="Times New Roman" w:hAnsi="Times New Roman" w:cs="Times New Roman"/>
          <w:sz w:val="24"/>
          <w:szCs w:val="24"/>
        </w:rPr>
        <w:t xml:space="preserve"> The intervention effect of sPep on PD cell models.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Immunofluorescence staining shows the effect of sPep in </w:t>
      </w:r>
      <w:r>
        <w:rPr>
          <w:rFonts w:ascii="Times New Roman" w:hAnsi="Times New Roman" w:cs="Times New Roman"/>
          <w:i/>
          <w:sz w:val="24"/>
          <w:szCs w:val="24"/>
        </w:rPr>
        <w:t>SNCA</w:t>
      </w:r>
      <w:r>
        <w:rPr>
          <w:rFonts w:hint="eastAsia"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wild type cell models (another representative large-field image). (</w:t>
      </w:r>
      <w:r>
        <w:rPr>
          <w:rFonts w:ascii="Times New Roman" w:hAnsi="Times New Roman" w:cs="Times New Roman"/>
          <w:b/>
          <w:bCs/>
          <w:sz w:val="24"/>
          <w:szCs w:val="24"/>
        </w:rPr>
        <w:t>B, C</w:t>
      </w:r>
      <w:r>
        <w:rPr>
          <w:rFonts w:ascii="Times New Roman" w:hAnsi="Times New Roman" w:cs="Times New Roman"/>
          <w:sz w:val="24"/>
          <w:szCs w:val="24"/>
        </w:rPr>
        <w:t xml:space="preserve">) Western blot analysis detects the effect of sPep in </w:t>
      </w:r>
      <w:r>
        <w:rPr>
          <w:rFonts w:ascii="Times New Roman" w:hAnsi="Times New Roman" w:cs="Times New Roman"/>
          <w:i/>
          <w:sz w:val="24"/>
          <w:szCs w:val="24"/>
        </w:rPr>
        <w:t>SNCA</w:t>
      </w:r>
      <w:r>
        <w:rPr>
          <w:rFonts w:hint="eastAsia"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A53T mutant cell models, with corresponding quantitative statistical analysis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42B9A4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1358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0951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59352D">
      <w:pPr>
        <w:jc w:val="center"/>
      </w:pPr>
      <w:r>
        <w:drawing>
          <wp:inline distT="0" distB="0" distL="0" distR="0">
            <wp:extent cx="5274310" cy="1892300"/>
            <wp:effectExtent l="0" t="0" r="254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666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>
        <w:rPr>
          <w:rFonts w:ascii="Times New Roman" w:hAnsi="Times New Roman" w:cs="Times New Roman"/>
          <w:sz w:val="24"/>
          <w:szCs w:val="24"/>
        </w:rPr>
        <w:t xml:space="preserve"> Validation of the exosome content removal effect.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Coomassie brilliant blue staining results of proteins from the Exo and ultrasound-treated exosomes (Exo@S) after SDS-PAGE separation. (</w:t>
      </w:r>
      <w:r>
        <w:rPr>
          <w:rFonts w:ascii="Times New Roman" w:hAnsi="Times New Roman" w:cs="Times New Roman"/>
          <w:b/>
          <w:bCs/>
          <w:sz w:val="24"/>
          <w:szCs w:val="24"/>
        </w:rPr>
        <w:t>B, C</w:t>
      </w:r>
      <w:r>
        <w:rPr>
          <w:rFonts w:ascii="Times New Roman" w:hAnsi="Times New Roman" w:cs="Times New Roman"/>
          <w:sz w:val="24"/>
          <w:szCs w:val="24"/>
        </w:rPr>
        <w:t>) Quantification of total protein (detected by BCA assay) and total RNA (detected by Nanodrop) in the Exo and Exo@S groups.</w:t>
      </w:r>
    </w:p>
    <w:p w14:paraId="31570EB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E455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181C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F65DA8">
      <w:pPr>
        <w:spacing w:line="360" w:lineRule="auto"/>
        <w:jc w:val="center"/>
      </w:pPr>
      <w:r>
        <w:drawing>
          <wp:inline distT="0" distB="0" distL="114300" distR="114300">
            <wp:extent cx="4126865" cy="2447290"/>
            <wp:effectExtent l="0" t="0" r="0" b="0"/>
            <wp:docPr id="10" name="图片 1" descr="包封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包封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E70D5"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The encapsulation efficiency of EL@sPep/P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Lip@sPep/P</w:t>
      </w:r>
      <w:r>
        <w:rPr>
          <w:rFonts w:hint="eastAsia" w:ascii="Times New Roman" w:hAnsi="Times New Roman" w:cs="Times New Roman"/>
          <w:sz w:val="24"/>
          <w:szCs w:val="24"/>
        </w:rPr>
        <w:t xml:space="preserve"> for sPep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sz w:val="24"/>
          <w:szCs w:val="24"/>
        </w:rPr>
        <w:t>PQQ.</w:t>
      </w:r>
    </w:p>
    <w:p w14:paraId="66CAC762"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 w14:paraId="505D3824"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 w14:paraId="4EA9AC1D"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</w:p>
    <w:p w14:paraId="23B389D2">
      <w:pPr>
        <w:spacing w:line="360" w:lineRule="auto"/>
      </w:pPr>
      <w:r>
        <w:drawing>
          <wp:inline distT="0" distB="0" distL="114300" distR="114300">
            <wp:extent cx="5270500" cy="2610485"/>
            <wp:effectExtent l="0" t="0" r="6350" b="8890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4EFCB">
      <w:pPr>
        <w:spacing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</w:rPr>
        <w:t>elease profile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</w:rPr>
        <w:t xml:space="preserve"> of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sPep and PQQ from </w:t>
      </w:r>
      <w:r>
        <w:rPr>
          <w:rFonts w:hint="eastAsia" w:ascii="Times New Roman" w:hAnsi="Times New Roman" w:cs="Times New Roman"/>
          <w:sz w:val="24"/>
          <w:szCs w:val="24"/>
        </w:rPr>
        <w:t>EL@sPep/P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Lip@sPep/P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 w14:paraId="5D685E94"/>
    <w:p w14:paraId="776FF283"/>
    <w:p w14:paraId="2D7A98A3"/>
    <w:p w14:paraId="360B36AC">
      <w:pPr>
        <w:jc w:val="center"/>
      </w:pPr>
      <w:r>
        <w:drawing>
          <wp:inline distT="0" distB="0" distL="0" distR="0">
            <wp:extent cx="5274310" cy="4857115"/>
            <wp:effectExtent l="0" t="0" r="254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48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S7</w:t>
      </w:r>
      <w:r>
        <w:rPr>
          <w:rFonts w:ascii="Times New Roman" w:hAnsi="Times New Roman" w:cs="Times New Roman"/>
          <w:sz w:val="24"/>
          <w:szCs w:val="24"/>
        </w:rPr>
        <w:t xml:space="preserve"> Biodistribution of EL@sPep/P in major mouse organs. </w:t>
      </w:r>
      <w:r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) In vivo fluorescence imaging of brains from PD model mice </w:t>
      </w:r>
      <w:r>
        <w:rPr>
          <w:rFonts w:hint="eastAsia" w:ascii="Times New Roman" w:hAnsi="Times New Roman" w:cs="Times New Roman"/>
          <w:sz w:val="24"/>
        </w:rPr>
        <w:t>at</w:t>
      </w:r>
      <w:r>
        <w:rPr>
          <w:rFonts w:ascii="Times New Roman" w:hAnsi="Times New Roman" w:cs="Times New Roman"/>
          <w:sz w:val="24"/>
        </w:rPr>
        <w:t xml:space="preserve"> 1 h after intravenous injection of FITC-labeled EL@sPep/P. (</w:t>
      </w:r>
      <w:r>
        <w:rPr>
          <w:rFonts w:ascii="Times New Roman" w:hAnsi="Times New Roman" w:cs="Times New Roman"/>
          <w:b/>
          <w:bCs/>
          <w:sz w:val="24"/>
        </w:rPr>
        <w:t>B, C</w:t>
      </w:r>
      <w:r>
        <w:rPr>
          <w:rFonts w:ascii="Times New Roman" w:hAnsi="Times New Roman" w:cs="Times New Roman"/>
          <w:sz w:val="24"/>
        </w:rPr>
        <w:t xml:space="preserve">) </w:t>
      </w:r>
      <w:bookmarkStart w:id="3" w:name="_Hlk227121358"/>
      <w:r>
        <w:rPr>
          <w:rFonts w:ascii="Times New Roman" w:hAnsi="Times New Roman" w:cs="Times New Roman"/>
          <w:sz w:val="24"/>
        </w:rPr>
        <w:t>At 24 h after intravenous injection of FITC-labeled EL@sPep/P, ex vivo brain imaging and fluorescence quantification in the SN were performed in PD mouse models.</w:t>
      </w:r>
      <w:bookmarkEnd w:id="3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D, E</w:t>
      </w:r>
      <w:r>
        <w:rPr>
          <w:rFonts w:ascii="Times New Roman" w:hAnsi="Times New Roman" w:cs="Times New Roman"/>
          <w:sz w:val="24"/>
          <w:szCs w:val="24"/>
        </w:rPr>
        <w:t>) Fluorescence images and corresponding quantitative analysis of dissected organs (heart, liver, spleen, lung, kidney) were acquired at 24 h after intravenous injection of different Cy5.5-labeled EL@sPep/P formulations. 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 The percentage of radiant efficiency distributed in the brain relative to total major organs (brain, heart, liver, spleen, lung, kidney) was 2.14 ± 0.09% for the EL@sPep/P group and 0.73 ± 0.06% for the Free Cy5.5 group.</w:t>
      </w:r>
    </w:p>
    <w:p w14:paraId="007B9E83"/>
    <w:p w14:paraId="41D3E1EE"/>
    <w:p w14:paraId="11E2F5DA"/>
    <w:p w14:paraId="416CB51E">
      <w:r>
        <w:drawing>
          <wp:inline distT="0" distB="0" distL="0" distR="0">
            <wp:extent cx="5274310" cy="44843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1D7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Safety evaluation of different organs after different treatments.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 staining of heart, liver, spleen, lung, and kidney sections from animals treated with PBS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Start w:id="6" w:name="_GoBack"/>
      <w:bookmarkEnd w:id="6"/>
      <w:r>
        <w:rPr>
          <w:rFonts w:ascii="Times New Roman" w:hAnsi="Times New Roman" w:cs="Times New Roman"/>
          <w:sz w:val="24"/>
          <w:szCs w:val="24"/>
        </w:rPr>
        <w:t>(Ctrl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</w:t>
      </w:r>
      <w:r>
        <w:rPr>
          <w:rFonts w:ascii="Times New Roman" w:hAnsi="Times New Roman" w:cs="Times New Roman"/>
          <w:sz w:val="24"/>
          <w:szCs w:val="24"/>
        </w:rPr>
        <w:t>, sPep/P, Lip@sPep/P, or EL@sPep/P.</w:t>
      </w:r>
    </w:p>
    <w:p w14:paraId="57F3CA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2354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7B6C2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A67372">
      <w:pPr>
        <w:jc w:val="center"/>
      </w:pPr>
      <w:r>
        <w:drawing>
          <wp:inline distT="0" distB="0" distL="0" distR="0">
            <wp:extent cx="5274310" cy="3855720"/>
            <wp:effectExtent l="0" t="0" r="254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563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Behavioral tests and TH neuron analysis in normal control and AAV9 empty vector groups.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Statistical analysis of total movement distance in the open field test.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Time taken to descend from the top to the base in the pole test.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Quantitative analysis of TH-positive neurons in the mouse SN via immunofluorescence staining. (</w:t>
      </w:r>
      <w:r>
        <w:rPr>
          <w:rFonts w:ascii="Times New Roman" w:hAnsi="Times New Roman" w:cs="Times New Roman"/>
          <w:b/>
          <w:bCs/>
          <w:sz w:val="24"/>
          <w:szCs w:val="24"/>
        </w:rPr>
        <w:t>D, E</w:t>
      </w:r>
      <w:r>
        <w:rPr>
          <w:rFonts w:ascii="Times New Roman" w:hAnsi="Times New Roman" w:cs="Times New Roman"/>
          <w:sz w:val="24"/>
          <w:szCs w:val="24"/>
        </w:rPr>
        <w:t>) Western blot analysis of TH protein expression in the mouse SN and corresponding statistical analysis.</w:t>
      </w:r>
    </w:p>
    <w:p w14:paraId="44D3C5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045A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DBB6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E746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39255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A9B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Gait analysis of EL@sPep/P in PD model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mice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Gait parameters analyzed by the gait system, including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single stance,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swing speed,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movement speed, and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stride length.</w:t>
      </w:r>
    </w:p>
    <w:p w14:paraId="392A6276">
      <w:pPr>
        <w:spacing w:line="360" w:lineRule="auto"/>
      </w:pPr>
    </w:p>
    <w:p w14:paraId="72A9A326">
      <w:pPr>
        <w:spacing w:line="360" w:lineRule="auto"/>
      </w:pPr>
    </w:p>
    <w:p w14:paraId="520F6831">
      <w:pPr>
        <w:spacing w:line="360" w:lineRule="auto"/>
      </w:pPr>
    </w:p>
    <w:p w14:paraId="3B6B7E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19259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E95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GO enrichment analysis of oxidative stress response-related pathways.</w:t>
      </w:r>
    </w:p>
    <w:p w14:paraId="016952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1FA8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274310" cy="30937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F47A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Expression of oxidative stress and apoptosis-related proteins in </w:t>
      </w:r>
      <w:r>
        <w:rPr>
          <w:rFonts w:ascii="Times New Roman" w:hAnsi="Times New Roman" w:cs="Times New Roman"/>
          <w:sz w:val="24"/>
        </w:rPr>
        <w:t>the SN of PD mouse models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Immunofluorescence staining showed the expression of GPX4, Nrf2, and C-caspase8 in tissues.</w:t>
      </w:r>
    </w:p>
    <w:p w14:paraId="67975794">
      <w:pPr>
        <w:spacing w:line="360" w:lineRule="auto"/>
        <w:rPr>
          <w:rFonts w:ascii="Times New Roman" w:hAnsi="Times New Roman" w:cs="Times New Roman"/>
          <w:sz w:val="24"/>
        </w:rPr>
      </w:pPr>
    </w:p>
    <w:p w14:paraId="74461F57">
      <w:pPr>
        <w:spacing w:line="360" w:lineRule="auto"/>
        <w:rPr>
          <w:rFonts w:ascii="Times New Roman" w:hAnsi="Times New Roman" w:cs="Times New Roman"/>
          <w:sz w:val="24"/>
        </w:rPr>
      </w:pPr>
    </w:p>
    <w:p w14:paraId="4FCE25F4">
      <w:pPr>
        <w:spacing w:line="360" w:lineRule="auto"/>
        <w:rPr>
          <w:rFonts w:ascii="Times New Roman" w:hAnsi="Times New Roman" w:cs="Times New Roman"/>
          <w:sz w:val="24"/>
        </w:rPr>
      </w:pPr>
    </w:p>
    <w:p w14:paraId="7F820525">
      <w:pPr>
        <w:spacing w:line="360" w:lineRule="auto"/>
        <w:rPr>
          <w:rFonts w:ascii="Times New Roman" w:hAnsi="Times New Roman" w:cs="Times New Roman"/>
          <w:sz w:val="24"/>
        </w:rPr>
      </w:pPr>
    </w:p>
    <w:p w14:paraId="04DE13A0">
      <w:pPr>
        <w:spacing w:line="360" w:lineRule="auto"/>
        <w:rPr>
          <w:rFonts w:ascii="Times New Roman" w:hAnsi="Times New Roman" w:cs="Times New Roman"/>
          <w:sz w:val="24"/>
        </w:rPr>
      </w:pPr>
      <w:r>
        <w:drawing>
          <wp:inline distT="0" distB="0" distL="0" distR="0">
            <wp:extent cx="5274310" cy="213296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0AB68">
      <w:pPr>
        <w:spacing w:line="360" w:lineRule="auto"/>
        <w:rPr>
          <w:rFonts w:ascii="Times New Roman" w:hAnsi="Times New Roman" w:cs="Times New Roman"/>
          <w:sz w:val="24"/>
        </w:rPr>
      </w:pPr>
      <w:bookmarkStart w:id="4" w:name="OLE_LINK43"/>
      <w:bookmarkStart w:id="5" w:name="OLE_LINK44"/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13</w:t>
      </w:r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 xml:space="preserve"> Plasma GSH levels and GSH/GSSG ratio in PD mouse models under different treatments.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Biochemical assays were performed to measure the levels of (</w:t>
      </w: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sz w:val="24"/>
        </w:rPr>
        <w:t>) glutathione (GSH) and (</w:t>
      </w:r>
      <w:r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>) the ratio of reduced glutathione to oxidized glutathione (GSH/GSSG) in plasma samples from different groups. Data are presented as mean ± SD.</w:t>
      </w:r>
    </w:p>
    <w:p w14:paraId="6EAAC894">
      <w:pPr>
        <w:spacing w:line="360" w:lineRule="auto"/>
        <w:rPr>
          <w:rFonts w:ascii="Times New Roman" w:hAnsi="Times New Roman" w:cs="Times New Roman"/>
          <w:sz w:val="24"/>
        </w:rPr>
      </w:pPr>
      <w:r>
        <w:drawing>
          <wp:inline distT="0" distB="0" distL="0" distR="0">
            <wp:extent cx="5274310" cy="60369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3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C05C">
      <w:pPr>
        <w:spacing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Expression of JAK2/STAT3-related proteins in </w:t>
      </w:r>
      <w:r>
        <w:rPr>
          <w:rFonts w:ascii="Times New Roman" w:hAnsi="Times New Roman" w:cs="Times New Roman"/>
          <w:sz w:val="24"/>
        </w:rPr>
        <w:t>the SN of PD mouse models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Immunofluorescence staining showed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the expression of JAK2/STAT3 pathway-related proteins in tissue sections. (</w:t>
      </w:r>
      <w:r>
        <w:rPr>
          <w:rFonts w:ascii="Times New Roman" w:hAnsi="Times New Roman" w:cs="Times New Roman"/>
          <w:b/>
          <w:bCs/>
          <w:sz w:val="24"/>
          <w:szCs w:val="24"/>
        </w:rPr>
        <w:t>B-E</w:t>
      </w:r>
      <w:r>
        <w:rPr>
          <w:rFonts w:ascii="Times New Roman" w:hAnsi="Times New Roman" w:cs="Times New Roman"/>
          <w:sz w:val="24"/>
          <w:szCs w:val="24"/>
        </w:rPr>
        <w:t>) Corresponding quantitative analysis.</w:t>
      </w:r>
    </w:p>
    <w:p w14:paraId="2A57CB50">
      <w:pPr>
        <w:spacing w:line="360" w:lineRule="auto"/>
        <w:rPr>
          <w:rFonts w:ascii="Times New Roman" w:hAnsi="Times New Roman" w:cs="Times New Roman"/>
          <w:sz w:val="24"/>
        </w:rPr>
      </w:pPr>
      <w:r>
        <w:drawing>
          <wp:inline distT="0" distB="0" distL="0" distR="0">
            <wp:extent cx="5274310" cy="488823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8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F765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Expression of IL-related and SOCS1 proteins in </w:t>
      </w:r>
      <w:r>
        <w:rPr>
          <w:rFonts w:ascii="Times New Roman" w:hAnsi="Times New Roman" w:cs="Times New Roman"/>
          <w:sz w:val="24"/>
        </w:rPr>
        <w:t>the SN of PD model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mice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Immunofluorescence staining showed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the expression of IL-6, IL-22, and SOCS1 proteins in tissue sections. (</w:t>
      </w:r>
      <w:r>
        <w:rPr>
          <w:rFonts w:ascii="Times New Roman" w:hAnsi="Times New Roman" w:cs="Times New Roman"/>
          <w:b/>
          <w:bCs/>
          <w:sz w:val="24"/>
          <w:szCs w:val="24"/>
        </w:rPr>
        <w:t>B-D</w:t>
      </w:r>
      <w:r>
        <w:rPr>
          <w:rFonts w:ascii="Times New Roman" w:hAnsi="Times New Roman" w:cs="Times New Roman"/>
          <w:sz w:val="24"/>
          <w:szCs w:val="24"/>
        </w:rPr>
        <w:t>) Corresponding quantitative analysis.</w:t>
      </w:r>
    </w:p>
    <w:p w14:paraId="4DA37B35">
      <w:pPr>
        <w:spacing w:line="360" w:lineRule="auto"/>
        <w:jc w:val="center"/>
      </w:pPr>
    </w:p>
    <w:p w14:paraId="2B3E5879">
      <w:pPr>
        <w:spacing w:line="360" w:lineRule="auto"/>
        <w:jc w:val="center"/>
      </w:pPr>
    </w:p>
    <w:p w14:paraId="667BE730">
      <w:pPr>
        <w:spacing w:line="360" w:lineRule="auto"/>
        <w:jc w:val="center"/>
      </w:pPr>
    </w:p>
    <w:p w14:paraId="52FD6FC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4172585" cy="2113915"/>
            <wp:effectExtent l="0" t="0" r="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99897" cy="212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8893D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Plasma IL-6 </w:t>
      </w:r>
      <w:r>
        <w:rPr>
          <w:rFonts w:hint="eastAsia"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IL-10 in PD model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mice</w:t>
      </w:r>
      <w:r>
        <w:rPr>
          <w:rFonts w:ascii="Times New Roman" w:hAnsi="Times New Roman" w:cs="Times New Roman"/>
          <w:sz w:val="24"/>
          <w:szCs w:val="24"/>
        </w:rPr>
        <w:t xml:space="preserve"> under different treatments.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ELISA </w:t>
      </w:r>
      <w:r>
        <w:rPr>
          <w:rFonts w:ascii="Times New Roman" w:hAnsi="Times New Roman" w:cs="Times New Roman"/>
          <w:sz w:val="24"/>
        </w:rPr>
        <w:t>assays were performed to measure the levels of (</w:t>
      </w:r>
      <w:r>
        <w:rPr>
          <w:rFonts w:ascii="Times New Roman" w:hAnsi="Times New Roman" w:cs="Times New Roman"/>
          <w:b/>
          <w:bCs/>
          <w:sz w:val="24"/>
        </w:rPr>
        <w:t>A</w:t>
      </w:r>
      <w:r>
        <w:rPr>
          <w:rFonts w:ascii="Times New Roman" w:hAnsi="Times New Roman" w:cs="Times New Roman"/>
          <w:sz w:val="24"/>
        </w:rPr>
        <w:t>) IL-6 and (</w:t>
      </w:r>
      <w:r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>) IL-10 in plasma samples from different groups. Data are presented as mean ± SEM.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CB"/>
    <w:rsid w:val="00002B7C"/>
    <w:rsid w:val="00040612"/>
    <w:rsid w:val="001D6C69"/>
    <w:rsid w:val="00292B57"/>
    <w:rsid w:val="002A7C80"/>
    <w:rsid w:val="002E3C34"/>
    <w:rsid w:val="003E119F"/>
    <w:rsid w:val="00421FCA"/>
    <w:rsid w:val="00601D8F"/>
    <w:rsid w:val="006D30CB"/>
    <w:rsid w:val="007054E6"/>
    <w:rsid w:val="007319A2"/>
    <w:rsid w:val="00834B6A"/>
    <w:rsid w:val="008C4EC7"/>
    <w:rsid w:val="009D5200"/>
    <w:rsid w:val="009D7E6D"/>
    <w:rsid w:val="00A147EF"/>
    <w:rsid w:val="00B50A76"/>
    <w:rsid w:val="00D60793"/>
    <w:rsid w:val="08F276A7"/>
    <w:rsid w:val="145E08A8"/>
    <w:rsid w:val="1C1853A5"/>
    <w:rsid w:val="1CD30864"/>
    <w:rsid w:val="20EE66D7"/>
    <w:rsid w:val="28D95F63"/>
    <w:rsid w:val="2E3A0AAE"/>
    <w:rsid w:val="309311EA"/>
    <w:rsid w:val="31CF21CA"/>
    <w:rsid w:val="3C4E07C9"/>
    <w:rsid w:val="3DAF0264"/>
    <w:rsid w:val="3E39642D"/>
    <w:rsid w:val="444B7B68"/>
    <w:rsid w:val="479F13CD"/>
    <w:rsid w:val="4FE60631"/>
    <w:rsid w:val="51F43E8D"/>
    <w:rsid w:val="5EE17FB7"/>
    <w:rsid w:val="60914704"/>
    <w:rsid w:val="6D3E6330"/>
    <w:rsid w:val="70893AA1"/>
    <w:rsid w:val="7A41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817</Words>
  <Characters>4781</Characters>
  <Lines>12</Lines>
  <Paragraphs>3</Paragraphs>
  <TotalTime>0</TotalTime>
  <ScaleCrop>false</ScaleCrop>
  <LinksUpToDate>false</LinksUpToDate>
  <CharactersWithSpaces>5571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2026-02-07T16:27:00Z</dcterms:created>
  <dc:creator>HP</dc:creator>
  <cp:lastModifiedBy>WL</cp:lastModifiedBy>
  <dcterms:modified xsi:type="dcterms:W3CDTF">2026-05-03T10:34:00Z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eyJoZGlkIjoiZWZlMzVmNjNkODFiOGI2YmM5ODMzOWY3OWNkOTU4YzAiLCJ1c2VySWQiOiIzMDYyODE4ODgifQ==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7DA3573164B243C48E7E0AFBC09B3D2C_12</vt:lpwstr>
  </property>
</Properties>
</file>