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1EBFE0" w14:textId="77777777" w:rsidR="009E1F78" w:rsidRPr="0021416C" w:rsidRDefault="00000000">
      <w:pPr>
        <w:widowControl/>
        <w:spacing w:after="160" w:line="278" w:lineRule="auto"/>
        <w:jc w:val="left"/>
        <w:rPr>
          <w:rFonts w:ascii="Times New Roman" w:hAnsi="Times New Roman"/>
          <w:b/>
          <w:bCs/>
          <w:sz w:val="28"/>
          <w:szCs w:val="28"/>
        </w:rPr>
      </w:pPr>
      <w:r w:rsidRPr="0021416C">
        <w:rPr>
          <w:rFonts w:ascii="Times New Roman" w:hAnsi="Times New Roman" w:hint="eastAsia"/>
          <w:b/>
          <w:bCs/>
          <w:sz w:val="28"/>
          <w:szCs w:val="28"/>
        </w:rPr>
        <w:t>Supporting Information for</w:t>
      </w:r>
    </w:p>
    <w:p w14:paraId="7E920828" w14:textId="7E57E342" w:rsidR="009E1F78" w:rsidRPr="0021416C" w:rsidRDefault="00000000">
      <w:pPr>
        <w:spacing w:line="360" w:lineRule="auto"/>
        <w:jc w:val="center"/>
        <w:rPr>
          <w:rFonts w:ascii="Times New Roman" w:hAnsi="Times New Roman" w:cs="Times New Roman"/>
          <w:sz w:val="28"/>
          <w:szCs w:val="28"/>
        </w:rPr>
      </w:pPr>
      <w:r w:rsidRPr="0021416C">
        <w:rPr>
          <w:rFonts w:ascii="Times New Roman" w:hAnsi="Times New Roman" w:cs="Times New Roman"/>
          <w:sz w:val="28"/>
          <w:szCs w:val="28"/>
        </w:rPr>
        <w:t>Rhein</w:t>
      </w:r>
      <w:r w:rsidRPr="0021416C">
        <w:rPr>
          <w:rFonts w:ascii="Times New Roman" w:hAnsi="Times New Roman" w:cs="Times New Roman" w:hint="eastAsia"/>
          <w:sz w:val="28"/>
          <w:szCs w:val="28"/>
        </w:rPr>
        <w:t>-</w:t>
      </w:r>
      <w:r w:rsidRPr="0021416C">
        <w:rPr>
          <w:rFonts w:ascii="Times New Roman" w:hAnsi="Times New Roman" w:cs="Times New Roman"/>
          <w:sz w:val="28"/>
          <w:szCs w:val="28"/>
        </w:rPr>
        <w:t>Mn Coordination Nanomedicine for Peritoneal Metastatic</w:t>
      </w:r>
      <w:r w:rsidR="00646A84">
        <w:rPr>
          <w:rFonts w:ascii="Times New Roman" w:hAnsi="Times New Roman" w:cs="Times New Roman" w:hint="eastAsia"/>
          <w:sz w:val="28"/>
          <w:szCs w:val="28"/>
        </w:rPr>
        <w:t xml:space="preserve"> </w:t>
      </w:r>
      <w:r w:rsidRPr="0021416C">
        <w:rPr>
          <w:rFonts w:ascii="Times New Roman" w:hAnsi="Times New Roman" w:cs="Times New Roman"/>
          <w:sz w:val="28"/>
          <w:szCs w:val="28"/>
        </w:rPr>
        <w:t>Colorectal Cancer: Synergistic Mitochondrial Targeting, Immunogenic Cell Death, and Reverses Immunosuppression</w:t>
      </w:r>
    </w:p>
    <w:p w14:paraId="434FE041" w14:textId="77777777" w:rsidR="009E1F78" w:rsidRPr="0021416C" w:rsidRDefault="009E1F78">
      <w:pPr>
        <w:spacing w:line="360" w:lineRule="auto"/>
        <w:rPr>
          <w:rFonts w:ascii="Times New Roman" w:hAnsi="Times New Roman" w:cs="Times New Roman"/>
          <w:sz w:val="28"/>
          <w:szCs w:val="28"/>
        </w:rPr>
      </w:pPr>
    </w:p>
    <w:p w14:paraId="6A5AE744" w14:textId="3BC68442" w:rsidR="009E1F78" w:rsidRPr="0021416C" w:rsidRDefault="00000000">
      <w:pPr>
        <w:spacing w:line="360" w:lineRule="auto"/>
        <w:rPr>
          <w:rFonts w:ascii="Times New Roman" w:hAnsi="Times New Roman" w:cs="Times New Roman"/>
          <w:sz w:val="24"/>
          <w:szCs w:val="24"/>
        </w:rPr>
      </w:pPr>
      <w:r w:rsidRPr="0021416C">
        <w:rPr>
          <w:rFonts w:ascii="Times New Roman" w:hAnsi="Times New Roman" w:cs="Times New Roman"/>
          <w:sz w:val="24"/>
          <w:szCs w:val="24"/>
        </w:rPr>
        <w:t>Yingfei Wen</w:t>
      </w:r>
      <w:r w:rsidRPr="0021416C">
        <w:rPr>
          <w:rFonts w:ascii="Times New Roman" w:hAnsi="Times New Roman" w:cs="Times New Roman"/>
        </w:rPr>
        <w:t xml:space="preserve"> </w:t>
      </w:r>
      <w:r w:rsidRPr="0021416C">
        <w:rPr>
          <w:rFonts w:ascii="Times New Roman" w:hAnsi="Times New Roman" w:cs="Times New Roman" w:hint="eastAsia"/>
          <w:sz w:val="24"/>
          <w:szCs w:val="24"/>
          <w:vertAlign w:val="superscript"/>
        </w:rPr>
        <w:t>a</w:t>
      </w:r>
      <w:r w:rsidRPr="0021416C">
        <w:rPr>
          <w:rFonts w:ascii="Times New Roman" w:hAnsi="Times New Roman" w:cs="Times New Roman"/>
          <w:sz w:val="24"/>
          <w:szCs w:val="24"/>
          <w:vertAlign w:val="superscript"/>
        </w:rPr>
        <w:t>,1</w:t>
      </w:r>
      <w:r w:rsidRPr="0021416C">
        <w:rPr>
          <w:rFonts w:ascii="Times New Roman" w:hAnsi="Times New Roman" w:cs="Times New Roman"/>
          <w:sz w:val="24"/>
          <w:szCs w:val="24"/>
        </w:rPr>
        <w:t>, Miaojuan Qiu</w:t>
      </w:r>
      <w:r w:rsidRPr="003D66C2">
        <w:rPr>
          <w:rFonts w:ascii="Times New Roman" w:hAnsi="Times New Roman" w:cs="Times New Roman"/>
          <w:color w:val="EE0000"/>
          <w:sz w:val="24"/>
          <w:szCs w:val="24"/>
          <w:vertAlign w:val="superscript"/>
        </w:rPr>
        <w:t xml:space="preserve"> </w:t>
      </w:r>
      <w:r w:rsidRPr="00B83B16">
        <w:rPr>
          <w:rFonts w:ascii="Times New Roman" w:hAnsi="Times New Roman" w:cs="Times New Roman" w:hint="eastAsia"/>
          <w:color w:val="000000" w:themeColor="text1"/>
          <w:sz w:val="24"/>
          <w:szCs w:val="24"/>
          <w:vertAlign w:val="superscript"/>
        </w:rPr>
        <w:t>a</w:t>
      </w:r>
      <w:r w:rsidRPr="00B83B16">
        <w:rPr>
          <w:rFonts w:ascii="Times New Roman" w:hAnsi="Times New Roman" w:cs="Times New Roman"/>
          <w:color w:val="000000" w:themeColor="text1"/>
          <w:sz w:val="24"/>
          <w:szCs w:val="24"/>
          <w:vertAlign w:val="superscript"/>
        </w:rPr>
        <w:t>,</w:t>
      </w:r>
      <w:r w:rsidR="00991606" w:rsidRPr="00B83B16">
        <w:rPr>
          <w:rFonts w:ascii="Times New Roman" w:hAnsi="Times New Roman" w:cs="Times New Roman" w:hint="eastAsia"/>
          <w:color w:val="000000" w:themeColor="text1"/>
          <w:sz w:val="24"/>
          <w:szCs w:val="24"/>
          <w:vertAlign w:val="superscript"/>
        </w:rPr>
        <w:t>b,</w:t>
      </w:r>
      <w:r w:rsidRPr="00B83B16">
        <w:rPr>
          <w:rFonts w:ascii="Times New Roman" w:hAnsi="Times New Roman" w:cs="Times New Roman" w:hint="eastAsia"/>
          <w:color w:val="000000" w:themeColor="text1"/>
          <w:sz w:val="24"/>
          <w:szCs w:val="24"/>
          <w:vertAlign w:val="superscript"/>
        </w:rPr>
        <w:t>c,</w:t>
      </w:r>
      <w:r w:rsidRPr="0021416C">
        <w:rPr>
          <w:rFonts w:ascii="Times New Roman" w:hAnsi="Times New Roman" w:cs="Times New Roman"/>
          <w:sz w:val="24"/>
          <w:szCs w:val="24"/>
          <w:vertAlign w:val="superscript"/>
        </w:rPr>
        <w:t>1</w:t>
      </w:r>
      <w:r w:rsidRPr="0021416C">
        <w:rPr>
          <w:rFonts w:ascii="Times New Roman" w:hAnsi="Times New Roman" w:cs="Times New Roman"/>
          <w:sz w:val="24"/>
          <w:szCs w:val="24"/>
        </w:rPr>
        <w:t>,</w:t>
      </w:r>
      <w:r w:rsidRPr="0021416C">
        <w:rPr>
          <w:rFonts w:ascii="Times New Roman" w:hAnsi="Times New Roman" w:cs="Times New Roman"/>
          <w:sz w:val="24"/>
          <w:szCs w:val="24"/>
          <w:vertAlign w:val="superscript"/>
        </w:rPr>
        <w:t xml:space="preserve"> </w:t>
      </w:r>
      <w:r w:rsidRPr="0021416C">
        <w:rPr>
          <w:rFonts w:ascii="Times New Roman" w:hAnsi="Times New Roman" w:cs="Times New Roman" w:hint="eastAsia"/>
          <w:sz w:val="24"/>
          <w:szCs w:val="24"/>
        </w:rPr>
        <w:t>X</w:t>
      </w:r>
      <w:r w:rsidRPr="0021416C">
        <w:rPr>
          <w:rFonts w:ascii="Times New Roman" w:hAnsi="Times New Roman" w:cs="Times New Roman"/>
          <w:sz w:val="24"/>
          <w:szCs w:val="24"/>
        </w:rPr>
        <w:t>inyi Deng</w:t>
      </w:r>
      <w:r w:rsidRPr="0021416C">
        <w:rPr>
          <w:rFonts w:ascii="Times New Roman" w:hAnsi="Times New Roman" w:cs="Times New Roman"/>
        </w:rPr>
        <w:t xml:space="preserve"> </w:t>
      </w:r>
      <w:r w:rsidRPr="0021416C">
        <w:rPr>
          <w:rFonts w:ascii="Times New Roman" w:hAnsi="Times New Roman" w:cs="Times New Roman" w:hint="eastAsia"/>
          <w:sz w:val="24"/>
          <w:szCs w:val="24"/>
          <w:vertAlign w:val="superscript"/>
        </w:rPr>
        <w:t>a</w:t>
      </w:r>
      <w:r w:rsidRPr="0021416C">
        <w:rPr>
          <w:rFonts w:ascii="Times New Roman" w:hAnsi="Times New Roman" w:cs="Times New Roman"/>
          <w:sz w:val="24"/>
          <w:szCs w:val="24"/>
        </w:rPr>
        <w:t>, Yiran Wang</w:t>
      </w:r>
      <w:r w:rsidRPr="0021416C">
        <w:rPr>
          <w:rFonts w:ascii="Times New Roman" w:hAnsi="Times New Roman" w:cs="Times New Roman"/>
        </w:rPr>
        <w:t xml:space="preserve"> </w:t>
      </w:r>
      <w:bookmarkStart w:id="0" w:name="_Hlk213621263"/>
      <w:r w:rsidRPr="0021416C">
        <w:rPr>
          <w:rFonts w:ascii="Times New Roman" w:hAnsi="Times New Roman" w:cs="Times New Roman" w:hint="eastAsia"/>
          <w:sz w:val="24"/>
          <w:szCs w:val="24"/>
          <w:vertAlign w:val="superscript"/>
        </w:rPr>
        <w:t>a</w:t>
      </w:r>
      <w:r w:rsidRPr="0021416C">
        <w:rPr>
          <w:rFonts w:ascii="Times New Roman" w:hAnsi="Times New Roman" w:cs="Times New Roman" w:hint="eastAsia"/>
          <w:sz w:val="24"/>
          <w:szCs w:val="24"/>
        </w:rPr>
        <w:t>, Xiaodie Zeng</w:t>
      </w:r>
      <w:r w:rsidRPr="0021416C">
        <w:rPr>
          <w:rFonts w:ascii="Times New Roman" w:hAnsi="Times New Roman" w:cs="Times New Roman" w:hint="eastAsia"/>
          <w:sz w:val="24"/>
          <w:szCs w:val="24"/>
          <w:vertAlign w:val="superscript"/>
        </w:rPr>
        <w:t xml:space="preserve"> d</w:t>
      </w:r>
      <w:r w:rsidRPr="0021416C">
        <w:rPr>
          <w:rFonts w:ascii="Times New Roman" w:hAnsi="Times New Roman" w:cs="Times New Roman" w:hint="eastAsia"/>
          <w:sz w:val="24"/>
          <w:szCs w:val="24"/>
        </w:rPr>
        <w:t>, Binbin Li</w:t>
      </w:r>
      <w:r w:rsidRPr="0021416C">
        <w:rPr>
          <w:rFonts w:ascii="Times New Roman" w:hAnsi="Times New Roman" w:cs="Times New Roman"/>
          <w:vertAlign w:val="superscript"/>
        </w:rPr>
        <w:t xml:space="preserve"> </w:t>
      </w:r>
      <w:r w:rsidRPr="0021416C">
        <w:rPr>
          <w:rFonts w:ascii="Times New Roman" w:hAnsi="Times New Roman" w:cs="Times New Roman" w:hint="eastAsia"/>
          <w:sz w:val="24"/>
          <w:szCs w:val="24"/>
          <w:vertAlign w:val="superscript"/>
        </w:rPr>
        <w:t>b</w:t>
      </w:r>
      <w:r w:rsidRPr="0021416C">
        <w:rPr>
          <w:rFonts w:ascii="Times New Roman" w:hAnsi="Times New Roman" w:cs="Times New Roman" w:hint="eastAsia"/>
          <w:sz w:val="24"/>
          <w:szCs w:val="24"/>
        </w:rPr>
        <w:t xml:space="preserve">, </w:t>
      </w:r>
      <w:r w:rsidRPr="0021416C">
        <w:rPr>
          <w:rFonts w:ascii="Times New Roman" w:hAnsi="Times New Roman" w:cs="Times New Roman"/>
          <w:sz w:val="24"/>
          <w:szCs w:val="24"/>
        </w:rPr>
        <w:t>Shangbo Zhou</w:t>
      </w:r>
      <w:r w:rsidRPr="0021416C">
        <w:rPr>
          <w:rFonts w:ascii="Times New Roman" w:hAnsi="Times New Roman" w:cs="Times New Roman"/>
          <w:vertAlign w:val="superscript"/>
        </w:rPr>
        <w:t xml:space="preserve"> </w:t>
      </w:r>
      <w:r w:rsidRPr="0021416C">
        <w:rPr>
          <w:rFonts w:ascii="Times New Roman" w:hAnsi="Times New Roman" w:cs="Times New Roman" w:hint="eastAsia"/>
          <w:sz w:val="24"/>
          <w:szCs w:val="24"/>
          <w:vertAlign w:val="superscript"/>
        </w:rPr>
        <w:t>b</w:t>
      </w:r>
      <w:r w:rsidRPr="0021416C">
        <w:rPr>
          <w:rFonts w:ascii="Times New Roman" w:hAnsi="Times New Roman" w:cs="Times New Roman"/>
          <w:sz w:val="24"/>
          <w:szCs w:val="24"/>
        </w:rPr>
        <w:t xml:space="preserve">, </w:t>
      </w:r>
      <w:r w:rsidRPr="0021416C">
        <w:rPr>
          <w:rFonts w:ascii="Times New Roman" w:hAnsi="Times New Roman" w:cs="Times New Roman" w:hint="eastAsia"/>
          <w:sz w:val="24"/>
          <w:szCs w:val="24"/>
        </w:rPr>
        <w:t>Takeshi YAMAKAWA</w:t>
      </w:r>
      <w:r w:rsidRPr="0021416C">
        <w:rPr>
          <w:rFonts w:ascii="Times New Roman" w:hAnsi="Times New Roman" w:cs="Times New Roman" w:hint="eastAsia"/>
          <w:sz w:val="24"/>
          <w:szCs w:val="24"/>
          <w:vertAlign w:val="superscript"/>
        </w:rPr>
        <w:t xml:space="preserve"> </w:t>
      </w:r>
      <w:r w:rsidRPr="0021416C">
        <w:rPr>
          <w:rFonts w:ascii="Times New Roman" w:hAnsi="Times New Roman" w:cs="Times New Roman"/>
          <w:sz w:val="24"/>
          <w:szCs w:val="24"/>
          <w:vertAlign w:val="superscript"/>
        </w:rPr>
        <w:t>a</w:t>
      </w:r>
      <w:r w:rsidRPr="0021416C">
        <w:rPr>
          <w:rFonts w:ascii="Times New Roman" w:hAnsi="Times New Roman" w:cs="Times New Roman" w:hint="eastAsia"/>
          <w:sz w:val="24"/>
          <w:szCs w:val="24"/>
          <w:vertAlign w:val="superscript"/>
        </w:rPr>
        <w:t>,b</w:t>
      </w:r>
      <w:r w:rsidRPr="0021416C">
        <w:rPr>
          <w:rFonts w:ascii="Times New Roman" w:hAnsi="Times New Roman" w:cs="Times New Roman" w:hint="eastAsia"/>
          <w:sz w:val="24"/>
          <w:szCs w:val="24"/>
        </w:rPr>
        <w:t xml:space="preserve">, </w:t>
      </w:r>
      <w:r w:rsidRPr="0021416C">
        <w:rPr>
          <w:rFonts w:ascii="Times New Roman" w:hAnsi="Times New Roman" w:cs="Times New Roman"/>
          <w:sz w:val="24"/>
          <w:szCs w:val="24"/>
        </w:rPr>
        <w:t>Peng Liu</w:t>
      </w:r>
      <w:r w:rsidRPr="0021416C">
        <w:rPr>
          <w:rFonts w:ascii="Times New Roman" w:hAnsi="Times New Roman" w:cs="Times New Roman"/>
          <w:vertAlign w:val="superscript"/>
        </w:rPr>
        <w:t xml:space="preserve"> </w:t>
      </w:r>
      <w:r w:rsidRPr="0021416C">
        <w:rPr>
          <w:rFonts w:ascii="Times New Roman" w:hAnsi="Times New Roman" w:cs="Times New Roman" w:hint="eastAsia"/>
          <w:sz w:val="24"/>
          <w:szCs w:val="24"/>
          <w:vertAlign w:val="superscript"/>
        </w:rPr>
        <w:t>b</w:t>
      </w:r>
      <w:r w:rsidRPr="0021416C">
        <w:rPr>
          <w:rFonts w:ascii="Times New Roman" w:hAnsi="Times New Roman" w:cs="Times New Roman"/>
          <w:sz w:val="24"/>
          <w:szCs w:val="24"/>
          <w:vertAlign w:val="superscript"/>
        </w:rPr>
        <w:t>,</w:t>
      </w:r>
      <w:r w:rsidRPr="0021416C">
        <w:rPr>
          <w:rFonts w:ascii="Times New Roman" w:hAnsi="Times New Roman" w:cs="Times New Roman"/>
          <w:sz w:val="24"/>
          <w:szCs w:val="24"/>
        </w:rPr>
        <w:t xml:space="preserve"> </w:t>
      </w:r>
      <w:r w:rsidRPr="0021416C">
        <w:rPr>
          <w:rFonts w:ascii="Times New Roman" w:hAnsi="Times New Roman" w:cs="Times New Roman" w:hint="eastAsia"/>
          <w:sz w:val="24"/>
          <w:szCs w:val="24"/>
        </w:rPr>
        <w:t>Shiqiang Zhang</w:t>
      </w:r>
      <w:bookmarkEnd w:id="0"/>
      <w:r w:rsidRPr="0021416C">
        <w:rPr>
          <w:rFonts w:ascii="Times New Roman" w:hAnsi="Times New Roman" w:cs="Times New Roman" w:hint="eastAsia"/>
          <w:sz w:val="24"/>
          <w:szCs w:val="24"/>
          <w:vertAlign w:val="superscript"/>
        </w:rPr>
        <w:t xml:space="preserve"> a</w:t>
      </w:r>
      <w:r w:rsidRPr="0021416C">
        <w:rPr>
          <w:rFonts w:ascii="Times New Roman" w:hAnsi="Times New Roman" w:cs="Times New Roman" w:hint="eastAsia"/>
          <w:sz w:val="24"/>
          <w:szCs w:val="24"/>
        </w:rPr>
        <w:t>,</w:t>
      </w:r>
      <w:r w:rsidRPr="0021416C">
        <w:rPr>
          <w:rFonts w:ascii="Times New Roman" w:hAnsi="Times New Roman" w:cs="Times New Roman"/>
          <w:sz w:val="24"/>
          <w:szCs w:val="24"/>
        </w:rPr>
        <w:t xml:space="preserve"> </w:t>
      </w:r>
      <w:r w:rsidRPr="0021416C">
        <w:rPr>
          <w:rFonts w:ascii="Times New Roman" w:hAnsi="Times New Roman" w:cs="Times New Roman" w:hint="eastAsia"/>
          <w:sz w:val="24"/>
          <w:szCs w:val="24"/>
        </w:rPr>
        <w:t>Jingqi Chen</w:t>
      </w:r>
      <w:r w:rsidRPr="0021416C">
        <w:rPr>
          <w:rFonts w:ascii="Times New Roman" w:hAnsi="Times New Roman" w:cs="Times New Roman" w:hint="eastAsia"/>
          <w:sz w:val="24"/>
          <w:szCs w:val="24"/>
          <w:vertAlign w:val="superscript"/>
        </w:rPr>
        <w:t xml:space="preserve"> a</w:t>
      </w:r>
      <w:r w:rsidRPr="0021416C">
        <w:rPr>
          <w:rFonts w:ascii="Times New Roman" w:hAnsi="Times New Roman" w:cs="Times New Roman" w:hint="eastAsia"/>
          <w:sz w:val="24"/>
          <w:szCs w:val="24"/>
        </w:rPr>
        <w:t xml:space="preserve">, Yiye Chi </w:t>
      </w:r>
      <w:r w:rsidRPr="0021416C">
        <w:rPr>
          <w:rFonts w:ascii="Times New Roman" w:hAnsi="Times New Roman" w:cs="Times New Roman" w:hint="eastAsia"/>
          <w:sz w:val="24"/>
          <w:szCs w:val="24"/>
          <w:vertAlign w:val="superscript"/>
        </w:rPr>
        <w:t>e</w:t>
      </w:r>
      <w:r w:rsidRPr="0021416C">
        <w:rPr>
          <w:rFonts w:ascii="Times New Roman" w:hAnsi="Times New Roman" w:cs="Times New Roman" w:hint="eastAsia"/>
          <w:sz w:val="24"/>
          <w:szCs w:val="24"/>
        </w:rPr>
        <w:t>,</w:t>
      </w:r>
      <w:r w:rsidRPr="0021416C">
        <w:rPr>
          <w:rFonts w:ascii="Times New Roman" w:hAnsi="Times New Roman" w:cs="Times New Roman"/>
          <w:sz w:val="24"/>
          <w:szCs w:val="24"/>
        </w:rPr>
        <w:t xml:space="preserve"> Feng Chen</w:t>
      </w:r>
      <w:r w:rsidRPr="0021416C">
        <w:rPr>
          <w:rFonts w:ascii="Times New Roman" w:hAnsi="Times New Roman" w:cs="Times New Roman"/>
          <w:vertAlign w:val="superscript"/>
        </w:rPr>
        <w:t xml:space="preserve"> </w:t>
      </w:r>
      <w:r w:rsidRPr="0021416C">
        <w:rPr>
          <w:rFonts w:ascii="Times New Roman" w:hAnsi="Times New Roman" w:cs="Times New Roman" w:hint="eastAsia"/>
          <w:vertAlign w:val="superscript"/>
        </w:rPr>
        <w:t>a,b</w:t>
      </w:r>
      <w:r w:rsidRPr="0021416C">
        <w:rPr>
          <w:rFonts w:ascii="Times New Roman" w:hAnsi="Times New Roman" w:cs="Times New Roman"/>
          <w:sz w:val="24"/>
          <w:szCs w:val="24"/>
          <w:vertAlign w:val="superscript"/>
        </w:rPr>
        <w:t>*</w:t>
      </w:r>
      <w:r w:rsidRPr="0021416C">
        <w:rPr>
          <w:rFonts w:ascii="Times New Roman" w:hAnsi="Times New Roman" w:cs="Times New Roman"/>
          <w:sz w:val="24"/>
          <w:szCs w:val="24"/>
        </w:rPr>
        <w:t>,</w:t>
      </w:r>
      <w:r w:rsidRPr="0021416C">
        <w:rPr>
          <w:rFonts w:ascii="Times New Roman" w:hAnsi="Times New Roman" w:cs="Times New Roman" w:hint="eastAsia"/>
          <w:sz w:val="24"/>
          <w:szCs w:val="24"/>
        </w:rPr>
        <w:t xml:space="preserve"> </w:t>
      </w:r>
      <w:r w:rsidRPr="0021416C">
        <w:rPr>
          <w:rFonts w:ascii="Times New Roman" w:hAnsi="Times New Roman" w:cs="Times New Roman"/>
          <w:sz w:val="24"/>
          <w:szCs w:val="24"/>
        </w:rPr>
        <w:t>Zhiyong Wang</w:t>
      </w:r>
      <w:r w:rsidRPr="0021416C">
        <w:rPr>
          <w:rFonts w:ascii="Times New Roman" w:hAnsi="Times New Roman" w:cs="Times New Roman"/>
        </w:rPr>
        <w:t xml:space="preserve"> </w:t>
      </w:r>
      <w:r w:rsidRPr="0021416C">
        <w:rPr>
          <w:rFonts w:ascii="Times New Roman" w:hAnsi="Times New Roman" w:cs="Times New Roman" w:hint="eastAsia"/>
          <w:sz w:val="24"/>
          <w:szCs w:val="24"/>
          <w:vertAlign w:val="superscript"/>
        </w:rPr>
        <w:t>d</w:t>
      </w:r>
      <w:r w:rsidRPr="0021416C">
        <w:rPr>
          <w:rFonts w:ascii="Times New Roman" w:hAnsi="Times New Roman" w:cs="Times New Roman"/>
          <w:sz w:val="24"/>
          <w:szCs w:val="24"/>
          <w:vertAlign w:val="superscript"/>
        </w:rPr>
        <w:t>*</w:t>
      </w:r>
      <w:r w:rsidRPr="0021416C">
        <w:rPr>
          <w:rFonts w:ascii="Times New Roman" w:hAnsi="Times New Roman" w:cs="Times New Roman" w:hint="eastAsia"/>
          <w:sz w:val="24"/>
          <w:szCs w:val="24"/>
        </w:rPr>
        <w:t xml:space="preserve">, </w:t>
      </w:r>
      <w:r w:rsidRPr="0021416C">
        <w:rPr>
          <w:rFonts w:ascii="Times New Roman" w:hAnsi="Times New Roman" w:cs="Times New Roman"/>
          <w:sz w:val="24"/>
          <w:szCs w:val="24"/>
        </w:rPr>
        <w:t>Jing Zhao</w:t>
      </w:r>
      <w:r w:rsidRPr="0021416C">
        <w:rPr>
          <w:rFonts w:ascii="Times New Roman" w:hAnsi="Times New Roman" w:cs="Times New Roman" w:hint="eastAsia"/>
          <w:vertAlign w:val="superscript"/>
        </w:rPr>
        <w:t>a,b</w:t>
      </w:r>
      <w:r w:rsidRPr="0021416C">
        <w:rPr>
          <w:rFonts w:ascii="Times New Roman" w:hAnsi="Times New Roman" w:cs="Times New Roman"/>
          <w:sz w:val="24"/>
          <w:szCs w:val="24"/>
          <w:vertAlign w:val="superscript"/>
        </w:rPr>
        <w:t>*</w:t>
      </w:r>
    </w:p>
    <w:p w14:paraId="3C670ABF" w14:textId="77777777" w:rsidR="009E1F78" w:rsidRPr="0021416C" w:rsidRDefault="009E1F78">
      <w:pPr>
        <w:spacing w:line="360" w:lineRule="auto"/>
        <w:rPr>
          <w:rFonts w:ascii="Times New Roman" w:hAnsi="Times New Roman" w:cs="Times New Roman"/>
          <w:sz w:val="24"/>
          <w:szCs w:val="24"/>
        </w:rPr>
      </w:pPr>
    </w:p>
    <w:p w14:paraId="58142291" w14:textId="77777777" w:rsidR="009E1F78" w:rsidRPr="0021416C" w:rsidRDefault="00000000">
      <w:pPr>
        <w:spacing w:line="360" w:lineRule="auto"/>
        <w:rPr>
          <w:rFonts w:ascii="Times New Roman" w:hAnsi="Times New Roman" w:cs="Times New Roman"/>
          <w:sz w:val="24"/>
          <w:szCs w:val="24"/>
          <w:vertAlign w:val="superscript"/>
        </w:rPr>
      </w:pPr>
      <w:r w:rsidRPr="0021416C">
        <w:rPr>
          <w:rFonts w:ascii="Times New Roman" w:hAnsi="Times New Roman" w:cs="Times New Roman"/>
          <w:sz w:val="24"/>
          <w:szCs w:val="24"/>
          <w:vertAlign w:val="superscript"/>
        </w:rPr>
        <w:t>a</w:t>
      </w:r>
      <w:r w:rsidRPr="0021416C">
        <w:rPr>
          <w:rFonts w:ascii="Times New Roman" w:hAnsi="Times New Roman" w:cs="Times New Roman" w:hint="eastAsia"/>
          <w:sz w:val="24"/>
          <w:szCs w:val="24"/>
          <w:vertAlign w:val="superscript"/>
        </w:rPr>
        <w:t xml:space="preserve"> </w:t>
      </w:r>
      <w:r w:rsidRPr="0021416C">
        <w:rPr>
          <w:rFonts w:ascii="Times New Roman" w:hAnsi="Times New Roman" w:cs="Times New Roman"/>
          <w:sz w:val="24"/>
          <w:szCs w:val="24"/>
        </w:rPr>
        <w:t>Scientific Research Center, The Seventh Affiliated Hospital of Sun Yat-sen University, Shenzhen 518107, P. R. China</w:t>
      </w:r>
      <w:r w:rsidRPr="0021416C">
        <w:rPr>
          <w:rFonts w:ascii="Times New Roman" w:hAnsi="Times New Roman" w:cs="Times New Roman" w:hint="eastAsia"/>
          <w:sz w:val="24"/>
          <w:szCs w:val="24"/>
        </w:rPr>
        <w:t xml:space="preserve"> </w:t>
      </w:r>
    </w:p>
    <w:p w14:paraId="177F0512" w14:textId="77777777" w:rsidR="009E1F78" w:rsidRPr="0021416C" w:rsidRDefault="00000000">
      <w:pPr>
        <w:spacing w:line="360" w:lineRule="auto"/>
        <w:rPr>
          <w:rFonts w:ascii="Times New Roman" w:hAnsi="Times New Roman" w:cs="Times New Roman"/>
          <w:sz w:val="24"/>
          <w:vertAlign w:val="superscript"/>
        </w:rPr>
      </w:pPr>
      <w:r w:rsidRPr="0021416C">
        <w:rPr>
          <w:rFonts w:ascii="Times New Roman" w:hAnsi="Times New Roman" w:cs="Times New Roman" w:hint="eastAsia"/>
          <w:sz w:val="24"/>
          <w:vertAlign w:val="superscript"/>
        </w:rPr>
        <w:t>b</w:t>
      </w:r>
      <w:r w:rsidRPr="0021416C">
        <w:rPr>
          <w:rFonts w:ascii="Times New Roman" w:hAnsi="Times New Roman" w:cs="Times New Roman"/>
          <w:sz w:val="24"/>
          <w:vertAlign w:val="superscript"/>
        </w:rPr>
        <w:t xml:space="preserve"> </w:t>
      </w:r>
      <w:r w:rsidRPr="0021416C">
        <w:rPr>
          <w:rFonts w:ascii="Times New Roman" w:hAnsi="Times New Roman" w:cs="Times New Roman" w:hint="eastAsia"/>
          <w:sz w:val="24"/>
        </w:rPr>
        <w:t>G</w:t>
      </w:r>
      <w:r w:rsidRPr="0021416C">
        <w:rPr>
          <w:rFonts w:ascii="Times New Roman" w:hAnsi="Times New Roman" w:cs="Times New Roman" w:hint="eastAsia"/>
          <w:sz w:val="24"/>
          <w:szCs w:val="24"/>
        </w:rPr>
        <w:t>astrointestinal Surgery, Digestive Diseases Center, The Seventh Affiliated Hospital, Sun Yat-sen University, Shenzhen 518107, P. R. China.</w:t>
      </w:r>
    </w:p>
    <w:p w14:paraId="7EF248B2" w14:textId="77777777" w:rsidR="009E1F78" w:rsidRPr="0021416C" w:rsidRDefault="00000000">
      <w:pPr>
        <w:spacing w:line="360" w:lineRule="auto"/>
        <w:rPr>
          <w:rFonts w:ascii="Times New Roman" w:eastAsia="等线" w:hAnsi="Times New Roman" w:cs="Times New Roman"/>
          <w:sz w:val="24"/>
          <w:szCs w:val="24"/>
        </w:rPr>
      </w:pPr>
      <w:r w:rsidRPr="0021416C">
        <w:rPr>
          <w:rFonts w:ascii="Times New Roman" w:hAnsi="Times New Roman" w:cs="Times New Roman" w:hint="eastAsia"/>
          <w:sz w:val="24"/>
          <w:vertAlign w:val="superscript"/>
        </w:rPr>
        <w:t xml:space="preserve">c </w:t>
      </w:r>
      <w:r w:rsidRPr="0021416C">
        <w:rPr>
          <w:rFonts w:ascii="Times New Roman" w:hAnsi="Times New Roman" w:cs="Times New Roman"/>
          <w:sz w:val="24"/>
          <w:szCs w:val="24"/>
        </w:rPr>
        <w:t>School of Medicine, Sun Yat-Sen University, Shenzhen 518107</w:t>
      </w:r>
      <w:r w:rsidRPr="0021416C">
        <w:rPr>
          <w:rFonts w:ascii="Times New Roman" w:eastAsia="等线" w:hAnsi="Times New Roman" w:cs="Times New Roman"/>
          <w:sz w:val="24"/>
          <w:szCs w:val="24"/>
        </w:rPr>
        <w:t xml:space="preserve">, </w:t>
      </w:r>
      <w:r w:rsidRPr="0021416C">
        <w:rPr>
          <w:rFonts w:ascii="Times New Roman" w:hAnsi="Times New Roman" w:cs="Times New Roman"/>
          <w:sz w:val="24"/>
          <w:szCs w:val="24"/>
        </w:rPr>
        <w:t xml:space="preserve">P. R. </w:t>
      </w:r>
      <w:r w:rsidRPr="0021416C">
        <w:rPr>
          <w:rFonts w:ascii="Times New Roman" w:eastAsia="等线" w:hAnsi="Times New Roman" w:cs="Times New Roman"/>
          <w:sz w:val="24"/>
          <w:szCs w:val="24"/>
        </w:rPr>
        <w:t>China</w:t>
      </w:r>
    </w:p>
    <w:p w14:paraId="2FDBC79B" w14:textId="77777777" w:rsidR="009E1F78" w:rsidRPr="0021416C" w:rsidRDefault="00000000">
      <w:pPr>
        <w:spacing w:line="360" w:lineRule="auto"/>
        <w:rPr>
          <w:rFonts w:ascii="Times New Roman" w:hAnsi="Times New Roman" w:cs="Times New Roman"/>
          <w:sz w:val="24"/>
        </w:rPr>
      </w:pPr>
      <w:r w:rsidRPr="0021416C">
        <w:rPr>
          <w:rFonts w:ascii="Times New Roman" w:hAnsi="Times New Roman" w:cs="Times New Roman" w:hint="eastAsia"/>
          <w:sz w:val="24"/>
          <w:szCs w:val="24"/>
          <w:vertAlign w:val="superscript"/>
        </w:rPr>
        <w:t xml:space="preserve">d </w:t>
      </w:r>
      <w:r w:rsidRPr="0021416C">
        <w:rPr>
          <w:rFonts w:ascii="Times New Roman" w:hAnsi="Times New Roman" w:cs="Times New Roman" w:hint="eastAsia"/>
          <w:sz w:val="24"/>
        </w:rPr>
        <w:t xml:space="preserve">School of Materials Science and Engineering, Center for Functional Biomaterials, Key Laboratory for Polymeric Composite and Functional Materials of </w:t>
      </w:r>
      <w:r w:rsidRPr="0021416C">
        <w:rPr>
          <w:rFonts w:ascii="Times New Roman" w:hAnsi="Times New Roman" w:cs="Times New Roman"/>
          <w:sz w:val="24"/>
        </w:rPr>
        <w:t xml:space="preserve">the </w:t>
      </w:r>
      <w:r w:rsidRPr="0021416C">
        <w:rPr>
          <w:rFonts w:ascii="Times New Roman" w:hAnsi="Times New Roman" w:cs="Times New Roman" w:hint="eastAsia"/>
          <w:sz w:val="24"/>
        </w:rPr>
        <w:t>Ministry of Education, Sun Yat-sen University, Guangzhou 510275, P.R. China</w:t>
      </w:r>
    </w:p>
    <w:p w14:paraId="1D85515D" w14:textId="77777777" w:rsidR="009E1F78" w:rsidRPr="0021416C" w:rsidRDefault="00000000">
      <w:pPr>
        <w:spacing w:line="360" w:lineRule="auto"/>
        <w:rPr>
          <w:rFonts w:ascii="Times New Roman" w:hAnsi="Times New Roman" w:cs="Times New Roman"/>
          <w:sz w:val="24"/>
        </w:rPr>
      </w:pPr>
      <w:r w:rsidRPr="0021416C">
        <w:rPr>
          <w:rFonts w:ascii="Times New Roman" w:hAnsi="Times New Roman" w:cs="Times New Roman" w:hint="eastAsia"/>
          <w:sz w:val="24"/>
          <w:szCs w:val="24"/>
          <w:vertAlign w:val="superscript"/>
        </w:rPr>
        <w:t xml:space="preserve">e </w:t>
      </w:r>
      <w:r w:rsidRPr="0021416C">
        <w:rPr>
          <w:rFonts w:ascii="Times New Roman" w:hAnsi="Times New Roman" w:cs="Times New Roman" w:hint="eastAsia"/>
          <w:sz w:val="24"/>
        </w:rPr>
        <w:t>Bachelor Program of Bioinformatics, School of Medicine, The Chinese University of Hong Kong, Shenzhen, Shenzhen 518172, China</w:t>
      </w:r>
    </w:p>
    <w:p w14:paraId="1E8F1E46" w14:textId="77777777" w:rsidR="009E1F78" w:rsidRPr="0021416C" w:rsidRDefault="009E1F78">
      <w:pPr>
        <w:spacing w:line="360" w:lineRule="auto"/>
        <w:rPr>
          <w:rFonts w:ascii="Times New Roman" w:hAnsi="Times New Roman" w:cs="Times New Roman"/>
          <w:sz w:val="24"/>
        </w:rPr>
      </w:pPr>
    </w:p>
    <w:p w14:paraId="738933D3" w14:textId="77777777" w:rsidR="009E1F78" w:rsidRPr="0021416C" w:rsidRDefault="00000000">
      <w:pPr>
        <w:spacing w:line="360" w:lineRule="auto"/>
        <w:rPr>
          <w:rFonts w:ascii="Times New Roman" w:hAnsi="Times New Roman" w:cs="Times New Roman"/>
          <w:sz w:val="24"/>
          <w:szCs w:val="24"/>
        </w:rPr>
      </w:pPr>
      <w:r w:rsidRPr="0021416C">
        <w:rPr>
          <w:rFonts w:ascii="Times New Roman" w:hAnsi="Times New Roman" w:cs="Times New Roman"/>
          <w:sz w:val="24"/>
          <w:szCs w:val="24"/>
        </w:rPr>
        <w:t>1 Yingfei Wen and Miaojuan Qiu have contributed equally to this work and share first authorship.</w:t>
      </w:r>
    </w:p>
    <w:p w14:paraId="71962208" w14:textId="77777777" w:rsidR="009E1F78" w:rsidRPr="0021416C" w:rsidRDefault="009E1F78">
      <w:pPr>
        <w:spacing w:line="360" w:lineRule="auto"/>
        <w:rPr>
          <w:rFonts w:ascii="Times New Roman" w:hAnsi="Times New Roman" w:cs="Times New Roman"/>
          <w:sz w:val="24"/>
          <w:szCs w:val="24"/>
        </w:rPr>
      </w:pPr>
    </w:p>
    <w:p w14:paraId="27A47AD4" w14:textId="77777777" w:rsidR="009E1F78" w:rsidRPr="0021416C" w:rsidRDefault="00000000">
      <w:pPr>
        <w:kinsoku w:val="0"/>
        <w:spacing w:line="360" w:lineRule="auto"/>
        <w:rPr>
          <w:rFonts w:ascii="Times New Roman" w:hAnsi="Times New Roman" w:cs="Times New Roman"/>
          <w:sz w:val="24"/>
        </w:rPr>
      </w:pPr>
      <w:r w:rsidRPr="0021416C">
        <w:rPr>
          <w:rFonts w:ascii="Times New Roman" w:eastAsia="MS Mincho" w:hAnsi="Times New Roman" w:cs="Times New Roman"/>
          <w:sz w:val="24"/>
          <w:lang w:eastAsia="ja-JP"/>
        </w:rPr>
        <w:t>*</w:t>
      </w:r>
      <w:r w:rsidRPr="0021416C">
        <w:rPr>
          <w:rFonts w:ascii="Times New Roman" w:hAnsi="Times New Roman" w:cs="Times New Roman" w:hint="eastAsia"/>
          <w:sz w:val="24"/>
        </w:rPr>
        <w:t xml:space="preserve"> </w:t>
      </w:r>
      <w:r w:rsidRPr="0021416C">
        <w:rPr>
          <w:rFonts w:ascii="Times New Roman" w:eastAsia="MS Mincho" w:hAnsi="Times New Roman" w:cs="Times New Roman"/>
          <w:sz w:val="24"/>
          <w:lang w:eastAsia="ja-JP"/>
        </w:rPr>
        <w:t>Corresponding author:</w:t>
      </w:r>
    </w:p>
    <w:p w14:paraId="6C08DC79" w14:textId="77777777" w:rsidR="009E1F78" w:rsidRPr="0021416C" w:rsidRDefault="00000000">
      <w:pPr>
        <w:kinsoku w:val="0"/>
        <w:spacing w:line="360" w:lineRule="auto"/>
        <w:rPr>
          <w:rFonts w:ascii="Times New Roman" w:eastAsia="等线" w:hAnsi="Times New Roman" w:cs="Times New Roman"/>
          <w:sz w:val="24"/>
        </w:rPr>
      </w:pPr>
      <w:r w:rsidRPr="0021416C">
        <w:rPr>
          <w:rFonts w:ascii="Times New Roman" w:eastAsia="等线" w:hAnsi="Times New Roman" w:cs="Times New Roman"/>
          <w:sz w:val="24"/>
        </w:rPr>
        <w:t>E-mail: zhaoj265@mail.sysu.edu.cn (Zhao J)</w:t>
      </w:r>
    </w:p>
    <w:p w14:paraId="2AFEF669" w14:textId="77777777" w:rsidR="009E1F78" w:rsidRPr="0021416C" w:rsidRDefault="00000000">
      <w:pPr>
        <w:kinsoku w:val="0"/>
        <w:spacing w:line="360" w:lineRule="auto"/>
        <w:rPr>
          <w:rStyle w:val="ae"/>
          <w:rFonts w:ascii="Times New Roman" w:eastAsia="等线" w:hAnsi="Times New Roman" w:cs="Times New Roman"/>
          <w:sz w:val="24"/>
        </w:rPr>
      </w:pPr>
      <w:r w:rsidRPr="0021416C">
        <w:rPr>
          <w:rFonts w:ascii="Times New Roman" w:eastAsia="等线" w:hAnsi="Times New Roman" w:cs="Times New Roman"/>
          <w:sz w:val="24"/>
        </w:rPr>
        <w:t>E-mail:</w:t>
      </w:r>
      <w:r w:rsidRPr="0021416C">
        <w:rPr>
          <w:rFonts w:ascii="Times New Roman" w:eastAsia="等线" w:hAnsi="Times New Roman" w:cs="Times New Roman" w:hint="eastAsia"/>
          <w:sz w:val="24"/>
        </w:rPr>
        <w:t xml:space="preserve"> </w:t>
      </w:r>
      <w:r w:rsidRPr="0021416C">
        <w:rPr>
          <w:rStyle w:val="ae"/>
          <w:rFonts w:ascii="Times New Roman" w:eastAsia="等线" w:hAnsi="Times New Roman" w:cs="Times New Roman"/>
          <w:sz w:val="24"/>
        </w:rPr>
        <w:t>wangzhiy3@mail.sysu.edu.cn</w:t>
      </w:r>
      <w:r w:rsidRPr="0021416C">
        <w:rPr>
          <w:rStyle w:val="ae"/>
          <w:rFonts w:ascii="Times New Roman" w:eastAsia="等线" w:hAnsi="Times New Roman" w:cs="Times New Roman" w:hint="eastAsia"/>
          <w:sz w:val="24"/>
        </w:rPr>
        <w:t xml:space="preserve"> (Wang ZY)</w:t>
      </w:r>
    </w:p>
    <w:p w14:paraId="123FD5B7" w14:textId="77777777" w:rsidR="009E1F78" w:rsidRPr="0021416C" w:rsidRDefault="00000000">
      <w:pPr>
        <w:kinsoku w:val="0"/>
        <w:spacing w:line="360" w:lineRule="auto"/>
        <w:rPr>
          <w:rFonts w:ascii="Times New Roman" w:eastAsia="等线" w:hAnsi="Times New Roman" w:cs="Times New Roman"/>
          <w:sz w:val="24"/>
        </w:rPr>
      </w:pPr>
      <w:r w:rsidRPr="0021416C">
        <w:rPr>
          <w:rFonts w:ascii="Times New Roman" w:eastAsia="等线" w:hAnsi="Times New Roman" w:cs="Times New Roman"/>
          <w:sz w:val="24"/>
        </w:rPr>
        <w:t>E-mail:</w:t>
      </w:r>
      <w:r w:rsidRPr="0021416C">
        <w:rPr>
          <w:rFonts w:ascii="Times New Roman" w:eastAsia="等线" w:hAnsi="Times New Roman" w:cs="Times New Roman" w:hint="eastAsia"/>
          <w:sz w:val="24"/>
        </w:rPr>
        <w:t xml:space="preserve"> </w:t>
      </w:r>
      <w:r w:rsidRPr="0021416C">
        <w:rPr>
          <w:rFonts w:ascii="Times New Roman" w:eastAsia="等线" w:hAnsi="Times New Roman" w:cs="Times New Roman"/>
          <w:sz w:val="24"/>
        </w:rPr>
        <w:t>chenf293@mail.sysu.edu.cn (Chen F)</w:t>
      </w:r>
    </w:p>
    <w:p w14:paraId="35F69078" w14:textId="77777777" w:rsidR="009E1F78" w:rsidRPr="0021416C" w:rsidRDefault="009E1F78">
      <w:pPr>
        <w:spacing w:line="360" w:lineRule="auto"/>
        <w:rPr>
          <w:rFonts w:ascii="Times New Roman" w:hAnsi="Times New Roman" w:cs="Times New Roman"/>
        </w:rPr>
      </w:pPr>
    </w:p>
    <w:p w14:paraId="4F110DE8" w14:textId="77777777" w:rsidR="009E1F78" w:rsidRPr="0021416C" w:rsidRDefault="00000000">
      <w:pPr>
        <w:spacing w:line="360" w:lineRule="auto"/>
        <w:rPr>
          <w:rFonts w:ascii="Times New Roman" w:hAnsi="Times New Roman" w:cs="Times New Roman"/>
          <w:b/>
          <w:bCs/>
          <w:sz w:val="24"/>
          <w:szCs w:val="24"/>
          <w14:ligatures w14:val="standardContextual"/>
        </w:rPr>
      </w:pPr>
      <w:r w:rsidRPr="0021416C">
        <w:rPr>
          <w:rFonts w:ascii="Times New Roman" w:hAnsi="Times New Roman" w:cs="Times New Roman"/>
          <w:b/>
          <w:bCs/>
          <w:sz w:val="24"/>
          <w:szCs w:val="24"/>
          <w14:ligatures w14:val="standardContextual"/>
        </w:rPr>
        <w:lastRenderedPageBreak/>
        <w:t>Experimental Section</w:t>
      </w:r>
    </w:p>
    <w:p w14:paraId="5C4F4D9A" w14:textId="77777777" w:rsidR="009E1F78" w:rsidRPr="0021416C" w:rsidRDefault="00000000">
      <w:pPr>
        <w:spacing w:line="360" w:lineRule="auto"/>
        <w:rPr>
          <w:rFonts w:ascii="Times New Roman" w:hAnsi="Times New Roman" w:cs="Times New Roman"/>
          <w:b/>
          <w:bCs/>
          <w:sz w:val="24"/>
          <w:szCs w:val="24"/>
        </w:rPr>
      </w:pPr>
      <w:r w:rsidRPr="0021416C">
        <w:rPr>
          <w:rFonts w:ascii="Times New Roman" w:hAnsi="Times New Roman" w:cs="Times New Roman"/>
          <w:b/>
          <w:bCs/>
          <w:sz w:val="24"/>
          <w:szCs w:val="24"/>
        </w:rPr>
        <w:t>Materials and methods</w:t>
      </w:r>
    </w:p>
    <w:p w14:paraId="6961025B" w14:textId="3735E3B8" w:rsidR="009E1F78" w:rsidRPr="0021416C" w:rsidRDefault="00000000">
      <w:pPr>
        <w:spacing w:line="360" w:lineRule="auto"/>
        <w:rPr>
          <w:rFonts w:ascii="Times New Roman" w:hAnsi="Times New Roman" w:cs="Times New Roman"/>
          <w:sz w:val="24"/>
          <w:szCs w:val="24"/>
        </w:rPr>
      </w:pPr>
      <w:r w:rsidRPr="0021416C">
        <w:rPr>
          <w:rFonts w:ascii="Times New Roman" w:hAnsi="Times New Roman" w:cs="Times New Roman" w:hint="eastAsia"/>
          <w:b/>
          <w:bCs/>
          <w:sz w:val="24"/>
          <w:szCs w:val="24"/>
        </w:rPr>
        <w:t>Materials.</w:t>
      </w:r>
      <w:r w:rsidRPr="0021416C">
        <w:rPr>
          <w:rFonts w:ascii="Times New Roman" w:hAnsi="Times New Roman" w:cs="Times New Roman" w:hint="eastAsia"/>
          <w:sz w:val="24"/>
          <w:szCs w:val="24"/>
        </w:rPr>
        <w:t xml:space="preserve"> </w:t>
      </w:r>
      <w:r w:rsidRPr="00394D8B">
        <w:rPr>
          <w:rFonts w:ascii="Times New Roman" w:hAnsi="Times New Roman" w:cs="Times New Roman"/>
          <w:sz w:val="24"/>
          <w:szCs w:val="24"/>
        </w:rPr>
        <w:t>Rhein, manganese</w:t>
      </w:r>
      <w:r w:rsidR="00394D8B" w:rsidRPr="00394D8B">
        <w:rPr>
          <w:rFonts w:ascii="Times New Roman" w:hAnsi="Times New Roman" w:cs="Times New Roman"/>
          <w:sz w:val="24"/>
          <w:szCs w:val="24"/>
        </w:rPr>
        <w:t xml:space="preserve"> </w:t>
      </w:r>
      <w:r w:rsidRPr="00394D8B">
        <w:rPr>
          <w:rFonts w:ascii="Times New Roman" w:hAnsi="Times New Roman" w:cs="Times New Roman"/>
          <w:sz w:val="24"/>
          <w:szCs w:val="24"/>
        </w:rPr>
        <w:t>(II) chloride tetrahydrate (MnCl</w:t>
      </w:r>
      <w:r w:rsidRPr="00394D8B">
        <w:rPr>
          <w:rFonts w:ascii="Times New Roman" w:hAnsi="Times New Roman" w:cs="Times New Roman"/>
          <w:sz w:val="24"/>
          <w:szCs w:val="24"/>
          <w:vertAlign w:val="subscript"/>
        </w:rPr>
        <w:t>2</w:t>
      </w:r>
      <w:r w:rsidRPr="00394D8B">
        <w:rPr>
          <w:rFonts w:ascii="Times New Roman" w:hAnsi="Times New Roman" w:cs="Times New Roman"/>
          <w:sz w:val="24"/>
          <w:szCs w:val="24"/>
        </w:rPr>
        <w:t>·4H</w:t>
      </w:r>
      <w:r w:rsidRPr="00394D8B">
        <w:rPr>
          <w:rFonts w:ascii="Times New Roman" w:hAnsi="Times New Roman" w:cs="Times New Roman"/>
          <w:sz w:val="24"/>
          <w:szCs w:val="24"/>
          <w:vertAlign w:val="subscript"/>
        </w:rPr>
        <w:t>2</w:t>
      </w:r>
      <w:r w:rsidRPr="00394D8B">
        <w:rPr>
          <w:rFonts w:ascii="Times New Roman" w:hAnsi="Times New Roman" w:cs="Times New Roman"/>
          <w:sz w:val="24"/>
          <w:szCs w:val="24"/>
        </w:rPr>
        <w:t>O), and bovine</w:t>
      </w:r>
      <w:r w:rsidRPr="0021416C">
        <w:rPr>
          <w:rFonts w:ascii="Times New Roman" w:hAnsi="Times New Roman" w:cs="Times New Roman" w:hint="eastAsia"/>
          <w:sz w:val="24"/>
          <w:szCs w:val="24"/>
        </w:rPr>
        <w:t xml:space="preserve"> serum albumin</w:t>
      </w:r>
      <w:r w:rsidRPr="0021416C">
        <w:rPr>
          <w:rFonts w:ascii="Times New Roman" w:hAnsi="Times New Roman" w:cs="Times New Roman"/>
          <w:sz w:val="24"/>
          <w:szCs w:val="24"/>
        </w:rPr>
        <w:t xml:space="preserve"> </w:t>
      </w:r>
      <w:r w:rsidRPr="0021416C">
        <w:rPr>
          <w:rFonts w:ascii="Times New Roman" w:hAnsi="Times New Roman" w:cs="Times New Roman" w:hint="eastAsia"/>
          <w:sz w:val="24"/>
          <w:szCs w:val="24"/>
        </w:rPr>
        <w:t xml:space="preserve">(BSA) </w:t>
      </w:r>
      <w:r w:rsidRPr="0021416C">
        <w:rPr>
          <w:rFonts w:ascii="Times New Roman" w:hAnsi="Times New Roman" w:cs="Times New Roman"/>
          <w:sz w:val="24"/>
          <w:szCs w:val="24"/>
        </w:rPr>
        <w:t xml:space="preserve">were </w:t>
      </w:r>
      <w:r w:rsidRPr="0021416C">
        <w:rPr>
          <w:rFonts w:ascii="Times New Roman" w:hAnsi="Times New Roman" w:cs="Times New Roman" w:hint="eastAsia"/>
          <w:sz w:val="24"/>
          <w:szCs w:val="24"/>
        </w:rPr>
        <w:t xml:space="preserve">purchased from Shanghai Aladdin Bio-Chem Technology Co., </w:t>
      </w:r>
      <w:r w:rsidRPr="0021416C">
        <w:rPr>
          <w:rFonts w:ascii="Times New Roman" w:hAnsi="Times New Roman" w:cs="Times New Roman"/>
          <w:sz w:val="24"/>
          <w:szCs w:val="24"/>
        </w:rPr>
        <w:t>LTD. (Shanghai, China). Cell culture medium, phosphate-buffered saline (PBS), and trypsin</w:t>
      </w:r>
      <w:r w:rsidRPr="0021416C">
        <w:rPr>
          <w:rFonts w:ascii="Times New Roman" w:hAnsi="Times New Roman" w:cs="Times New Roman" w:hint="eastAsia"/>
          <w:sz w:val="24"/>
          <w:szCs w:val="24"/>
        </w:rPr>
        <w:t>-</w:t>
      </w:r>
      <w:r w:rsidRPr="0021416C">
        <w:rPr>
          <w:rFonts w:ascii="Times New Roman" w:hAnsi="Times New Roman" w:cs="Times New Roman"/>
          <w:sz w:val="24"/>
          <w:szCs w:val="24"/>
        </w:rPr>
        <w:t>EDTA were purchased from Pricella (Wuhan, China). Fetal bovine serum (FBS) and penicillin-streptomycin solution were provided by Gibco (Guangzhou, China). 4’,6-Diamidino-2-</w:t>
      </w:r>
      <w:r w:rsidRPr="0021416C">
        <w:rPr>
          <w:rFonts w:ascii="Times New Roman" w:eastAsia="Yu Mincho" w:hAnsi="Times New Roman" w:cs="Times New Roman"/>
          <w:sz w:val="24"/>
          <w:szCs w:val="24"/>
          <w:lang w:eastAsia="ja-JP"/>
        </w:rPr>
        <w:t>p</w:t>
      </w:r>
      <w:r w:rsidRPr="0021416C">
        <w:rPr>
          <w:rFonts w:ascii="Times New Roman" w:hAnsi="Times New Roman" w:cs="Times New Roman"/>
          <w:sz w:val="24"/>
          <w:szCs w:val="24"/>
        </w:rPr>
        <w:t>henylindole, Dihydrochloride (</w:t>
      </w:r>
      <w:r w:rsidRPr="0021416C">
        <w:rPr>
          <w:rFonts w:ascii="Times New Roman" w:hAnsi="Times New Roman" w:cs="Times New Roman"/>
          <w:caps/>
          <w:sz w:val="24"/>
          <w:szCs w:val="24"/>
        </w:rPr>
        <w:t>DAPI</w:t>
      </w:r>
      <w:r w:rsidRPr="0021416C">
        <w:rPr>
          <w:rFonts w:ascii="Times New Roman" w:hAnsi="Times New Roman" w:cs="Times New Roman"/>
          <w:sz w:val="24"/>
          <w:szCs w:val="24"/>
        </w:rPr>
        <w:t>), Rhodamine, 3,3’-</w:t>
      </w:r>
      <w:r w:rsidRPr="0021416C">
        <w:rPr>
          <w:rFonts w:ascii="Times New Roman" w:hAnsi="Times New Roman" w:cs="Times New Roman" w:hint="eastAsia"/>
          <w:iCs/>
          <w:sz w:val="24"/>
          <w:szCs w:val="24"/>
        </w:rPr>
        <w:t>Dio</w:t>
      </w:r>
      <w:r w:rsidRPr="0021416C">
        <w:rPr>
          <w:rFonts w:ascii="Times New Roman" w:hAnsi="Times New Roman" w:cs="Times New Roman"/>
          <w:iCs/>
          <w:sz w:val="24"/>
          <w:szCs w:val="24"/>
        </w:rPr>
        <w:t>cta</w:t>
      </w:r>
      <w:r w:rsidRPr="0021416C">
        <w:rPr>
          <w:rFonts w:ascii="Times New Roman" w:hAnsi="Times New Roman" w:cs="Times New Roman"/>
          <w:sz w:val="24"/>
          <w:szCs w:val="24"/>
        </w:rPr>
        <w:t>decyloxacarbocyanine Perchlorate (</w:t>
      </w:r>
      <w:r w:rsidRPr="0021416C">
        <w:rPr>
          <w:rFonts w:ascii="Times New Roman" w:hAnsi="Times New Roman" w:cs="Times New Roman"/>
          <w:caps/>
          <w:sz w:val="24"/>
          <w:szCs w:val="24"/>
        </w:rPr>
        <w:t>DIO</w:t>
      </w:r>
      <w:r w:rsidRPr="0021416C">
        <w:rPr>
          <w:rFonts w:ascii="Times New Roman" w:hAnsi="Times New Roman" w:cs="Times New Roman"/>
          <w:sz w:val="24"/>
          <w:szCs w:val="24"/>
        </w:rPr>
        <w:t>), Fluorescein Isothiocyanate (</w:t>
      </w:r>
      <w:r w:rsidRPr="0021416C">
        <w:rPr>
          <w:rFonts w:ascii="Times New Roman" w:hAnsi="Times New Roman" w:cs="Times New Roman"/>
          <w:caps/>
          <w:sz w:val="24"/>
          <w:szCs w:val="24"/>
        </w:rPr>
        <w:t>FITC</w:t>
      </w:r>
      <w:r w:rsidRPr="0021416C">
        <w:rPr>
          <w:rFonts w:ascii="Times New Roman" w:hAnsi="Times New Roman" w:cs="Times New Roman"/>
          <w:sz w:val="24"/>
          <w:szCs w:val="24"/>
        </w:rPr>
        <w:t>)</w:t>
      </w:r>
      <w:r w:rsidRPr="0021416C">
        <w:rPr>
          <w:rFonts w:ascii="微软雅黑" w:eastAsia="微软雅黑" w:hAnsi="微软雅黑" w:hint="eastAsia"/>
          <w:sz w:val="18"/>
          <w:szCs w:val="18"/>
          <w:shd w:val="clear" w:color="auto" w:fill="FFFFFF"/>
        </w:rPr>
        <w:t xml:space="preserve"> </w:t>
      </w:r>
      <w:r w:rsidRPr="0021416C">
        <w:rPr>
          <w:rFonts w:ascii="Times New Roman" w:hAnsi="Times New Roman" w:cs="Times New Roman" w:hint="eastAsia"/>
          <w:caps/>
          <w:sz w:val="24"/>
          <w:szCs w:val="24"/>
        </w:rPr>
        <w:t>FITC</w:t>
      </w:r>
      <w:r w:rsidRPr="0021416C">
        <w:rPr>
          <w:rFonts w:ascii="Times New Roman" w:hAnsi="Times New Roman" w:cs="Times New Roman" w:hint="eastAsia"/>
          <w:sz w:val="24"/>
          <w:szCs w:val="24"/>
        </w:rPr>
        <w:t>-labeled Goat Anti-Mouse IgG (H+L)</w:t>
      </w:r>
      <w:r w:rsidRPr="0021416C">
        <w:rPr>
          <w:rFonts w:ascii="Times New Roman" w:hAnsi="Times New Roman" w:cs="Times New Roman"/>
          <w:sz w:val="24"/>
          <w:szCs w:val="24"/>
        </w:rPr>
        <w:t>,</w:t>
      </w:r>
      <w:r w:rsidRPr="0021416C">
        <w:rPr>
          <w:rFonts w:ascii="Times New Roman" w:hAnsi="Times New Roman" w:cs="Times New Roman" w:hint="eastAsia"/>
          <w:sz w:val="24"/>
          <w:szCs w:val="24"/>
        </w:rPr>
        <w:t xml:space="preserve"> R</w:t>
      </w:r>
      <w:r w:rsidRPr="0021416C">
        <w:rPr>
          <w:rFonts w:ascii="Times New Roman" w:hAnsi="Times New Roman" w:cs="Times New Roman"/>
          <w:sz w:val="24"/>
          <w:szCs w:val="24"/>
        </w:rPr>
        <w:t xml:space="preserve">eactive oxygen species </w:t>
      </w:r>
      <w:r w:rsidRPr="0021416C">
        <w:rPr>
          <w:rFonts w:ascii="Times New Roman" w:hAnsi="Times New Roman" w:cs="Times New Roman" w:hint="eastAsia"/>
          <w:sz w:val="24"/>
          <w:szCs w:val="24"/>
        </w:rPr>
        <w:t>(</w:t>
      </w:r>
      <w:r w:rsidRPr="0021416C">
        <w:rPr>
          <w:rFonts w:ascii="Times New Roman" w:hAnsi="Times New Roman" w:cs="Times New Roman"/>
          <w:sz w:val="24"/>
          <w:szCs w:val="24"/>
        </w:rPr>
        <w:t>ROS</w:t>
      </w:r>
      <w:r w:rsidRPr="0021416C">
        <w:rPr>
          <w:rFonts w:ascii="Times New Roman" w:hAnsi="Times New Roman" w:cs="Times New Roman" w:hint="eastAsia"/>
          <w:sz w:val="24"/>
          <w:szCs w:val="24"/>
        </w:rPr>
        <w:t>)</w:t>
      </w:r>
      <w:r w:rsidRPr="0021416C">
        <w:rPr>
          <w:rFonts w:ascii="Times New Roman" w:hAnsi="Times New Roman" w:cs="Times New Roman"/>
          <w:sz w:val="24"/>
          <w:szCs w:val="24"/>
        </w:rPr>
        <w:t xml:space="preserve"> Assay Kit, </w:t>
      </w:r>
      <w:r w:rsidR="00926E6A" w:rsidRPr="00926E6A">
        <w:rPr>
          <w:rFonts w:ascii="Times New Roman" w:hAnsi="Times New Roman" w:cs="Times New Roman" w:hint="eastAsia"/>
          <w:caps/>
          <w:sz w:val="24"/>
          <w:szCs w:val="24"/>
        </w:rPr>
        <w:t xml:space="preserve">JC-1 </w:t>
      </w:r>
      <w:r w:rsidR="00926E6A" w:rsidRPr="00926E6A">
        <w:rPr>
          <w:rFonts w:ascii="Times New Roman" w:hAnsi="Times New Roman" w:cs="Times New Roman"/>
          <w:sz w:val="24"/>
          <w:szCs w:val="24"/>
        </w:rPr>
        <w:t>Mitochondrial Membrane Potential Assay Kit</w:t>
      </w:r>
      <w:r w:rsidR="00926E6A">
        <w:rPr>
          <w:rFonts w:ascii="Times New Roman" w:hAnsi="Times New Roman" w:cs="Times New Roman"/>
          <w:sz w:val="24"/>
          <w:szCs w:val="24"/>
        </w:rPr>
        <w:t>,</w:t>
      </w:r>
      <w:r w:rsidRPr="0021416C">
        <w:rPr>
          <w:rFonts w:ascii="Times New Roman" w:hAnsi="Times New Roman" w:cs="Times New Roman"/>
          <w:sz w:val="24"/>
          <w:szCs w:val="24"/>
        </w:rPr>
        <w:t xml:space="preserve"> </w:t>
      </w:r>
      <w:r w:rsidR="00926E6A" w:rsidRPr="00926E6A">
        <w:rPr>
          <w:rFonts w:ascii="Times New Roman" w:hAnsi="Times New Roman" w:cs="Times New Roman" w:hint="eastAsia"/>
          <w:sz w:val="24"/>
          <w:szCs w:val="24"/>
        </w:rPr>
        <w:t>Annexin V-FITC/PI Apoptosis Detection Kit</w:t>
      </w:r>
      <w:r w:rsidR="00B7383B">
        <w:rPr>
          <w:rFonts w:ascii="Times New Roman" w:hAnsi="Times New Roman" w:cs="Times New Roman" w:hint="eastAsia"/>
          <w:sz w:val="24"/>
          <w:szCs w:val="24"/>
        </w:rPr>
        <w:t xml:space="preserve"> </w:t>
      </w:r>
      <w:r w:rsidRPr="0021416C">
        <w:rPr>
          <w:rFonts w:ascii="Times New Roman" w:hAnsi="Times New Roman" w:cs="Times New Roman"/>
          <w:sz w:val="24"/>
          <w:szCs w:val="24"/>
        </w:rPr>
        <w:t>(</w:t>
      </w:r>
      <w:r w:rsidRPr="0021416C">
        <w:rPr>
          <w:rFonts w:ascii="Times New Roman" w:hAnsi="Times New Roman" w:cs="Times New Roman"/>
          <w:caps/>
          <w:sz w:val="24"/>
          <w:szCs w:val="24"/>
        </w:rPr>
        <w:t>FITC</w:t>
      </w:r>
      <w:r w:rsidRPr="0021416C">
        <w:rPr>
          <w:rFonts w:ascii="Times New Roman" w:hAnsi="Times New Roman" w:cs="Times New Roman"/>
          <w:sz w:val="24"/>
          <w:szCs w:val="24"/>
        </w:rPr>
        <w:t xml:space="preserve">: Fluorescein Isothiocyanate; </w:t>
      </w:r>
      <w:r w:rsidRPr="0021416C">
        <w:rPr>
          <w:rFonts w:ascii="Times New Roman" w:hAnsi="Times New Roman" w:cs="Times New Roman"/>
          <w:iCs/>
          <w:caps/>
          <w:sz w:val="24"/>
          <w:szCs w:val="24"/>
        </w:rPr>
        <w:t>PI</w:t>
      </w:r>
      <w:r w:rsidRPr="0021416C">
        <w:rPr>
          <w:rFonts w:ascii="Times New Roman" w:hAnsi="Times New Roman" w:cs="Times New Roman"/>
          <w:sz w:val="24"/>
          <w:szCs w:val="24"/>
        </w:rPr>
        <w:t xml:space="preserve">: Propidium Iodide), and Mitochondrial ATP Assay Kit (ATP: Adenosine Triphosphate) were purchased from Beyotime Biotechnology Co., Ltd. (Shanghai, China). D-Luciferin potassium salt D, </w:t>
      </w:r>
      <w:r w:rsidRPr="0021416C">
        <w:rPr>
          <w:rFonts w:ascii="Times New Roman" w:hAnsi="Times New Roman" w:cs="Times New Roman"/>
          <w:iCs/>
          <w:sz w:val="24"/>
          <w:szCs w:val="24"/>
        </w:rPr>
        <w:t xml:space="preserve">DIR </w:t>
      </w:r>
      <w:r w:rsidRPr="0021416C">
        <w:rPr>
          <w:rFonts w:ascii="Times New Roman" w:hAnsi="Times New Roman" w:cs="Times New Roman"/>
          <w:sz w:val="24"/>
          <w:szCs w:val="24"/>
        </w:rPr>
        <w:t>iodide, and Cell Counting kit-8 (CCK-8) assay kit were purchased from Yeasen Biotech Co., Ltd (Shanghai, China). Antibodies against Phospho-NF-κB p65 (Ser536) (p-NF-κB p65), NF-κB p65, Bcl-2, BAX, Caspase-1, Cleaved Caspase-3 (Asp175), Cytochrome c (CytC), and GAPDH were purchased from Cell Signaling Technology, Inc. (Shanghai, China).</w:t>
      </w:r>
      <w:r w:rsidRPr="0021416C">
        <w:rPr>
          <w:rFonts w:ascii="Times New Roman" w:hAnsi="Times New Roman" w:cs="Times New Roman" w:hint="eastAsia"/>
          <w:sz w:val="24"/>
          <w:szCs w:val="24"/>
        </w:rPr>
        <w:t xml:space="preserve"> ELISA Kits (</w:t>
      </w:r>
      <w:r w:rsidRPr="0021416C">
        <w:rPr>
          <w:rFonts w:ascii="Times New Roman" w:hAnsi="Times New Roman" w:cs="Times New Roman"/>
          <w:sz w:val="24"/>
          <w:szCs w:val="24"/>
        </w:rPr>
        <w:t>IL-6, IL-1β, TNF-α, CSF2, IFN-γ, and</w:t>
      </w:r>
      <w:r w:rsidRPr="0021416C">
        <w:rPr>
          <w:rFonts w:ascii="Times New Roman" w:hAnsi="Times New Roman" w:cs="Times New Roman" w:hint="eastAsia"/>
          <w:sz w:val="24"/>
          <w:szCs w:val="24"/>
        </w:rPr>
        <w:t xml:space="preserve"> high mobility group box 1</w:t>
      </w:r>
      <w:r w:rsidRPr="0021416C">
        <w:rPr>
          <w:rFonts w:ascii="Times New Roman" w:hAnsi="Times New Roman" w:cs="Times New Roman"/>
          <w:sz w:val="24"/>
          <w:szCs w:val="24"/>
        </w:rPr>
        <w:t xml:space="preserve"> </w:t>
      </w:r>
      <w:r w:rsidRPr="0021416C">
        <w:rPr>
          <w:rFonts w:ascii="Times New Roman" w:hAnsi="Times New Roman" w:cs="Times New Roman" w:hint="eastAsia"/>
          <w:sz w:val="24"/>
          <w:szCs w:val="24"/>
        </w:rPr>
        <w:t>(</w:t>
      </w:r>
      <w:r w:rsidRPr="0021416C">
        <w:rPr>
          <w:rFonts w:ascii="Times New Roman" w:hAnsi="Times New Roman" w:cs="Times New Roman"/>
          <w:sz w:val="24"/>
          <w:szCs w:val="24"/>
        </w:rPr>
        <w:t>HMGB1</w:t>
      </w:r>
      <w:r w:rsidRPr="0021416C">
        <w:rPr>
          <w:rFonts w:ascii="Times New Roman" w:hAnsi="Times New Roman" w:cs="Times New Roman" w:hint="eastAsia"/>
          <w:sz w:val="24"/>
          <w:szCs w:val="24"/>
        </w:rPr>
        <w:t>)</w:t>
      </w:r>
      <w:r w:rsidRPr="0021416C">
        <w:rPr>
          <w:rFonts w:ascii="Times New Roman" w:hAnsi="Times New Roman" w:cs="Times New Roman"/>
          <w:sz w:val="24"/>
          <w:szCs w:val="24"/>
        </w:rPr>
        <w:t xml:space="preserve">) were purchased from Ruixinbio (Quanzhou, China). The tumor tissue dissociation kit was procured from SeekGene (Beijing SeekGene Biotechnology Co., Ltd., China). Flow cytometry reagents were purchased from BioLegend, including: </w:t>
      </w:r>
      <w:r w:rsidRPr="0021416C">
        <w:rPr>
          <w:rFonts w:ascii="Times New Roman" w:hAnsi="Times New Roman" w:cs="Times New Roman" w:hint="eastAsia"/>
          <w:sz w:val="24"/>
          <w:szCs w:val="24"/>
        </w:rPr>
        <w:t xml:space="preserve">(1) </w:t>
      </w:r>
      <w:r w:rsidRPr="0021416C">
        <w:rPr>
          <w:rFonts w:ascii="Times New Roman" w:hAnsi="Times New Roman" w:cs="Times New Roman"/>
          <w:sz w:val="24"/>
          <w:szCs w:val="24"/>
        </w:rPr>
        <w:t xml:space="preserve">Antibodies: Brilliant Violet 510™ anti-mouse CD45 (#103137), APC anti-mouse CD206 (#141707), APC/Fire™ 750 anti-mouse CD3 (#100247), Brilliant Violet 785™ anti-mouse F4/80 (#123141), Alexa Fluor® 700 anti-mouse CD4 (#100536), Brilliant Violet 650™ anti-mouse CD8a (#100741), Brilliant Violet 605™ anti-mouse CD80, PE/Cyanine7 anti-mouse CD86, </w:t>
      </w:r>
      <w:r w:rsidRPr="0021416C">
        <w:rPr>
          <w:rFonts w:ascii="Times New Roman" w:hAnsi="Times New Roman" w:cs="Times New Roman"/>
          <w:caps/>
          <w:sz w:val="24"/>
          <w:szCs w:val="24"/>
        </w:rPr>
        <w:t>FITC</w:t>
      </w:r>
      <w:r w:rsidRPr="0021416C">
        <w:rPr>
          <w:rFonts w:ascii="Times New Roman" w:hAnsi="Times New Roman" w:cs="Times New Roman"/>
          <w:sz w:val="24"/>
          <w:szCs w:val="24"/>
        </w:rPr>
        <w:t xml:space="preserve"> anti-mouse CD11c. </w:t>
      </w:r>
      <w:r w:rsidRPr="0021416C">
        <w:rPr>
          <w:rFonts w:ascii="Times New Roman" w:hAnsi="Times New Roman" w:cs="Times New Roman" w:hint="eastAsia"/>
          <w:sz w:val="24"/>
          <w:szCs w:val="24"/>
        </w:rPr>
        <w:t xml:space="preserve">(2) </w:t>
      </w:r>
      <w:r w:rsidRPr="0021416C">
        <w:rPr>
          <w:rFonts w:ascii="Times New Roman" w:hAnsi="Times New Roman" w:cs="Times New Roman"/>
          <w:sz w:val="24"/>
          <w:szCs w:val="24"/>
        </w:rPr>
        <w:t xml:space="preserve">Other reagents: Fixation Buffer (#420801), Intracellular Staining Perm Wash Buffer (#421002), TruStain FcX™ (#101319), Cell Staining Buffer (#420201), Brefeldin A Solution (#420601), Compensation Beads (#424602). All reagents were </w:t>
      </w:r>
      <w:r w:rsidRPr="0021416C">
        <w:rPr>
          <w:rFonts w:ascii="Times New Roman" w:hAnsi="Times New Roman" w:cs="Times New Roman"/>
          <w:sz w:val="24"/>
          <w:szCs w:val="24"/>
        </w:rPr>
        <w:lastRenderedPageBreak/>
        <w:t>used according to the manufacturer’s protocols.</w:t>
      </w:r>
    </w:p>
    <w:p w14:paraId="49A44F19" w14:textId="77777777" w:rsidR="009E1F78" w:rsidRPr="0021416C" w:rsidRDefault="009E1F78">
      <w:pPr>
        <w:widowControl/>
        <w:spacing w:line="360" w:lineRule="auto"/>
        <w:rPr>
          <w:rFonts w:ascii="Times New Roman" w:hAnsi="Times New Roman" w:cs="Times New Roman"/>
          <w:b/>
          <w:bCs/>
          <w:sz w:val="24"/>
        </w:rPr>
      </w:pPr>
    </w:p>
    <w:p w14:paraId="3F7B5D74" w14:textId="77777777" w:rsidR="009E1F78" w:rsidRPr="0021416C" w:rsidRDefault="00000000">
      <w:pPr>
        <w:widowControl/>
        <w:spacing w:line="360" w:lineRule="auto"/>
        <w:rPr>
          <w:rFonts w:ascii="Times New Roman" w:hAnsi="Times New Roman" w:cs="Times New Roman"/>
          <w:sz w:val="24"/>
          <w:szCs w:val="24"/>
        </w:rPr>
      </w:pPr>
      <w:r w:rsidRPr="0021416C">
        <w:rPr>
          <w:rFonts w:ascii="Times New Roman" w:hAnsi="Times New Roman" w:cs="Times New Roman"/>
          <w:b/>
          <w:bCs/>
          <w:sz w:val="24"/>
        </w:rPr>
        <w:t xml:space="preserve">Cell lines and </w:t>
      </w:r>
      <w:r w:rsidRPr="0021416C">
        <w:rPr>
          <w:rFonts w:ascii="Times New Roman" w:hAnsi="Times New Roman" w:cs="Times New Roman" w:hint="eastAsia"/>
          <w:b/>
          <w:bCs/>
          <w:sz w:val="24"/>
        </w:rPr>
        <w:t>a</w:t>
      </w:r>
      <w:r w:rsidRPr="0021416C">
        <w:rPr>
          <w:rFonts w:ascii="Times New Roman" w:hAnsi="Times New Roman" w:cs="Times New Roman"/>
          <w:b/>
          <w:bCs/>
          <w:sz w:val="24"/>
        </w:rPr>
        <w:t>nimal</w:t>
      </w:r>
      <w:r w:rsidRPr="0021416C">
        <w:rPr>
          <w:rFonts w:ascii="Times New Roman" w:hAnsi="Times New Roman" w:cs="Times New Roman" w:hint="eastAsia"/>
          <w:b/>
          <w:bCs/>
          <w:sz w:val="24"/>
        </w:rPr>
        <w:t>s.</w:t>
      </w:r>
      <w:r w:rsidRPr="0021416C">
        <w:rPr>
          <w:rFonts w:ascii="Times New Roman" w:hAnsi="Times New Roman" w:cs="Times New Roman" w:hint="eastAsia"/>
          <w:sz w:val="24"/>
          <w:szCs w:val="24"/>
        </w:rPr>
        <w:t xml:space="preserve"> The murine colon adenocarcinoma cell line CT26 and luciferase-labeled CT26 cell line (CT26-Luc) were obtained from Procell Life Science &amp; Technology Co., Ltd. The </w:t>
      </w:r>
      <w:r w:rsidRPr="0021416C">
        <w:rPr>
          <w:rFonts w:ascii="Times New Roman" w:hAnsi="Times New Roman" w:cs="Times New Roman"/>
          <w:sz w:val="24"/>
          <w:szCs w:val="24"/>
        </w:rPr>
        <w:t>following cell lines were purchased from the American Type Culture Collection (ATCC):</w:t>
      </w:r>
      <w:r w:rsidRPr="0021416C">
        <w:rPr>
          <w:rFonts w:ascii="Times New Roman" w:hAnsi="Times New Roman" w:cs="Times New Roman" w:hint="eastAsia"/>
          <w:sz w:val="24"/>
          <w:szCs w:val="24"/>
        </w:rPr>
        <w:t xml:space="preserve"> the colon adenocarcinoma cell lines MC38, HCT15, and HCT116; the human embryonic kidney cell line 293T; and the normal human colon epithel</w:t>
      </w:r>
      <w:r w:rsidRPr="0021416C">
        <w:rPr>
          <w:rFonts w:ascii="Times New Roman" w:hAnsi="Times New Roman" w:cs="Times New Roman"/>
          <w:sz w:val="24"/>
          <w:szCs w:val="24"/>
        </w:rPr>
        <w:t>ial cell line NCM460. All cell lines were tested for mycoplasma contamination using a commercial detection kit. Female BALB/c mice (5</w:t>
      </w:r>
      <w:r w:rsidRPr="0021416C">
        <w:rPr>
          <w:rFonts w:ascii="Times New Roman" w:hAnsi="Times New Roman" w:cs="Times New Roman" w:hint="eastAsia"/>
          <w:sz w:val="24"/>
          <w:szCs w:val="24"/>
        </w:rPr>
        <w:t>-</w:t>
      </w:r>
      <w:r w:rsidRPr="0021416C">
        <w:rPr>
          <w:rFonts w:ascii="Times New Roman" w:hAnsi="Times New Roman" w:cs="Times New Roman"/>
          <w:sz w:val="24"/>
          <w:szCs w:val="24"/>
        </w:rPr>
        <w:t>6 weeks old, 16</w:t>
      </w:r>
      <w:r w:rsidRPr="0021416C">
        <w:rPr>
          <w:rFonts w:ascii="Times New Roman" w:hAnsi="Times New Roman" w:cs="Times New Roman" w:hint="eastAsia"/>
          <w:sz w:val="24"/>
          <w:szCs w:val="24"/>
        </w:rPr>
        <w:t>-</w:t>
      </w:r>
      <w:r w:rsidRPr="0021416C">
        <w:rPr>
          <w:rFonts w:ascii="Times New Roman" w:hAnsi="Times New Roman" w:cs="Times New Roman"/>
          <w:sz w:val="24"/>
          <w:szCs w:val="24"/>
        </w:rPr>
        <w:t xml:space="preserve">18 g) were obtained from GemPharmatech Co., Ltd. and housed under specific pathogen-free (SPF) conditions. All animal experimental protocols were approved by the Animal Care and Use Committee (approval No. </w:t>
      </w:r>
      <w:r w:rsidRPr="0021416C">
        <w:rPr>
          <w:rFonts w:ascii="Times New Roman" w:hAnsi="Times New Roman" w:cs="Times New Roman"/>
          <w:sz w:val="24"/>
        </w:rPr>
        <w:t>TOPGM-IACUC-2025-0181</w:t>
      </w:r>
      <w:r w:rsidRPr="0021416C">
        <w:rPr>
          <w:rFonts w:ascii="Times New Roman" w:hAnsi="Times New Roman" w:cs="Times New Roman"/>
          <w:sz w:val="24"/>
          <w:szCs w:val="24"/>
        </w:rPr>
        <w:t>).</w:t>
      </w:r>
    </w:p>
    <w:p w14:paraId="7ABD1024" w14:textId="77777777" w:rsidR="009E1F78" w:rsidRPr="0021416C" w:rsidRDefault="009E1F78">
      <w:pPr>
        <w:widowControl/>
        <w:spacing w:line="360" w:lineRule="auto"/>
        <w:rPr>
          <w:rFonts w:ascii="Times New Roman" w:hAnsi="Times New Roman" w:cs="Times New Roman"/>
          <w:b/>
          <w:bCs/>
          <w:sz w:val="24"/>
          <w:szCs w:val="24"/>
        </w:rPr>
      </w:pPr>
    </w:p>
    <w:p w14:paraId="42212F96" w14:textId="77777777" w:rsidR="009E1F78" w:rsidRPr="0021416C" w:rsidRDefault="00000000">
      <w:pPr>
        <w:widowControl/>
        <w:spacing w:line="360" w:lineRule="auto"/>
        <w:rPr>
          <w:rFonts w:ascii="Times New Roman" w:hAnsi="Times New Roman" w:cs="Times New Roman"/>
          <w:b/>
          <w:bCs/>
          <w:sz w:val="24"/>
          <w:szCs w:val="24"/>
        </w:rPr>
      </w:pPr>
      <w:r w:rsidRPr="0021416C">
        <w:rPr>
          <w:rFonts w:ascii="Times New Roman" w:hAnsi="Times New Roman" w:cs="Times New Roman" w:hint="eastAsia"/>
          <w:b/>
          <w:bCs/>
          <w:sz w:val="24"/>
          <w:szCs w:val="24"/>
        </w:rPr>
        <w:t>Synthesis and characterization of BRM nanomedicine</w:t>
      </w:r>
    </w:p>
    <w:p w14:paraId="0E2B66BC" w14:textId="4E23F2C3" w:rsidR="009E1F78" w:rsidRPr="0021416C" w:rsidRDefault="00000000">
      <w:pPr>
        <w:widowControl/>
        <w:spacing w:line="360" w:lineRule="auto"/>
        <w:rPr>
          <w:rFonts w:ascii="Times New Roman" w:hAnsi="Times New Roman" w:cs="Times New Roman"/>
          <w:sz w:val="24"/>
          <w:szCs w:val="24"/>
        </w:rPr>
      </w:pPr>
      <w:r w:rsidRPr="0021416C">
        <w:rPr>
          <w:rFonts w:ascii="Times New Roman" w:hAnsi="Times New Roman" w:cs="Times New Roman" w:hint="eastAsia"/>
          <w:b/>
          <w:bCs/>
          <w:sz w:val="24"/>
          <w:szCs w:val="24"/>
        </w:rPr>
        <w:t xml:space="preserve">Synthesis: </w:t>
      </w:r>
      <w:r w:rsidRPr="0021416C">
        <w:rPr>
          <w:rFonts w:ascii="Times New Roman" w:hAnsi="Times New Roman" w:cs="Times New Roman" w:hint="eastAsia"/>
          <w:sz w:val="24"/>
          <w:szCs w:val="24"/>
        </w:rPr>
        <w:t xml:space="preserve">BRM nanomedicine was fabricated via a controlled two-step assembly protocol. 14.2 mg of Rhein was dissolved in 80 mL of </w:t>
      </w:r>
      <w:r w:rsidR="00ED0903" w:rsidRPr="00ED0903">
        <w:rPr>
          <w:rFonts w:ascii="Times New Roman" w:hAnsi="Times New Roman" w:cs="Times New Roman"/>
          <w:sz w:val="24"/>
          <w:szCs w:val="24"/>
        </w:rPr>
        <w:t>double-distilled water (ddH₂O)</w:t>
      </w:r>
      <w:r w:rsidRPr="0021416C">
        <w:rPr>
          <w:rFonts w:ascii="Times New Roman" w:hAnsi="Times New Roman" w:cs="Times New Roman" w:hint="eastAsia"/>
          <w:sz w:val="24"/>
          <w:szCs w:val="24"/>
        </w:rPr>
        <w:t xml:space="preserve">, and the pH was adjusted to 10 using NaOH to ensure complete solubilization. Separately, 39.4 mg </w:t>
      </w:r>
      <w:r w:rsidR="00394D8B">
        <w:rPr>
          <w:rFonts w:ascii="Times New Roman" w:hAnsi="Times New Roman" w:cs="Times New Roman" w:hint="eastAsia"/>
          <w:sz w:val="24"/>
          <w:szCs w:val="24"/>
        </w:rPr>
        <w:t>MnCl</w:t>
      </w:r>
      <w:r w:rsidR="00394D8B" w:rsidRPr="00394D8B">
        <w:rPr>
          <w:rFonts w:ascii="Times New Roman" w:hAnsi="Times New Roman" w:cs="Times New Roman" w:hint="eastAsia"/>
          <w:sz w:val="24"/>
          <w:szCs w:val="24"/>
          <w:vertAlign w:val="subscript"/>
        </w:rPr>
        <w:t>2</w:t>
      </w:r>
      <w:r w:rsidRPr="0021416C">
        <w:rPr>
          <w:rFonts w:ascii="Times New Roman" w:hAnsi="Times New Roman" w:cs="Times New Roman" w:hint="eastAsia"/>
          <w:sz w:val="24"/>
          <w:szCs w:val="24"/>
        </w:rPr>
        <w:t xml:space="preserve"> </w:t>
      </w:r>
      <w:r w:rsidRPr="0021416C">
        <w:rPr>
          <w:rFonts w:ascii="Times New Roman" w:hAnsi="Times New Roman" w:cs="Times New Roman"/>
          <w:sz w:val="24"/>
          <w:szCs w:val="24"/>
        </w:rPr>
        <w:t>tetrahydrate was dissolved in 10 mL of deionized water. Then these two solutions were mixed, and the pH was tuned to 8.5 with NaOH under magnetic stirring, followed by a 10-minute incubation to facilitate coordination between Rhein and Mn²⁺ and form</w:t>
      </w:r>
      <w:r w:rsidRPr="0021416C">
        <w:rPr>
          <w:rFonts w:ascii="Times New Roman" w:hAnsi="Times New Roman" w:cs="Times New Roman" w:hint="eastAsia"/>
          <w:sz w:val="24"/>
          <w:szCs w:val="24"/>
        </w:rPr>
        <w:t xml:space="preserve"> Rhein-Mn intermediate complexes. Subsequently, 20 mg of </w:t>
      </w:r>
      <w:r w:rsidR="00C308C8">
        <w:rPr>
          <w:rFonts w:ascii="Times New Roman" w:hAnsi="Times New Roman" w:cs="Times New Roman" w:hint="eastAsia"/>
          <w:sz w:val="24"/>
          <w:szCs w:val="24"/>
        </w:rPr>
        <w:t>BSA</w:t>
      </w:r>
      <w:r w:rsidRPr="0021416C">
        <w:rPr>
          <w:rFonts w:ascii="Times New Roman" w:hAnsi="Times New Roman" w:cs="Times New Roman" w:hint="eastAsia"/>
          <w:sz w:val="24"/>
          <w:szCs w:val="24"/>
        </w:rPr>
        <w:t xml:space="preserve"> pre-dissolved in 10 mL of distilled water was added to the RM solution. The mixture was incubated for 2 hours to drive BSA encapsulation via self-assembly and finally yield spherical BRM nanomedicine with a Rhein-Mn molar ratio of 2:1. To systematically evaluate the influence of Rhein-Mn stoichiometry on the physicochemical properties and biological functions of BRM nanomedicine, three additional formulations were prepared following the same two-step assembly procedure. The dosages of Rhein and </w:t>
      </w:r>
      <w:r w:rsidR="00394D8B">
        <w:rPr>
          <w:rFonts w:ascii="Times New Roman" w:hAnsi="Times New Roman" w:cs="Times New Roman" w:hint="eastAsia"/>
          <w:sz w:val="24"/>
          <w:szCs w:val="24"/>
        </w:rPr>
        <w:t>MnCl</w:t>
      </w:r>
      <w:r w:rsidR="00394D8B" w:rsidRPr="00394D8B">
        <w:rPr>
          <w:rFonts w:ascii="Times New Roman" w:hAnsi="Times New Roman" w:cs="Times New Roman" w:hint="eastAsia"/>
          <w:sz w:val="24"/>
          <w:szCs w:val="24"/>
          <w:vertAlign w:val="subscript"/>
        </w:rPr>
        <w:t>2</w:t>
      </w:r>
      <w:r w:rsidRPr="0021416C">
        <w:rPr>
          <w:rFonts w:ascii="Times New Roman" w:hAnsi="Times New Roman" w:cs="Times New Roman" w:hint="eastAsia"/>
          <w:sz w:val="24"/>
          <w:szCs w:val="24"/>
        </w:rPr>
        <w:t xml:space="preserve"> tetrahydrate were adjusted proportionally while keeping the total reaction volume and the amount of BSA unchanged. In total, four batches of BRM nanomedicine with Rhein-Mn molar ratios of 0.5:1, 1:1, 2:1</w:t>
      </w:r>
      <w:r w:rsidRPr="0021416C">
        <w:rPr>
          <w:rFonts w:ascii="Times New Roman" w:hAnsi="Times New Roman" w:cs="Times New Roman"/>
          <w:sz w:val="24"/>
          <w:szCs w:val="24"/>
        </w:rPr>
        <w:t>,</w:t>
      </w:r>
      <w:r w:rsidRPr="0021416C">
        <w:rPr>
          <w:rFonts w:ascii="Times New Roman" w:hAnsi="Times New Roman" w:cs="Times New Roman" w:hint="eastAsia"/>
          <w:sz w:val="24"/>
          <w:szCs w:val="24"/>
        </w:rPr>
        <w:t xml:space="preserve"> and 3:1 </w:t>
      </w:r>
      <w:r w:rsidRPr="0021416C">
        <w:rPr>
          <w:rFonts w:ascii="Times New Roman" w:hAnsi="Times New Roman" w:cs="Times New Roman" w:hint="eastAsia"/>
          <w:sz w:val="24"/>
          <w:szCs w:val="24"/>
        </w:rPr>
        <w:lastRenderedPageBreak/>
        <w:t xml:space="preserve">were successfully synthesized for subsequent characterization and </w:t>
      </w:r>
      <w:r w:rsidRPr="003001C0">
        <w:rPr>
          <w:rFonts w:ascii="Times New Roman" w:hAnsi="Times New Roman" w:cs="Times New Roman"/>
          <w:i/>
          <w:iCs/>
          <w:sz w:val="24"/>
          <w:szCs w:val="24"/>
        </w:rPr>
        <w:t>in vitro</w:t>
      </w:r>
      <w:r w:rsidRPr="0021416C">
        <w:rPr>
          <w:rFonts w:ascii="Times New Roman" w:hAnsi="Times New Roman" w:cs="Times New Roman" w:hint="eastAsia"/>
          <w:sz w:val="24"/>
          <w:szCs w:val="24"/>
        </w:rPr>
        <w:t>/</w:t>
      </w:r>
      <w:r w:rsidRPr="003001C0">
        <w:rPr>
          <w:rFonts w:ascii="Times New Roman" w:hAnsi="Times New Roman" w:cs="Times New Roman"/>
          <w:i/>
          <w:iCs/>
          <w:sz w:val="24"/>
          <w:szCs w:val="24"/>
        </w:rPr>
        <w:t>in vivo</w:t>
      </w:r>
      <w:r w:rsidRPr="0021416C">
        <w:rPr>
          <w:rFonts w:ascii="Times New Roman" w:hAnsi="Times New Roman" w:cs="Times New Roman" w:hint="eastAsia"/>
          <w:sz w:val="24"/>
          <w:szCs w:val="24"/>
        </w:rPr>
        <w:t xml:space="preserve"> experiments. </w:t>
      </w:r>
      <w:r w:rsidRPr="0021416C">
        <w:rPr>
          <w:rFonts w:ascii="Times New Roman" w:hAnsi="Times New Roman" w:cs="Times New Roman" w:hint="eastAsia"/>
          <w:b/>
          <w:bCs/>
          <w:sz w:val="24"/>
          <w:szCs w:val="24"/>
        </w:rPr>
        <w:t>Characterization:</w:t>
      </w:r>
      <w:r w:rsidRPr="0021416C">
        <w:rPr>
          <w:rFonts w:ascii="Times New Roman" w:hAnsi="Times New Roman" w:cs="Times New Roman" w:hint="eastAsia"/>
          <w:sz w:val="24"/>
          <w:szCs w:val="24"/>
        </w:rPr>
        <w:t xml:space="preserve"> Morphologies of BRM were observed using transmission electron microscopy (TEM) and scanning electron microscopy (SEM). Hydrodynamic diameter and zeta potential were measured via dynamic light scattering (DLS) using a Zetasizer Nano ZS90 (Ma</w:t>
      </w:r>
      <w:r w:rsidRPr="0021416C">
        <w:rPr>
          <w:rFonts w:ascii="Times New Roman" w:hAnsi="Times New Roman" w:cs="Times New Roman"/>
          <w:sz w:val="24"/>
          <w:szCs w:val="24"/>
        </w:rPr>
        <w:t>lvern, UK). X-ray diffraction (XRD) patterns were recorded on a Rigaku Ultima IV diffractometer to analyze crystalline structure. Fourier transform infrared (FTIR) spectra were collected on a Nicolet 7000-C spectrometer in the range of 400</w:t>
      </w:r>
      <w:r w:rsidRPr="0021416C">
        <w:rPr>
          <w:rFonts w:ascii="Times New Roman" w:hAnsi="Times New Roman" w:cs="Times New Roman" w:hint="eastAsia"/>
          <w:sz w:val="24"/>
          <w:szCs w:val="24"/>
        </w:rPr>
        <w:t>-</w:t>
      </w:r>
      <w:r w:rsidRPr="0021416C">
        <w:rPr>
          <w:rFonts w:ascii="Times New Roman" w:hAnsi="Times New Roman" w:cs="Times New Roman"/>
          <w:sz w:val="24"/>
          <w:szCs w:val="24"/>
        </w:rPr>
        <w:t>4000 cm⁻¹ to ide</w:t>
      </w:r>
      <w:r w:rsidRPr="0021416C">
        <w:rPr>
          <w:rFonts w:ascii="Times New Roman" w:hAnsi="Times New Roman" w:cs="Times New Roman" w:hint="eastAsia"/>
          <w:sz w:val="24"/>
          <w:szCs w:val="24"/>
        </w:rPr>
        <w:t>ntify functional group interactions. For UV-visible (UV-vis) spectroscopy, BRM dispersions were analyzed using a UV-2600 spectrophotometer (Shimadzu, Japan) in the wavelength range of 200-800 nm. The encapsulation efficiency of Rhein in BRM was quantified using high-performance liquid chromatography (HPLC, Agilent 1260) equipped with a C18 column</w:t>
      </w:r>
      <w:r w:rsidRPr="0021416C">
        <w:rPr>
          <w:rFonts w:ascii="Times New Roman" w:hAnsi="Times New Roman" w:cs="Times New Roman"/>
          <w:sz w:val="24"/>
          <w:szCs w:val="24"/>
        </w:rPr>
        <w:t xml:space="preserve"> (250 × 4.6 mm, 5 μm).</w:t>
      </w:r>
      <w:r w:rsidRPr="0021416C">
        <w:rPr>
          <w:rFonts w:ascii="Times New Roman" w:hAnsi="Times New Roman" w:cs="Times New Roman" w:hint="eastAsia"/>
          <w:sz w:val="24"/>
          <w:szCs w:val="24"/>
        </w:rPr>
        <w:t xml:space="preserve"> The mobile phase consisted of methanol:0.1% phosphoric acid (60:40, v/v) at a flow rate of 1 mL/min, with detection at 280 nm. </w:t>
      </w:r>
      <w:r w:rsidRPr="0021416C">
        <w:rPr>
          <w:rFonts w:ascii="Times New Roman" w:hAnsi="Times New Roman" w:cs="Times New Roman"/>
          <w:i/>
          <w:sz w:val="24"/>
          <w:szCs w:val="24"/>
        </w:rPr>
        <w:t>In vitro</w:t>
      </w:r>
      <w:r w:rsidRPr="0021416C">
        <w:rPr>
          <w:rFonts w:ascii="Times New Roman" w:hAnsi="Times New Roman" w:cs="Times New Roman"/>
          <w:sz w:val="24"/>
          <w:szCs w:val="24"/>
        </w:rPr>
        <w:t xml:space="preserve"> degradation behavior was evaluated by dispersing 10 mg BRM in 10 mL </w:t>
      </w:r>
      <w:r w:rsidRPr="00ED0903">
        <w:rPr>
          <w:rFonts w:ascii="Times New Roman" w:hAnsi="Times New Roman" w:cs="Times New Roman"/>
          <w:sz w:val="24"/>
          <w:szCs w:val="24"/>
        </w:rPr>
        <w:t>ddH₂O</w:t>
      </w:r>
      <w:r w:rsidR="00ED0903" w:rsidRPr="00ED0903">
        <w:rPr>
          <w:rFonts w:ascii="Times New Roman" w:hAnsi="Times New Roman" w:cs="Times New Roman"/>
          <w:sz w:val="24"/>
          <w:szCs w:val="24"/>
        </w:rPr>
        <w:t>,</w:t>
      </w:r>
      <w:r w:rsidRPr="0021416C">
        <w:rPr>
          <w:rFonts w:ascii="Times New Roman" w:hAnsi="Times New Roman" w:cs="Times New Roman"/>
          <w:sz w:val="24"/>
          <w:szCs w:val="24"/>
        </w:rPr>
        <w:t xml:space="preserve"> adjusting the pH to 3.0, 4.0, 5.0, 6.0, or </w:t>
      </w:r>
      <w:r w:rsidRPr="0021416C">
        <w:rPr>
          <w:rFonts w:ascii="Times New Roman" w:hAnsi="Times New Roman" w:cs="Times New Roman" w:hint="eastAsia"/>
          <w:sz w:val="24"/>
          <w:szCs w:val="24"/>
        </w:rPr>
        <w:t>7.0</w:t>
      </w:r>
      <w:r w:rsidRPr="0021416C">
        <w:rPr>
          <w:rFonts w:ascii="Times New Roman" w:hAnsi="Times New Roman" w:cs="Times New Roman"/>
          <w:sz w:val="24"/>
          <w:szCs w:val="24"/>
        </w:rPr>
        <w:t xml:space="preserve"> using dilute HCl/NaOH, and incubating at 37</w:t>
      </w:r>
      <w:r w:rsidRPr="0021416C">
        <w:rPr>
          <w:rFonts w:ascii="Times New Roman" w:hAnsi="Times New Roman" w:cs="Times New Roman" w:hint="eastAsia"/>
          <w:sz w:val="24"/>
          <w:szCs w:val="24"/>
        </w:rPr>
        <w:t xml:space="preserve"> </w:t>
      </w:r>
      <w:r w:rsidRPr="0021416C">
        <w:rPr>
          <w:rFonts w:ascii="Times New Roman" w:hAnsi="Times New Roman" w:cs="Times New Roman"/>
          <w:sz w:val="24"/>
          <w:szCs w:val="24"/>
        </w:rPr>
        <w:t>°C for 24 h. Degradation was visualized via photography, and the release of Mn</w:t>
      </w:r>
      <w:r w:rsidRPr="0021416C">
        <w:rPr>
          <w:rFonts w:ascii="Times New Roman" w:hAnsi="Times New Roman" w:cs="Times New Roman"/>
          <w:sz w:val="24"/>
          <w:szCs w:val="24"/>
          <w:vertAlign w:val="superscript"/>
        </w:rPr>
        <w:t>2+</w:t>
      </w:r>
      <w:r w:rsidRPr="0021416C">
        <w:rPr>
          <w:rFonts w:ascii="Times New Roman" w:hAnsi="Times New Roman" w:cs="Times New Roman"/>
          <w:sz w:val="24"/>
          <w:szCs w:val="24"/>
        </w:rPr>
        <w:t xml:space="preserve"> was quantified using inductively coupled plasma mass spectrometry (ICP-MS, Thermo iCAP Qc) after centrifugation (12,000 × g, 10 min) to collect supernatants.</w:t>
      </w:r>
      <w:r w:rsidRPr="0021416C">
        <w:rPr>
          <w:rFonts w:ascii="Times New Roman" w:hAnsi="Times New Roman" w:cs="Times New Roman" w:hint="eastAsia"/>
          <w:sz w:val="24"/>
          <w:szCs w:val="24"/>
        </w:rPr>
        <w:t xml:space="preserve"> </w:t>
      </w:r>
    </w:p>
    <w:p w14:paraId="3210FA96" w14:textId="77777777" w:rsidR="009E1F78" w:rsidRPr="0021416C" w:rsidRDefault="009E1F78">
      <w:pPr>
        <w:widowControl/>
        <w:spacing w:line="360" w:lineRule="auto"/>
        <w:rPr>
          <w:rFonts w:ascii="Times New Roman" w:hAnsi="Times New Roman" w:cs="Times New Roman"/>
          <w:sz w:val="24"/>
          <w:szCs w:val="24"/>
        </w:rPr>
      </w:pPr>
    </w:p>
    <w:p w14:paraId="506A207C" w14:textId="6DA9B17D" w:rsidR="009E1F78" w:rsidRPr="0021416C" w:rsidRDefault="00000000">
      <w:pPr>
        <w:widowControl/>
        <w:spacing w:line="360" w:lineRule="auto"/>
        <w:rPr>
          <w:rFonts w:ascii="Times New Roman" w:hAnsi="Times New Roman" w:cs="Times New Roman"/>
          <w:b/>
          <w:bCs/>
          <w:sz w:val="24"/>
          <w:szCs w:val="24"/>
        </w:rPr>
      </w:pPr>
      <w:r w:rsidRPr="0021416C">
        <w:rPr>
          <w:rFonts w:ascii="Times New Roman" w:hAnsi="Times New Roman" w:cs="Times New Roman" w:hint="eastAsia"/>
          <w:b/>
          <w:bCs/>
          <w:sz w:val="24"/>
          <w:szCs w:val="24"/>
        </w:rPr>
        <w:t xml:space="preserve">Drug loading and encapsulation efficiency. </w:t>
      </w:r>
      <w:r w:rsidRPr="0021416C">
        <w:rPr>
          <w:rFonts w:ascii="Times New Roman" w:hAnsi="Times New Roman" w:cs="Times New Roman" w:hint="eastAsia"/>
          <w:sz w:val="24"/>
          <w:szCs w:val="24"/>
        </w:rPr>
        <w:t>The drug loading content (LC) and encapsulation efficiency (EE) of both rhein and manganese in BRM nanoparticles were determined separately by high-performance liquid chromatography (HPLC) and inductively coupled plasma mass spectrometry (ICP-MS). LC was defined as the percentage of the mass of encapsulated component relative to the total mass of lyophilized BRM nanoparticles. EE was defined as the percentage of the mass of encapsulated component relative to the total mass of the corresponding component initially added during preparation. The calculations were performed using the following equations:</w:t>
      </w:r>
    </w:p>
    <w:p w14:paraId="00702325" w14:textId="3C66A780" w:rsidR="009E1F78" w:rsidRDefault="00797C98">
      <w:pPr>
        <w:widowControl/>
        <w:spacing w:line="360" w:lineRule="auto"/>
        <w:rPr>
          <w:rFonts w:ascii="Times New Roman" w:hAnsi="Times New Roman" w:cs="Times New Roman"/>
          <w:b/>
          <w:bCs/>
          <w:sz w:val="24"/>
        </w:rPr>
      </w:pPr>
      <w:r>
        <w:rPr>
          <w:rFonts w:ascii="Times New Roman" w:hAnsi="Times New Roman" w:cs="Times New Roman"/>
          <w:b/>
          <w:bCs/>
          <w:noProof/>
          <w:sz w:val="24"/>
        </w:rPr>
        <w:lastRenderedPageBreak/>
        <w:drawing>
          <wp:inline distT="0" distB="0" distL="0" distR="0" wp14:anchorId="6A01016E" wp14:editId="39ECB7D5">
            <wp:extent cx="1930625" cy="1202451"/>
            <wp:effectExtent l="0" t="0" r="0" b="0"/>
            <wp:docPr id="124836224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951549" cy="1215483"/>
                    </a:xfrm>
                    <a:prstGeom prst="rect">
                      <a:avLst/>
                    </a:prstGeom>
                    <a:noFill/>
                  </pic:spPr>
                </pic:pic>
              </a:graphicData>
            </a:graphic>
          </wp:inline>
        </w:drawing>
      </w:r>
    </w:p>
    <w:p w14:paraId="64B370C3" w14:textId="77777777" w:rsidR="00797C98" w:rsidRPr="0021416C" w:rsidRDefault="00797C98">
      <w:pPr>
        <w:widowControl/>
        <w:spacing w:line="360" w:lineRule="auto"/>
        <w:rPr>
          <w:rFonts w:ascii="Times New Roman" w:hAnsi="Times New Roman" w:cs="Times New Roman" w:hint="eastAsia"/>
          <w:b/>
          <w:bCs/>
          <w:sz w:val="24"/>
        </w:rPr>
      </w:pPr>
    </w:p>
    <w:p w14:paraId="6900F371" w14:textId="77777777" w:rsidR="009E1F78" w:rsidRPr="0021416C" w:rsidRDefault="00000000">
      <w:pPr>
        <w:widowControl/>
        <w:spacing w:line="360" w:lineRule="auto"/>
        <w:rPr>
          <w:rFonts w:ascii="Times New Roman" w:hAnsi="Times New Roman" w:cs="Times New Roman"/>
          <w:sz w:val="24"/>
          <w:szCs w:val="24"/>
        </w:rPr>
      </w:pPr>
      <w:r w:rsidRPr="0021416C">
        <w:rPr>
          <w:rFonts w:ascii="Times New Roman" w:hAnsi="Times New Roman" w:cs="Times New Roman"/>
          <w:b/>
          <w:bCs/>
          <w:i/>
          <w:sz w:val="24"/>
        </w:rPr>
        <w:t>In vitro</w:t>
      </w:r>
      <w:r w:rsidRPr="0021416C">
        <w:rPr>
          <w:rFonts w:ascii="Times New Roman" w:hAnsi="Times New Roman" w:cs="Times New Roman"/>
          <w:b/>
          <w:bCs/>
          <w:sz w:val="24"/>
        </w:rPr>
        <w:t xml:space="preserve"> cellular uptake of</w:t>
      </w:r>
      <w:r w:rsidRPr="0021416C">
        <w:rPr>
          <w:rFonts w:ascii="Times New Roman" w:hAnsi="Times New Roman" w:cs="Times New Roman" w:hint="eastAsia"/>
          <w:sz w:val="24"/>
          <w:szCs w:val="24"/>
        </w:rPr>
        <w:t xml:space="preserve"> </w:t>
      </w:r>
      <w:r w:rsidRPr="0021416C">
        <w:rPr>
          <w:rFonts w:ascii="Times New Roman" w:hAnsi="Times New Roman" w:cs="Times New Roman" w:hint="eastAsia"/>
          <w:b/>
          <w:bCs/>
          <w:sz w:val="24"/>
          <w:szCs w:val="24"/>
        </w:rPr>
        <w:t>BRM</w:t>
      </w:r>
      <w:r w:rsidRPr="0021416C">
        <w:rPr>
          <w:rFonts w:ascii="Times New Roman" w:hAnsi="Times New Roman" w:cs="Times New Roman" w:hint="eastAsia"/>
          <w:sz w:val="24"/>
          <w:szCs w:val="24"/>
        </w:rPr>
        <w:t xml:space="preserve">. </w:t>
      </w:r>
      <w:r w:rsidRPr="0021416C">
        <w:rPr>
          <w:rFonts w:ascii="Times New Roman" w:hAnsi="Times New Roman" w:cs="Times New Roman"/>
          <w:sz w:val="24"/>
          <w:szCs w:val="24"/>
        </w:rPr>
        <w:t xml:space="preserve">BRM were labeled with </w:t>
      </w:r>
      <w:r w:rsidRPr="0021416C">
        <w:rPr>
          <w:rFonts w:ascii="Times New Roman" w:hAnsi="Times New Roman" w:cs="Times New Roman"/>
          <w:caps/>
          <w:sz w:val="24"/>
          <w:szCs w:val="24"/>
        </w:rPr>
        <w:t>DIO</w:t>
      </w:r>
      <w:r w:rsidRPr="0021416C">
        <w:rPr>
          <w:rFonts w:ascii="Times New Roman" w:hAnsi="Times New Roman" w:cs="Times New Roman"/>
          <w:sz w:val="24"/>
          <w:szCs w:val="24"/>
        </w:rPr>
        <w:t xml:space="preserve"> at 4 °C for 24 h. CT26 cells were seeded in confocal dishes and cultured to 60% confluency, then incubated with </w:t>
      </w:r>
      <w:r w:rsidRPr="0021416C">
        <w:rPr>
          <w:rFonts w:ascii="Times New Roman" w:hAnsi="Times New Roman" w:cs="Times New Roman"/>
          <w:caps/>
          <w:sz w:val="24"/>
          <w:szCs w:val="24"/>
        </w:rPr>
        <w:t>DIO</w:t>
      </w:r>
      <w:r w:rsidRPr="0021416C">
        <w:rPr>
          <w:rFonts w:ascii="Times New Roman" w:hAnsi="Times New Roman" w:cs="Times New Roman"/>
          <w:sz w:val="24"/>
          <w:szCs w:val="24"/>
        </w:rPr>
        <w:t xml:space="preserve">-labeled BRM at 37 °C for 0, 1, 2, 4, 8, or 12 h. After incubation, cells were rinsed twice with PBS, fixed with 4% paraformaldehyde for 8 min, stained with </w:t>
      </w:r>
      <w:r w:rsidRPr="0021416C">
        <w:rPr>
          <w:rFonts w:ascii="Times New Roman" w:hAnsi="Times New Roman" w:cs="Times New Roman"/>
          <w:caps/>
          <w:sz w:val="24"/>
          <w:szCs w:val="24"/>
        </w:rPr>
        <w:t>DAPI</w:t>
      </w:r>
      <w:r w:rsidRPr="0021416C">
        <w:rPr>
          <w:rFonts w:ascii="Times New Roman" w:hAnsi="Times New Roman" w:cs="Times New Roman"/>
          <w:sz w:val="24"/>
          <w:szCs w:val="24"/>
        </w:rPr>
        <w:t xml:space="preserve"> (nuclei, blue) and Phalloidin (cytoskeleton, red). Images were acquired using a confocal laser scanning microscope (CLSM, Zeiss LSM880, Germany) to visualize nanoparticle localization (green, </w:t>
      </w:r>
      <w:r w:rsidRPr="0021416C">
        <w:rPr>
          <w:rFonts w:ascii="Times New Roman" w:hAnsi="Times New Roman" w:cs="Times New Roman"/>
          <w:caps/>
          <w:sz w:val="24"/>
          <w:szCs w:val="24"/>
        </w:rPr>
        <w:t>DIO</w:t>
      </w:r>
      <w:r w:rsidRPr="0021416C">
        <w:rPr>
          <w:rFonts w:ascii="Times New Roman" w:hAnsi="Times New Roman" w:cs="Times New Roman"/>
          <w:sz w:val="24"/>
          <w:szCs w:val="24"/>
        </w:rPr>
        <w:t>).</w:t>
      </w:r>
      <w:r w:rsidRPr="0021416C">
        <w:rPr>
          <w:rFonts w:ascii="Times New Roman" w:hAnsi="Times New Roman" w:cs="Times New Roman" w:hint="eastAsia"/>
          <w:sz w:val="24"/>
          <w:szCs w:val="24"/>
        </w:rPr>
        <w:t xml:space="preserve"> Fluorescence images were captured using an inverted fluorescence microscope to visualize the intracellular localization of BRM (green).</w:t>
      </w:r>
    </w:p>
    <w:p w14:paraId="6CE416B6" w14:textId="77777777" w:rsidR="009E1F78" w:rsidRPr="0021416C" w:rsidRDefault="009E1F78">
      <w:pPr>
        <w:widowControl/>
        <w:spacing w:line="360" w:lineRule="auto"/>
        <w:rPr>
          <w:rFonts w:ascii="Times New Roman" w:hAnsi="Times New Roman" w:cs="Times New Roman"/>
          <w:sz w:val="24"/>
          <w:szCs w:val="24"/>
        </w:rPr>
      </w:pPr>
    </w:p>
    <w:p w14:paraId="054826A7" w14:textId="0BBADFE6" w:rsidR="009E1F78" w:rsidRPr="0021416C" w:rsidRDefault="00000000">
      <w:pPr>
        <w:widowControl/>
        <w:spacing w:line="360" w:lineRule="auto"/>
        <w:rPr>
          <w:rFonts w:ascii="Times New Roman" w:hAnsi="Times New Roman" w:cs="Times New Roman"/>
          <w:sz w:val="24"/>
          <w:szCs w:val="24"/>
        </w:rPr>
      </w:pPr>
      <w:r w:rsidRPr="0021416C">
        <w:rPr>
          <w:rFonts w:ascii="Times New Roman" w:hAnsi="Times New Roman" w:cs="Times New Roman"/>
          <w:b/>
          <w:bCs/>
          <w:i/>
          <w:iCs/>
          <w:sz w:val="24"/>
          <w:szCs w:val="24"/>
        </w:rPr>
        <w:t xml:space="preserve">In </w:t>
      </w:r>
      <w:r w:rsidRPr="0021416C">
        <w:rPr>
          <w:rFonts w:ascii="Times New Roman" w:hAnsi="Times New Roman" w:cs="Times New Roman" w:hint="eastAsia"/>
          <w:b/>
          <w:bCs/>
          <w:i/>
          <w:iCs/>
          <w:sz w:val="24"/>
          <w:szCs w:val="24"/>
        </w:rPr>
        <w:t>v</w:t>
      </w:r>
      <w:r w:rsidRPr="0021416C">
        <w:rPr>
          <w:rFonts w:ascii="Times New Roman" w:hAnsi="Times New Roman" w:cs="Times New Roman"/>
          <w:b/>
          <w:bCs/>
          <w:i/>
          <w:iCs/>
          <w:sz w:val="24"/>
          <w:szCs w:val="24"/>
        </w:rPr>
        <w:t>itro</w:t>
      </w:r>
      <w:r w:rsidRPr="0021416C">
        <w:rPr>
          <w:rFonts w:ascii="Times New Roman" w:hAnsi="Times New Roman" w:cs="Times New Roman"/>
          <w:b/>
          <w:bCs/>
          <w:sz w:val="24"/>
          <w:szCs w:val="24"/>
        </w:rPr>
        <w:t xml:space="preserve"> </w:t>
      </w:r>
      <w:r w:rsidRPr="0021416C">
        <w:rPr>
          <w:rFonts w:ascii="Times New Roman" w:hAnsi="Times New Roman" w:cs="Times New Roman" w:hint="eastAsia"/>
          <w:b/>
          <w:bCs/>
          <w:sz w:val="24"/>
          <w:szCs w:val="24"/>
        </w:rPr>
        <w:t>c</w:t>
      </w:r>
      <w:r w:rsidRPr="0021416C">
        <w:rPr>
          <w:rFonts w:ascii="Times New Roman" w:hAnsi="Times New Roman" w:cs="Times New Roman"/>
          <w:b/>
          <w:bCs/>
          <w:sz w:val="24"/>
          <w:szCs w:val="24"/>
        </w:rPr>
        <w:t xml:space="preserve">ellular </w:t>
      </w:r>
      <w:r w:rsidRPr="0021416C">
        <w:rPr>
          <w:rFonts w:ascii="Times New Roman" w:hAnsi="Times New Roman" w:cs="Times New Roman" w:hint="eastAsia"/>
          <w:b/>
          <w:bCs/>
          <w:sz w:val="24"/>
          <w:szCs w:val="24"/>
        </w:rPr>
        <w:t>u</w:t>
      </w:r>
      <w:r w:rsidRPr="0021416C">
        <w:rPr>
          <w:rFonts w:ascii="Times New Roman" w:hAnsi="Times New Roman" w:cs="Times New Roman"/>
          <w:b/>
          <w:bCs/>
          <w:sz w:val="24"/>
          <w:szCs w:val="24"/>
        </w:rPr>
        <w:t xml:space="preserve">ptake and BSA </w:t>
      </w:r>
      <w:r w:rsidRPr="0021416C">
        <w:rPr>
          <w:rFonts w:ascii="Times New Roman" w:hAnsi="Times New Roman" w:cs="Times New Roman" w:hint="eastAsia"/>
          <w:b/>
          <w:bCs/>
          <w:sz w:val="24"/>
          <w:szCs w:val="24"/>
        </w:rPr>
        <w:t>c</w:t>
      </w:r>
      <w:r w:rsidRPr="0021416C">
        <w:rPr>
          <w:rFonts w:ascii="Times New Roman" w:hAnsi="Times New Roman" w:cs="Times New Roman"/>
          <w:b/>
          <w:bCs/>
          <w:sz w:val="24"/>
          <w:szCs w:val="24"/>
        </w:rPr>
        <w:t xml:space="preserve">ompetition </w:t>
      </w:r>
      <w:r w:rsidRPr="0021416C">
        <w:rPr>
          <w:rFonts w:ascii="Times New Roman" w:hAnsi="Times New Roman" w:cs="Times New Roman" w:hint="eastAsia"/>
          <w:b/>
          <w:bCs/>
          <w:sz w:val="24"/>
          <w:szCs w:val="24"/>
        </w:rPr>
        <w:t>a</w:t>
      </w:r>
      <w:r w:rsidRPr="0021416C">
        <w:rPr>
          <w:rFonts w:ascii="Times New Roman" w:hAnsi="Times New Roman" w:cs="Times New Roman"/>
          <w:b/>
          <w:bCs/>
          <w:sz w:val="24"/>
          <w:szCs w:val="24"/>
        </w:rPr>
        <w:t>ssay.</w:t>
      </w:r>
      <w:r w:rsidRPr="0021416C">
        <w:rPr>
          <w:rFonts w:ascii="Times New Roman" w:hAnsi="Times New Roman" w:cs="Times New Roman"/>
          <w:sz w:val="24"/>
          <w:szCs w:val="24"/>
        </w:rPr>
        <w:t xml:space="preserve"> Cellular uptake of BRM nanoparticles was evaluated using an inverted fluorescence microscope. CT26 cells were seeded in 6-well plates and cultured to 60% confluency. For the BSA competition assay, cells were pre-incubated with serum-free medium containing 1% (w/v) excess unlabeled BSA for 1 h at 37 °C, followed by incubation with DIO-labeled BRM for </w:t>
      </w:r>
      <w:r w:rsidR="00394D8B">
        <w:rPr>
          <w:rFonts w:ascii="Times New Roman" w:hAnsi="Times New Roman" w:cs="Times New Roman" w:hint="eastAsia"/>
          <w:sz w:val="24"/>
          <w:szCs w:val="24"/>
        </w:rPr>
        <w:t>8</w:t>
      </w:r>
      <w:r w:rsidRPr="00ED0903">
        <w:rPr>
          <w:rFonts w:ascii="Times New Roman" w:hAnsi="Times New Roman" w:cs="Times New Roman"/>
          <w:sz w:val="24"/>
          <w:szCs w:val="24"/>
        </w:rPr>
        <w:t>h</w:t>
      </w:r>
      <w:r w:rsidRPr="0021416C">
        <w:rPr>
          <w:rFonts w:ascii="Times New Roman" w:hAnsi="Times New Roman" w:cs="Times New Roman"/>
          <w:sz w:val="24"/>
          <w:szCs w:val="24"/>
        </w:rPr>
        <w:t xml:space="preserve"> at 37 °C. Control cells were incubated with DIO-labeled BRM without BSA pre-treatment. After incubation, cells were washed twice with PBS,</w:t>
      </w:r>
    </w:p>
    <w:p w14:paraId="3BFF82C0" w14:textId="77777777" w:rsidR="009E1F78" w:rsidRDefault="009E1F78">
      <w:pPr>
        <w:widowControl/>
        <w:spacing w:line="360" w:lineRule="auto"/>
        <w:rPr>
          <w:rFonts w:ascii="Times New Roman" w:hAnsi="Times New Roman" w:cs="Times New Roman"/>
          <w:b/>
          <w:bCs/>
          <w:sz w:val="24"/>
          <w:szCs w:val="24"/>
        </w:rPr>
      </w:pPr>
    </w:p>
    <w:p w14:paraId="3A709FF5" w14:textId="77777777" w:rsidR="00ED0903" w:rsidRPr="003001C0" w:rsidRDefault="00ED0903" w:rsidP="00ED0903">
      <w:pPr>
        <w:widowControl/>
        <w:spacing w:line="360" w:lineRule="auto"/>
        <w:rPr>
          <w:rFonts w:ascii="Times New Roman" w:hAnsi="Times New Roman" w:cs="Times New Roman"/>
          <w:sz w:val="24"/>
          <w:szCs w:val="24"/>
        </w:rPr>
      </w:pPr>
      <w:r w:rsidRPr="0021416C">
        <w:rPr>
          <w:rFonts w:ascii="Times New Roman" w:hAnsi="Times New Roman" w:cs="Times New Roman" w:hint="eastAsia"/>
          <w:b/>
          <w:bCs/>
          <w:sz w:val="24"/>
          <w:szCs w:val="24"/>
        </w:rPr>
        <w:t>Lysosomal co-localization analysis.</w:t>
      </w:r>
      <w:r w:rsidRPr="0021416C">
        <w:rPr>
          <w:rFonts w:ascii="Times New Roman" w:hAnsi="Times New Roman" w:cs="Times New Roman" w:hint="eastAsia"/>
          <w:sz w:val="24"/>
          <w:szCs w:val="24"/>
        </w:rPr>
        <w:t xml:space="preserve"> </w:t>
      </w:r>
      <w:r w:rsidRPr="0021416C">
        <w:rPr>
          <w:rFonts w:ascii="Times New Roman" w:hAnsi="Times New Roman" w:cs="Times New Roman"/>
          <w:sz w:val="24"/>
          <w:szCs w:val="24"/>
        </w:rPr>
        <w:t>CT26 cells were seeded in confocal dishes and cultured to 60% confluency. Cells were incubated with DIO-labeled BRM for 8 h at 37 °C. After washing with pre-warmed PBS, cells were stained with LysoTracker Red at a dilution of 1:1000 for 30 min at 37 °C in the dark to label lysosomes. Cells were then fixed with 4% paraformaldehyde, counterstained with DAPI, and imaged using a confocal laser scanning microscope (CLSM, Zeiss LSM880, Germany). The co-localization coefficient was analyzed using ZEN 3.2 software.</w:t>
      </w:r>
    </w:p>
    <w:p w14:paraId="2F20A875" w14:textId="77777777" w:rsidR="00ED0903" w:rsidRPr="0021416C" w:rsidRDefault="00ED0903">
      <w:pPr>
        <w:widowControl/>
        <w:spacing w:line="360" w:lineRule="auto"/>
        <w:rPr>
          <w:rFonts w:ascii="Times New Roman" w:hAnsi="Times New Roman" w:cs="Times New Roman"/>
          <w:b/>
          <w:bCs/>
          <w:sz w:val="24"/>
          <w:szCs w:val="24"/>
        </w:rPr>
      </w:pPr>
    </w:p>
    <w:p w14:paraId="5447CE6C" w14:textId="77777777" w:rsidR="009E1F78" w:rsidRPr="0021416C" w:rsidRDefault="00000000">
      <w:pPr>
        <w:widowControl/>
        <w:spacing w:line="360" w:lineRule="auto"/>
        <w:rPr>
          <w:rFonts w:ascii="Times New Roman" w:hAnsi="Times New Roman" w:cs="Times New Roman"/>
          <w:sz w:val="24"/>
          <w:szCs w:val="24"/>
        </w:rPr>
      </w:pPr>
      <w:r w:rsidRPr="0021416C">
        <w:rPr>
          <w:rFonts w:ascii="Times New Roman" w:hAnsi="Times New Roman" w:cs="Times New Roman" w:hint="eastAsia"/>
          <w:b/>
          <w:bCs/>
          <w:sz w:val="24"/>
          <w:szCs w:val="24"/>
        </w:rPr>
        <w:t>Detection of intracellular ROS generation.</w:t>
      </w:r>
      <w:r w:rsidRPr="0021416C">
        <w:rPr>
          <w:rFonts w:ascii="Times New Roman" w:hAnsi="Times New Roman" w:cs="Times New Roman" w:hint="eastAsia"/>
          <w:sz w:val="24"/>
          <w:szCs w:val="24"/>
        </w:rPr>
        <w:t xml:space="preserve"> </w:t>
      </w:r>
      <w:r w:rsidRPr="0021416C">
        <w:rPr>
          <w:rFonts w:ascii="Times New Roman" w:hAnsi="Times New Roman" w:cs="Times New Roman"/>
          <w:sz w:val="24"/>
          <w:szCs w:val="24"/>
        </w:rPr>
        <w:t>CT26 cells were divided into four groups: control</w:t>
      </w:r>
      <w:r w:rsidRPr="0021416C">
        <w:rPr>
          <w:rFonts w:ascii="Times New Roman" w:hAnsi="Times New Roman" w:cs="Times New Roman" w:hint="eastAsia"/>
          <w:sz w:val="24"/>
          <w:szCs w:val="24"/>
        </w:rPr>
        <w:t xml:space="preserve"> (CTL)</w:t>
      </w:r>
      <w:r w:rsidRPr="0021416C">
        <w:rPr>
          <w:rFonts w:ascii="Times New Roman" w:hAnsi="Times New Roman" w:cs="Times New Roman"/>
          <w:sz w:val="24"/>
          <w:szCs w:val="24"/>
        </w:rPr>
        <w:t>, free Rhein, Mn</w:t>
      </w:r>
      <w:r w:rsidRPr="0021416C">
        <w:rPr>
          <w:rFonts w:ascii="Times New Roman" w:hAnsi="Times New Roman" w:cs="Times New Roman"/>
          <w:sz w:val="24"/>
          <w:szCs w:val="24"/>
          <w:vertAlign w:val="superscript"/>
        </w:rPr>
        <w:t>2+</w:t>
      </w:r>
      <w:r w:rsidRPr="0021416C">
        <w:rPr>
          <w:rFonts w:ascii="Times New Roman" w:hAnsi="Times New Roman" w:cs="Times New Roman"/>
          <w:sz w:val="24"/>
          <w:szCs w:val="24"/>
        </w:rPr>
        <w:t xml:space="preserve">, and BRM (with Rhein concentration normalized to </w:t>
      </w:r>
      <w:r w:rsidRPr="0021416C">
        <w:rPr>
          <w:rFonts w:ascii="Times New Roman" w:hAnsi="Times New Roman" w:cs="Times New Roman" w:hint="eastAsia"/>
          <w:sz w:val="24"/>
          <w:szCs w:val="24"/>
        </w:rPr>
        <w:t>1</w:t>
      </w:r>
      <w:r w:rsidRPr="0021416C">
        <w:rPr>
          <w:rFonts w:ascii="Times New Roman" w:hAnsi="Times New Roman" w:cs="Times New Roman"/>
          <w:sz w:val="24"/>
          <w:szCs w:val="24"/>
        </w:rPr>
        <w:t>5 μM in all treatment groups). The inhibitors and their working concentrations were as follows: N-acetylcysteine (NAC) at 5 μM and NF-κB inhibitor JSH-23 at 10 μM</w:t>
      </w:r>
      <w:r w:rsidRPr="0021416C">
        <w:rPr>
          <w:rFonts w:ascii="Times New Roman" w:hAnsi="Times New Roman" w:cs="Times New Roman" w:hint="eastAsia"/>
          <w:sz w:val="24"/>
          <w:szCs w:val="24"/>
        </w:rPr>
        <w:t xml:space="preserve"> </w:t>
      </w:r>
      <w:r w:rsidRPr="0021416C">
        <w:rPr>
          <w:rFonts w:ascii="Times New Roman" w:hAnsi="Times New Roman" w:cs="Times New Roman"/>
          <w:sz w:val="24"/>
          <w:szCs w:val="24"/>
        </w:rPr>
        <w:t>for 1 hour before subsequent stimulation or analysis.</w:t>
      </w:r>
      <w:r w:rsidRPr="0021416C">
        <w:rPr>
          <w:rFonts w:ascii="Times New Roman" w:hAnsi="Times New Roman" w:cs="Times New Roman" w:hint="eastAsia"/>
          <w:sz w:val="24"/>
          <w:szCs w:val="24"/>
        </w:rPr>
        <w:t xml:space="preserve"> </w:t>
      </w:r>
      <w:r w:rsidRPr="0021416C">
        <w:rPr>
          <w:rFonts w:ascii="Times New Roman" w:hAnsi="Times New Roman" w:cs="Times New Roman"/>
          <w:sz w:val="24"/>
          <w:szCs w:val="24"/>
        </w:rPr>
        <w:t xml:space="preserve">After 12 h of treatment, intracellular ROS levels were detected using a </w:t>
      </w:r>
      <w:r w:rsidRPr="0021416C">
        <w:rPr>
          <w:rFonts w:ascii="Times New Roman" w:hAnsi="Times New Roman" w:cs="Times New Roman" w:hint="eastAsia"/>
          <w:sz w:val="24"/>
          <w:szCs w:val="24"/>
        </w:rPr>
        <w:t>ROS</w:t>
      </w:r>
      <w:r w:rsidRPr="0021416C">
        <w:rPr>
          <w:rFonts w:ascii="Times New Roman" w:hAnsi="Times New Roman" w:cs="Times New Roman"/>
          <w:sz w:val="24"/>
          <w:szCs w:val="24"/>
        </w:rPr>
        <w:t xml:space="preserve"> assay kit f</w:t>
      </w:r>
      <w:r w:rsidRPr="0021416C">
        <w:rPr>
          <w:rFonts w:ascii="Times New Roman" w:hAnsi="Times New Roman" w:cs="Times New Roman" w:hint="eastAsia"/>
          <w:sz w:val="24"/>
          <w:szCs w:val="24"/>
        </w:rPr>
        <w:t>ollowing the manufacturer</w:t>
      </w:r>
      <w:r w:rsidRPr="0021416C">
        <w:rPr>
          <w:rFonts w:ascii="Times New Roman" w:hAnsi="Times New Roman" w:cs="Times New Roman"/>
          <w:sz w:val="24"/>
          <w:szCs w:val="24"/>
        </w:rPr>
        <w:t>’</w:t>
      </w:r>
      <w:r w:rsidRPr="0021416C">
        <w:rPr>
          <w:rFonts w:ascii="Times New Roman" w:hAnsi="Times New Roman" w:cs="Times New Roman" w:hint="eastAsia"/>
          <w:sz w:val="24"/>
          <w:szCs w:val="24"/>
        </w:rPr>
        <w:t>s instructions. Fluorescence images were captured via fluorescence microscopy, and quantitative analysis was performed using flow cytometry.</w:t>
      </w:r>
    </w:p>
    <w:p w14:paraId="61C6FACC" w14:textId="77777777" w:rsidR="009E1F78" w:rsidRPr="0021416C" w:rsidRDefault="009E1F78">
      <w:pPr>
        <w:widowControl/>
        <w:spacing w:line="360" w:lineRule="auto"/>
        <w:rPr>
          <w:rFonts w:ascii="Times New Roman" w:hAnsi="Times New Roman" w:cs="Times New Roman"/>
          <w:b/>
          <w:bCs/>
          <w:sz w:val="24"/>
          <w:szCs w:val="24"/>
        </w:rPr>
      </w:pPr>
    </w:p>
    <w:p w14:paraId="29903DBA" w14:textId="6548967B" w:rsidR="009E1F78" w:rsidRPr="0021416C" w:rsidRDefault="00000000">
      <w:pPr>
        <w:widowControl/>
        <w:spacing w:line="360" w:lineRule="auto"/>
        <w:rPr>
          <w:rFonts w:ascii="Times New Roman" w:hAnsi="Times New Roman" w:cs="Times New Roman"/>
          <w:sz w:val="24"/>
          <w:szCs w:val="24"/>
        </w:rPr>
      </w:pPr>
      <w:r w:rsidRPr="0021416C">
        <w:rPr>
          <w:rFonts w:ascii="Times New Roman" w:hAnsi="Times New Roman" w:cs="Times New Roman" w:hint="eastAsia"/>
          <w:b/>
          <w:bCs/>
          <w:sz w:val="24"/>
          <w:szCs w:val="24"/>
        </w:rPr>
        <w:t>JC-1 assay for mitochondrial membrane potential analysis.</w:t>
      </w:r>
      <w:r w:rsidRPr="0021416C">
        <w:rPr>
          <w:rFonts w:ascii="Times New Roman" w:hAnsi="Times New Roman" w:cs="Times New Roman" w:hint="eastAsia"/>
          <w:sz w:val="24"/>
          <w:szCs w:val="24"/>
        </w:rPr>
        <w:t xml:space="preserve"> </w:t>
      </w:r>
      <w:r w:rsidRPr="0021416C">
        <w:rPr>
          <w:rFonts w:ascii="Times New Roman" w:hAnsi="Times New Roman" w:cs="Times New Roman"/>
          <w:sz w:val="24"/>
          <w:szCs w:val="24"/>
        </w:rPr>
        <w:t xml:space="preserve">CT26 cells were treated with </w:t>
      </w:r>
      <w:r w:rsidRPr="0021416C">
        <w:rPr>
          <w:rFonts w:ascii="Times New Roman" w:hAnsi="Times New Roman" w:cs="Times New Roman" w:hint="eastAsia"/>
          <w:sz w:val="24"/>
          <w:szCs w:val="24"/>
        </w:rPr>
        <w:t>CTL</w:t>
      </w:r>
      <w:r w:rsidRPr="0021416C">
        <w:rPr>
          <w:rFonts w:ascii="Times New Roman" w:hAnsi="Times New Roman" w:cs="Times New Roman"/>
          <w:sz w:val="24"/>
          <w:szCs w:val="24"/>
        </w:rPr>
        <w:t>, free Rhein, Mn</w:t>
      </w:r>
      <w:r w:rsidRPr="0021416C">
        <w:rPr>
          <w:rFonts w:ascii="Times New Roman" w:hAnsi="Times New Roman" w:cs="Times New Roman"/>
          <w:sz w:val="24"/>
          <w:szCs w:val="24"/>
          <w:vertAlign w:val="superscript"/>
        </w:rPr>
        <w:t>2+</w:t>
      </w:r>
      <w:r w:rsidRPr="0021416C">
        <w:rPr>
          <w:rFonts w:ascii="Times New Roman" w:hAnsi="Times New Roman" w:cs="Times New Roman"/>
          <w:sz w:val="24"/>
          <w:szCs w:val="24"/>
        </w:rPr>
        <w:t xml:space="preserve">, or BRM for 12 h. Mitochondrial membrane potential (ΔΨm) changes were evaluated using the </w:t>
      </w:r>
      <w:r w:rsidR="005D1E03" w:rsidRPr="00926E6A">
        <w:rPr>
          <w:rFonts w:ascii="Times New Roman" w:hAnsi="Times New Roman" w:cs="Times New Roman" w:hint="eastAsia"/>
          <w:caps/>
          <w:sz w:val="24"/>
          <w:szCs w:val="24"/>
        </w:rPr>
        <w:t xml:space="preserve">JC-1 </w:t>
      </w:r>
      <w:r w:rsidR="005D1E03" w:rsidRPr="00926E6A">
        <w:rPr>
          <w:rFonts w:ascii="Times New Roman" w:hAnsi="Times New Roman" w:cs="Times New Roman"/>
          <w:sz w:val="24"/>
          <w:szCs w:val="24"/>
        </w:rPr>
        <w:t>Mitochondrial Membrane Potential Assay Kit</w:t>
      </w:r>
      <w:r w:rsidRPr="0021416C">
        <w:rPr>
          <w:rFonts w:ascii="Times New Roman" w:hAnsi="Times New Roman" w:cs="Times New Roman"/>
          <w:sz w:val="24"/>
          <w:szCs w:val="24"/>
        </w:rPr>
        <w:t>, following the manufacturer’s protocol. Quantitative analy</w:t>
      </w:r>
      <w:r w:rsidRPr="0021416C">
        <w:rPr>
          <w:rFonts w:ascii="Times New Roman" w:hAnsi="Times New Roman" w:cs="Times New Roman" w:hint="eastAsia"/>
          <w:sz w:val="24"/>
          <w:szCs w:val="24"/>
        </w:rPr>
        <w:t>sis was performed via flow cytometry.</w:t>
      </w:r>
    </w:p>
    <w:p w14:paraId="1D9CC557" w14:textId="77777777" w:rsidR="009E1F78" w:rsidRPr="0021416C" w:rsidRDefault="009E1F78">
      <w:pPr>
        <w:widowControl/>
        <w:spacing w:line="360" w:lineRule="auto"/>
        <w:rPr>
          <w:rFonts w:ascii="Times New Roman" w:hAnsi="Times New Roman" w:cs="Times New Roman"/>
          <w:b/>
          <w:bCs/>
          <w:sz w:val="24"/>
          <w:szCs w:val="24"/>
        </w:rPr>
      </w:pPr>
    </w:p>
    <w:p w14:paraId="224B59FF" w14:textId="5559D904" w:rsidR="009E1F78" w:rsidRPr="0021416C" w:rsidRDefault="00000000">
      <w:pPr>
        <w:widowControl/>
        <w:spacing w:line="360" w:lineRule="auto"/>
        <w:rPr>
          <w:rFonts w:ascii="Times New Roman" w:hAnsi="Times New Roman" w:cs="Times New Roman"/>
          <w:sz w:val="24"/>
          <w:szCs w:val="24"/>
        </w:rPr>
      </w:pPr>
      <w:r w:rsidRPr="0021416C">
        <w:rPr>
          <w:rFonts w:ascii="Times New Roman" w:hAnsi="Times New Roman" w:cs="Times New Roman"/>
          <w:b/>
          <w:bCs/>
          <w:i/>
          <w:sz w:val="24"/>
          <w:szCs w:val="24"/>
        </w:rPr>
        <w:t>In vitro</w:t>
      </w:r>
      <w:r w:rsidRPr="0021416C">
        <w:rPr>
          <w:rFonts w:ascii="Times New Roman" w:hAnsi="Times New Roman" w:cs="Times New Roman"/>
          <w:b/>
          <w:bCs/>
          <w:sz w:val="24"/>
          <w:szCs w:val="24"/>
        </w:rPr>
        <w:t xml:space="preserve"> apoptosis analysis of CT26 cells</w:t>
      </w:r>
      <w:r w:rsidRPr="0021416C">
        <w:rPr>
          <w:rFonts w:ascii="Times New Roman" w:hAnsi="Times New Roman" w:cs="Times New Roman" w:hint="eastAsia"/>
          <w:b/>
          <w:bCs/>
          <w:sz w:val="24"/>
          <w:szCs w:val="24"/>
        </w:rPr>
        <w:t xml:space="preserve">. </w:t>
      </w:r>
      <w:r w:rsidRPr="0021416C">
        <w:rPr>
          <w:rFonts w:ascii="Times New Roman" w:hAnsi="Times New Roman" w:cs="Times New Roman"/>
          <w:sz w:val="24"/>
          <w:szCs w:val="24"/>
        </w:rPr>
        <w:t xml:space="preserve">CT26 cells were divided into four groups: </w:t>
      </w:r>
      <w:r w:rsidRPr="0021416C">
        <w:rPr>
          <w:rFonts w:ascii="Times New Roman" w:hAnsi="Times New Roman" w:cs="Times New Roman" w:hint="eastAsia"/>
          <w:sz w:val="24"/>
          <w:szCs w:val="24"/>
        </w:rPr>
        <w:t>CTL</w:t>
      </w:r>
      <w:r w:rsidRPr="0021416C">
        <w:rPr>
          <w:rFonts w:ascii="Times New Roman" w:hAnsi="Times New Roman" w:cs="Times New Roman"/>
          <w:sz w:val="24"/>
          <w:szCs w:val="24"/>
        </w:rPr>
        <w:t>, free Rhein, Mn</w:t>
      </w:r>
      <w:r w:rsidRPr="0021416C">
        <w:rPr>
          <w:rFonts w:ascii="Times New Roman" w:hAnsi="Times New Roman" w:cs="Times New Roman"/>
          <w:sz w:val="24"/>
          <w:szCs w:val="24"/>
          <w:vertAlign w:val="superscript"/>
        </w:rPr>
        <w:t>2+</w:t>
      </w:r>
      <w:r w:rsidRPr="0021416C">
        <w:rPr>
          <w:rFonts w:ascii="Times New Roman" w:hAnsi="Times New Roman" w:cs="Times New Roman"/>
          <w:sz w:val="24"/>
          <w:szCs w:val="24"/>
        </w:rPr>
        <w:t xml:space="preserve">, and BRM. After 12 h of treatment, apoptotic cell populations were quantified using an </w:t>
      </w:r>
      <w:r w:rsidR="005D1E03" w:rsidRPr="00926E6A">
        <w:rPr>
          <w:rFonts w:ascii="Times New Roman" w:hAnsi="Times New Roman" w:cs="Times New Roman" w:hint="eastAsia"/>
          <w:sz w:val="24"/>
          <w:szCs w:val="24"/>
        </w:rPr>
        <w:t>Annexin V-FITC/PI Apoptosis Detection K</w:t>
      </w:r>
      <w:r w:rsidR="005D1E03" w:rsidRPr="005D1E03">
        <w:rPr>
          <w:rFonts w:ascii="Times New Roman" w:hAnsi="Times New Roman" w:cs="Times New Roman" w:hint="eastAsia"/>
          <w:sz w:val="24"/>
          <w:szCs w:val="24"/>
        </w:rPr>
        <w:t>it</w:t>
      </w:r>
      <w:r w:rsidRPr="005D1E03">
        <w:rPr>
          <w:rFonts w:ascii="Times New Roman" w:hAnsi="Times New Roman" w:cs="Times New Roman"/>
          <w:sz w:val="24"/>
          <w:szCs w:val="24"/>
        </w:rPr>
        <w:t>.</w:t>
      </w:r>
      <w:r w:rsidRPr="0021416C">
        <w:rPr>
          <w:rFonts w:ascii="Times New Roman" w:hAnsi="Times New Roman" w:cs="Times New Roman"/>
          <w:sz w:val="24"/>
          <w:szCs w:val="24"/>
        </w:rPr>
        <w:t xml:space="preserve"> </w:t>
      </w:r>
      <w:r w:rsidRPr="0021416C">
        <w:rPr>
          <w:rFonts w:ascii="Times New Roman" w:hAnsi="Times New Roman" w:cs="Times New Roman" w:hint="eastAsia"/>
          <w:sz w:val="24"/>
          <w:szCs w:val="24"/>
        </w:rPr>
        <w:t>Quantitative analysis of apoptosis was performed via flow cytometry, following the kit manufacturer</w:t>
      </w:r>
      <w:r w:rsidRPr="0021416C">
        <w:rPr>
          <w:rFonts w:ascii="Times New Roman" w:hAnsi="Times New Roman" w:cs="Times New Roman"/>
          <w:sz w:val="24"/>
          <w:szCs w:val="24"/>
        </w:rPr>
        <w:t>’</w:t>
      </w:r>
      <w:r w:rsidRPr="0021416C">
        <w:rPr>
          <w:rFonts w:ascii="Times New Roman" w:hAnsi="Times New Roman" w:cs="Times New Roman" w:hint="eastAsia"/>
          <w:sz w:val="24"/>
          <w:szCs w:val="24"/>
        </w:rPr>
        <w:t>s protocol.</w:t>
      </w:r>
    </w:p>
    <w:p w14:paraId="3FC858BD" w14:textId="77777777" w:rsidR="009E1F78" w:rsidRPr="0021416C" w:rsidRDefault="009E1F78">
      <w:pPr>
        <w:kinsoku w:val="0"/>
        <w:spacing w:line="360" w:lineRule="auto"/>
        <w:rPr>
          <w:rFonts w:ascii="Times New Roman" w:hAnsi="Times New Roman" w:cs="Times New Roman"/>
          <w:b/>
          <w:bCs/>
          <w:sz w:val="24"/>
        </w:rPr>
      </w:pPr>
    </w:p>
    <w:p w14:paraId="040120FB" w14:textId="15E9D61B" w:rsidR="009E1F78" w:rsidRPr="0021416C" w:rsidRDefault="00000000">
      <w:pPr>
        <w:kinsoku w:val="0"/>
        <w:spacing w:line="360" w:lineRule="auto"/>
        <w:rPr>
          <w:rFonts w:ascii="Times New Roman" w:hAnsi="Times New Roman" w:cs="Times New Roman"/>
          <w:sz w:val="24"/>
        </w:rPr>
      </w:pPr>
      <w:r w:rsidRPr="0021416C">
        <w:rPr>
          <w:rFonts w:ascii="Times New Roman" w:hAnsi="Times New Roman" w:cs="Times New Roman"/>
          <w:b/>
          <w:bCs/>
          <w:i/>
          <w:sz w:val="24"/>
        </w:rPr>
        <w:t>In vitro</w:t>
      </w:r>
      <w:r w:rsidRPr="0021416C">
        <w:rPr>
          <w:rFonts w:ascii="Times New Roman" w:hAnsi="Times New Roman" w:cs="Times New Roman"/>
          <w:b/>
          <w:bCs/>
          <w:sz w:val="24"/>
        </w:rPr>
        <w:t xml:space="preserve"> cytotoxicity study</w:t>
      </w:r>
      <w:r w:rsidRPr="0021416C">
        <w:rPr>
          <w:rFonts w:ascii="Times New Roman" w:hAnsi="Times New Roman" w:cs="Times New Roman" w:hint="eastAsia"/>
          <w:b/>
          <w:bCs/>
          <w:sz w:val="24"/>
        </w:rPr>
        <w:t xml:space="preserve">. </w:t>
      </w:r>
      <w:r w:rsidRPr="0021416C">
        <w:rPr>
          <w:rFonts w:ascii="Times New Roman" w:hAnsi="Times New Roman" w:cs="Times New Roman"/>
          <w:sz w:val="24"/>
        </w:rPr>
        <w:t xml:space="preserve">The </w:t>
      </w:r>
      <w:r w:rsidRPr="0021416C">
        <w:rPr>
          <w:rFonts w:ascii="Times New Roman" w:hAnsi="Times New Roman" w:cs="Times New Roman"/>
          <w:i/>
          <w:sz w:val="24"/>
        </w:rPr>
        <w:t>in vitro</w:t>
      </w:r>
      <w:r w:rsidRPr="0021416C">
        <w:rPr>
          <w:rFonts w:ascii="Times New Roman" w:hAnsi="Times New Roman" w:cs="Times New Roman"/>
          <w:sz w:val="24"/>
        </w:rPr>
        <w:t xml:space="preserve"> cytotoxicit</w:t>
      </w:r>
      <w:r w:rsidRPr="0021416C">
        <w:rPr>
          <w:rFonts w:ascii="Times New Roman" w:hAnsi="Times New Roman" w:cs="Times New Roman" w:hint="eastAsia"/>
          <w:sz w:val="24"/>
        </w:rPr>
        <w:t>ies</w:t>
      </w:r>
      <w:r w:rsidRPr="0021416C">
        <w:rPr>
          <w:rFonts w:ascii="Times New Roman" w:hAnsi="Times New Roman" w:cs="Times New Roman"/>
          <w:sz w:val="24"/>
        </w:rPr>
        <w:t xml:space="preserve"> of </w:t>
      </w:r>
      <w:r w:rsidRPr="0021416C">
        <w:rPr>
          <w:rFonts w:ascii="Times New Roman" w:hAnsi="Times New Roman" w:cs="Times New Roman" w:hint="eastAsia"/>
          <w:sz w:val="24"/>
        </w:rPr>
        <w:t>free rhein, RM, and BRM</w:t>
      </w:r>
      <w:r w:rsidRPr="0021416C">
        <w:rPr>
          <w:rFonts w:ascii="Times New Roman" w:hAnsi="Times New Roman" w:cs="Times New Roman"/>
          <w:sz w:val="24"/>
        </w:rPr>
        <w:t xml:space="preserve"> were tested </w:t>
      </w:r>
      <w:r w:rsidRPr="0021416C">
        <w:rPr>
          <w:rFonts w:ascii="Times New Roman" w:hAnsi="Times New Roman" w:cs="Times New Roman" w:hint="eastAsia"/>
          <w:sz w:val="24"/>
        </w:rPr>
        <w:t>using</w:t>
      </w:r>
      <w:r w:rsidRPr="0021416C">
        <w:rPr>
          <w:rFonts w:ascii="Times New Roman" w:hAnsi="Times New Roman" w:cs="Times New Roman"/>
          <w:sz w:val="24"/>
        </w:rPr>
        <w:t xml:space="preserve"> </w:t>
      </w:r>
      <w:r w:rsidRPr="0021416C">
        <w:rPr>
          <w:rFonts w:ascii="Times New Roman" w:hAnsi="Times New Roman" w:cs="Times New Roman" w:hint="eastAsia"/>
          <w:sz w:val="24"/>
        </w:rPr>
        <w:t xml:space="preserve">the </w:t>
      </w:r>
      <w:r w:rsidRPr="0021416C">
        <w:rPr>
          <w:rFonts w:ascii="Times New Roman" w:hAnsi="Times New Roman" w:cs="Times New Roman"/>
          <w:sz w:val="24"/>
        </w:rPr>
        <w:t>CCK-8 cell proliferation assay kit. According to the manufacturer’s instructions, 5</w:t>
      </w:r>
      <w:r w:rsidR="00DA05E1">
        <w:rPr>
          <w:rFonts w:ascii="Times New Roman" w:hAnsi="Times New Roman" w:cs="Times New Roman" w:hint="eastAsia"/>
          <w:sz w:val="24"/>
        </w:rPr>
        <w:t>000</w:t>
      </w:r>
      <w:r w:rsidRPr="0021416C">
        <w:rPr>
          <w:rFonts w:ascii="Times New Roman" w:hAnsi="Times New Roman" w:cs="Times New Roman"/>
          <w:sz w:val="24"/>
        </w:rPr>
        <w:t xml:space="preserve"> cells </w:t>
      </w:r>
      <w:r w:rsidRPr="0021416C">
        <w:rPr>
          <w:rFonts w:ascii="Times New Roman" w:hAnsi="Times New Roman" w:cs="Times New Roman" w:hint="eastAsia"/>
          <w:sz w:val="24"/>
        </w:rPr>
        <w:t>(</w:t>
      </w:r>
      <w:r w:rsidRPr="0021416C">
        <w:rPr>
          <w:rFonts w:ascii="Times New Roman" w:hAnsi="Times New Roman" w:cs="Times New Roman"/>
          <w:sz w:val="24"/>
        </w:rPr>
        <w:t xml:space="preserve">CT26, </w:t>
      </w:r>
      <w:r w:rsidRPr="0021416C">
        <w:rPr>
          <w:rFonts w:ascii="Times New Roman" w:hAnsi="Times New Roman" w:cs="Times New Roman" w:hint="eastAsia"/>
          <w:sz w:val="24"/>
        </w:rPr>
        <w:t>MC38</w:t>
      </w:r>
      <w:r w:rsidRPr="0021416C">
        <w:rPr>
          <w:rFonts w:ascii="Times New Roman" w:hAnsi="Times New Roman" w:cs="Times New Roman"/>
          <w:sz w:val="24"/>
        </w:rPr>
        <w:t xml:space="preserve">, </w:t>
      </w:r>
      <w:r w:rsidRPr="0021416C">
        <w:rPr>
          <w:rFonts w:ascii="Times New Roman" w:hAnsi="Times New Roman" w:cs="Times New Roman" w:hint="eastAsia"/>
          <w:sz w:val="24"/>
        </w:rPr>
        <w:t>HCT15</w:t>
      </w:r>
      <w:r w:rsidRPr="0021416C">
        <w:rPr>
          <w:rFonts w:ascii="Times New Roman" w:hAnsi="Times New Roman" w:cs="Times New Roman"/>
          <w:sz w:val="24"/>
        </w:rPr>
        <w:t>, HT</w:t>
      </w:r>
      <w:r w:rsidRPr="0021416C">
        <w:rPr>
          <w:rFonts w:ascii="Times New Roman" w:hAnsi="Times New Roman" w:cs="Times New Roman" w:hint="eastAsia"/>
          <w:sz w:val="24"/>
        </w:rPr>
        <w:t>116, 293T, and NCM460)</w:t>
      </w:r>
      <w:r w:rsidRPr="0021416C">
        <w:rPr>
          <w:rFonts w:ascii="Times New Roman" w:hAnsi="Times New Roman" w:cs="Times New Roman"/>
          <w:sz w:val="24"/>
        </w:rPr>
        <w:t xml:space="preserve"> were seeded into 96-well plate</w:t>
      </w:r>
      <w:r w:rsidRPr="0021416C">
        <w:rPr>
          <w:rFonts w:ascii="Times New Roman" w:hAnsi="Times New Roman" w:cs="Times New Roman" w:hint="eastAsia"/>
          <w:sz w:val="24"/>
        </w:rPr>
        <w:t>s</w:t>
      </w:r>
      <w:r w:rsidRPr="0021416C">
        <w:rPr>
          <w:rFonts w:ascii="Times New Roman" w:hAnsi="Times New Roman" w:cs="Times New Roman"/>
          <w:sz w:val="24"/>
        </w:rPr>
        <w:t xml:space="preserve"> and cultured overnight. Then, the cells were incubated with various concentrations of </w:t>
      </w:r>
      <w:r w:rsidRPr="0021416C">
        <w:rPr>
          <w:rFonts w:ascii="Times New Roman" w:hAnsi="Times New Roman" w:cs="Times New Roman" w:hint="eastAsia"/>
          <w:sz w:val="24"/>
        </w:rPr>
        <w:t>free rhein, RM, and BRM</w:t>
      </w:r>
      <w:r w:rsidRPr="0021416C">
        <w:rPr>
          <w:rFonts w:ascii="Times New Roman" w:hAnsi="Times New Roman" w:cs="Times New Roman"/>
          <w:sz w:val="24"/>
        </w:rPr>
        <w:t xml:space="preserve"> for 24 hours, respectively. </w:t>
      </w:r>
      <w:r w:rsidRPr="0021416C">
        <w:rPr>
          <w:rFonts w:ascii="Times New Roman" w:hAnsi="Times New Roman" w:cs="Times New Roman"/>
          <w:sz w:val="24"/>
          <w:szCs w:val="24"/>
        </w:rPr>
        <w:t>Cells were pretreated with the NF-κB inhibitor JSH-23 at a concentration of 10 μM for 1 hour before subsequent stimulation or analysis.</w:t>
      </w:r>
      <w:r w:rsidRPr="0021416C">
        <w:rPr>
          <w:rFonts w:ascii="Times New Roman" w:hAnsi="Times New Roman" w:cs="Times New Roman" w:hint="eastAsia"/>
          <w:sz w:val="24"/>
          <w:szCs w:val="24"/>
        </w:rPr>
        <w:t xml:space="preserve"> </w:t>
      </w:r>
      <w:r w:rsidRPr="0021416C">
        <w:rPr>
          <w:rFonts w:ascii="Times New Roman" w:hAnsi="Times New Roman" w:cs="Times New Roman"/>
          <w:sz w:val="24"/>
        </w:rPr>
        <w:t xml:space="preserve">At each time point, 10 μL of CCK-8 reagent was added to each well and incubated for </w:t>
      </w:r>
      <w:r w:rsidRPr="0021416C">
        <w:rPr>
          <w:rFonts w:ascii="Times New Roman" w:hAnsi="Times New Roman" w:cs="Times New Roman" w:hint="eastAsia"/>
          <w:sz w:val="24"/>
        </w:rPr>
        <w:t xml:space="preserve">an additional </w:t>
      </w:r>
      <w:r w:rsidRPr="0021416C">
        <w:rPr>
          <w:rFonts w:ascii="Times New Roman" w:hAnsi="Times New Roman" w:cs="Times New Roman"/>
          <w:sz w:val="24"/>
        </w:rPr>
        <w:t>1 h</w:t>
      </w:r>
      <w:r w:rsidRPr="0021416C">
        <w:rPr>
          <w:rFonts w:ascii="Times New Roman" w:hAnsi="Times New Roman" w:cs="Times New Roman" w:hint="eastAsia"/>
          <w:sz w:val="24"/>
        </w:rPr>
        <w:t>our</w:t>
      </w:r>
      <w:r w:rsidRPr="0021416C">
        <w:rPr>
          <w:rFonts w:ascii="Times New Roman" w:hAnsi="Times New Roman" w:cs="Times New Roman"/>
          <w:sz w:val="24"/>
        </w:rPr>
        <w:t xml:space="preserve">. </w:t>
      </w:r>
      <w:r w:rsidRPr="0021416C">
        <w:rPr>
          <w:rFonts w:ascii="Times New Roman" w:hAnsi="Times New Roman" w:cs="Times New Roman"/>
          <w:sz w:val="24"/>
        </w:rPr>
        <w:lastRenderedPageBreak/>
        <w:t xml:space="preserve">Optical density (OD) </w:t>
      </w:r>
      <w:r w:rsidRPr="0021416C">
        <w:rPr>
          <w:rFonts w:ascii="Times New Roman" w:hAnsi="Times New Roman" w:cs="Times New Roman" w:hint="eastAsia"/>
          <w:sz w:val="24"/>
        </w:rPr>
        <w:t>at</w:t>
      </w:r>
      <w:r w:rsidRPr="0021416C">
        <w:rPr>
          <w:rFonts w:ascii="Times New Roman" w:hAnsi="Times New Roman" w:cs="Times New Roman"/>
          <w:sz w:val="24"/>
        </w:rPr>
        <w:t xml:space="preserve"> 450 nm was measured </w:t>
      </w:r>
      <w:r w:rsidRPr="0021416C">
        <w:rPr>
          <w:rFonts w:ascii="Times New Roman" w:hAnsi="Times New Roman" w:cs="Times New Roman" w:hint="eastAsia"/>
          <w:sz w:val="24"/>
        </w:rPr>
        <w:t>using</w:t>
      </w:r>
      <w:r w:rsidRPr="0021416C">
        <w:rPr>
          <w:rFonts w:ascii="Times New Roman" w:hAnsi="Times New Roman" w:cs="Times New Roman"/>
          <w:sz w:val="24"/>
        </w:rPr>
        <w:t xml:space="preserve"> a microplate reader (BioTek, SynergyH1, USA). Cell viabilit</w:t>
      </w:r>
      <w:r w:rsidRPr="0021416C">
        <w:rPr>
          <w:rFonts w:ascii="Times New Roman" w:hAnsi="Times New Roman" w:cs="Times New Roman" w:hint="eastAsia"/>
          <w:sz w:val="24"/>
        </w:rPr>
        <w:t>y</w:t>
      </w:r>
      <w:r w:rsidRPr="0021416C">
        <w:rPr>
          <w:rFonts w:ascii="Times New Roman" w:hAnsi="Times New Roman" w:cs="Times New Roman"/>
          <w:sz w:val="24"/>
        </w:rPr>
        <w:t xml:space="preserve"> w</w:t>
      </w:r>
      <w:r w:rsidRPr="0021416C">
        <w:rPr>
          <w:rFonts w:ascii="Times New Roman" w:hAnsi="Times New Roman" w:cs="Times New Roman" w:hint="eastAsia"/>
          <w:sz w:val="24"/>
        </w:rPr>
        <w:t>as</w:t>
      </w:r>
      <w:r w:rsidRPr="0021416C">
        <w:rPr>
          <w:rFonts w:ascii="Times New Roman" w:hAnsi="Times New Roman" w:cs="Times New Roman"/>
          <w:sz w:val="24"/>
        </w:rPr>
        <w:t xml:space="preserve"> calculated using the </w:t>
      </w:r>
      <w:r w:rsidRPr="0021416C">
        <w:rPr>
          <w:rFonts w:ascii="Times New Roman" w:hAnsi="Times New Roman" w:cs="Times New Roman" w:hint="eastAsia"/>
          <w:sz w:val="24"/>
        </w:rPr>
        <w:t xml:space="preserve">following </w:t>
      </w:r>
      <w:r w:rsidRPr="0021416C">
        <w:rPr>
          <w:rFonts w:ascii="Times New Roman" w:hAnsi="Times New Roman" w:cs="Times New Roman"/>
          <w:sz w:val="24"/>
        </w:rPr>
        <w:t>formula: cell viability% = (OD</w:t>
      </w:r>
      <w:r w:rsidRPr="0021416C">
        <w:rPr>
          <w:rFonts w:ascii="Times New Roman" w:hAnsi="Times New Roman" w:cs="Times New Roman"/>
          <w:sz w:val="24"/>
          <w:vertAlign w:val="subscript"/>
        </w:rPr>
        <w:t>sample</w:t>
      </w:r>
      <w:r w:rsidRPr="0021416C">
        <w:rPr>
          <w:rFonts w:ascii="Times New Roman" w:hAnsi="Times New Roman" w:cs="Times New Roman"/>
          <w:sz w:val="24"/>
        </w:rPr>
        <w:t xml:space="preserve"> </w:t>
      </w:r>
      <w:r w:rsidRPr="0021416C">
        <w:rPr>
          <w:rFonts w:ascii="Times New Roman" w:hAnsi="Times New Roman" w:cs="Times New Roman" w:hint="eastAsia"/>
          <w:sz w:val="24"/>
        </w:rPr>
        <w:t>-</w:t>
      </w:r>
      <w:r w:rsidRPr="0021416C">
        <w:rPr>
          <w:rFonts w:ascii="Times New Roman" w:hAnsi="Times New Roman" w:cs="Times New Roman"/>
          <w:sz w:val="24"/>
        </w:rPr>
        <w:t xml:space="preserve"> OD</w:t>
      </w:r>
      <w:r w:rsidRPr="0021416C">
        <w:rPr>
          <w:rFonts w:ascii="Times New Roman" w:hAnsi="Times New Roman" w:cs="Times New Roman"/>
          <w:sz w:val="24"/>
          <w:vertAlign w:val="subscript"/>
        </w:rPr>
        <w:t>blank</w:t>
      </w:r>
      <w:r w:rsidRPr="0021416C">
        <w:rPr>
          <w:rFonts w:ascii="Times New Roman" w:hAnsi="Times New Roman" w:cs="Times New Roman"/>
          <w:sz w:val="24"/>
        </w:rPr>
        <w:t>/OD</w:t>
      </w:r>
      <w:r w:rsidRPr="0021416C">
        <w:rPr>
          <w:rFonts w:ascii="Times New Roman" w:hAnsi="Times New Roman" w:cs="Times New Roman"/>
          <w:sz w:val="24"/>
          <w:vertAlign w:val="subscript"/>
        </w:rPr>
        <w:t>control</w:t>
      </w:r>
      <w:r w:rsidRPr="0021416C">
        <w:rPr>
          <w:rFonts w:ascii="Times New Roman" w:hAnsi="Times New Roman" w:cs="Times New Roman"/>
          <w:sz w:val="24"/>
        </w:rPr>
        <w:t xml:space="preserve"> </w:t>
      </w:r>
      <w:r w:rsidRPr="0021416C">
        <w:rPr>
          <w:rFonts w:ascii="Times New Roman" w:hAnsi="Times New Roman" w:cs="Times New Roman" w:hint="eastAsia"/>
          <w:sz w:val="24"/>
        </w:rPr>
        <w:t>-</w:t>
      </w:r>
      <w:r w:rsidRPr="0021416C">
        <w:rPr>
          <w:rFonts w:ascii="Times New Roman" w:hAnsi="Times New Roman" w:cs="Times New Roman"/>
          <w:sz w:val="24"/>
        </w:rPr>
        <w:t xml:space="preserve"> OD</w:t>
      </w:r>
      <w:r w:rsidRPr="0021416C">
        <w:rPr>
          <w:rFonts w:ascii="Times New Roman" w:hAnsi="Times New Roman" w:cs="Times New Roman"/>
          <w:sz w:val="24"/>
          <w:vertAlign w:val="subscript"/>
        </w:rPr>
        <w:t>blank</w:t>
      </w:r>
      <w:r w:rsidRPr="0021416C">
        <w:rPr>
          <w:rFonts w:ascii="Times New Roman" w:hAnsi="Times New Roman" w:cs="Times New Roman"/>
          <w:sz w:val="24"/>
        </w:rPr>
        <w:t xml:space="preserve">)×100%. </w:t>
      </w:r>
    </w:p>
    <w:p w14:paraId="3A5AFA40" w14:textId="77777777" w:rsidR="009E1F78" w:rsidRPr="0021416C" w:rsidRDefault="009E1F78">
      <w:pPr>
        <w:kinsoku w:val="0"/>
        <w:spacing w:line="360" w:lineRule="auto"/>
        <w:rPr>
          <w:rFonts w:ascii="Times New Roman" w:hAnsi="Times New Roman" w:cs="Times New Roman"/>
          <w:b/>
          <w:bCs/>
          <w:sz w:val="24"/>
        </w:rPr>
      </w:pPr>
    </w:p>
    <w:p w14:paraId="4F3F4483" w14:textId="77777777" w:rsidR="009E1F78" w:rsidRPr="0021416C" w:rsidRDefault="00000000">
      <w:pPr>
        <w:kinsoku w:val="0"/>
        <w:spacing w:line="360" w:lineRule="auto"/>
        <w:rPr>
          <w:rFonts w:ascii="Times New Roman" w:hAnsi="Times New Roman" w:cs="Times New Roman"/>
          <w:sz w:val="24"/>
        </w:rPr>
      </w:pPr>
      <w:r w:rsidRPr="0021416C">
        <w:rPr>
          <w:rFonts w:ascii="Times New Roman" w:hAnsi="Times New Roman" w:cs="Times New Roman"/>
          <w:b/>
          <w:bCs/>
          <w:sz w:val="24"/>
        </w:rPr>
        <w:t>RNA sequencing</w:t>
      </w:r>
      <w:r w:rsidRPr="0021416C">
        <w:rPr>
          <w:rFonts w:ascii="Times New Roman" w:hAnsi="Times New Roman" w:cs="Times New Roman" w:hint="eastAsia"/>
          <w:b/>
          <w:bCs/>
          <w:sz w:val="24"/>
        </w:rPr>
        <w:t xml:space="preserve">. </w:t>
      </w:r>
      <w:r w:rsidRPr="0021416C">
        <w:rPr>
          <w:rFonts w:ascii="Times New Roman" w:hAnsi="Times New Roman" w:cs="Times New Roman"/>
          <w:sz w:val="24"/>
        </w:rPr>
        <w:t>CT26 cells (1</w:t>
      </w:r>
      <w:r w:rsidRPr="0021416C">
        <w:rPr>
          <w:rFonts w:ascii="Times New Roman" w:hAnsi="Times New Roman" w:cs="Times New Roman" w:hint="eastAsia"/>
          <w:sz w:val="24"/>
        </w:rPr>
        <w:t xml:space="preserve"> </w:t>
      </w:r>
      <w:r w:rsidRPr="0021416C">
        <w:rPr>
          <w:rFonts w:ascii="Times New Roman" w:hAnsi="Times New Roman" w:cs="Times New Roman"/>
          <w:sz w:val="24"/>
        </w:rPr>
        <w:t>×</w:t>
      </w:r>
      <w:r w:rsidRPr="0021416C">
        <w:rPr>
          <w:rFonts w:ascii="Times New Roman" w:hAnsi="Times New Roman" w:cs="Times New Roman" w:hint="eastAsia"/>
          <w:sz w:val="24"/>
        </w:rPr>
        <w:t xml:space="preserve"> </w:t>
      </w:r>
      <w:r w:rsidRPr="0021416C">
        <w:rPr>
          <w:rFonts w:ascii="Times New Roman" w:hAnsi="Times New Roman" w:cs="Times New Roman"/>
          <w:sz w:val="24"/>
        </w:rPr>
        <w:t xml:space="preserve">10⁶) were seeded in 10 cm culture plates overnight, then treated with </w:t>
      </w:r>
      <w:r w:rsidRPr="0021416C">
        <w:rPr>
          <w:rFonts w:ascii="Times New Roman" w:hAnsi="Times New Roman" w:cs="Times New Roman" w:hint="eastAsia"/>
          <w:sz w:val="24"/>
        </w:rPr>
        <w:t>CTL</w:t>
      </w:r>
      <w:r w:rsidRPr="0021416C">
        <w:rPr>
          <w:rFonts w:ascii="Times New Roman" w:hAnsi="Times New Roman" w:cs="Times New Roman"/>
          <w:sz w:val="24"/>
        </w:rPr>
        <w:t xml:space="preserve"> (</w:t>
      </w:r>
      <w:r w:rsidRPr="0021416C">
        <w:rPr>
          <w:rFonts w:ascii="Times New Roman" w:hAnsi="Times New Roman" w:cs="Times New Roman" w:hint="eastAsia"/>
          <w:sz w:val="24"/>
        </w:rPr>
        <w:t>PBS</w:t>
      </w:r>
      <w:r w:rsidRPr="0021416C">
        <w:rPr>
          <w:rFonts w:ascii="Times New Roman" w:hAnsi="Times New Roman" w:cs="Times New Roman"/>
          <w:sz w:val="24"/>
        </w:rPr>
        <w:t>), free Rhein, MnCl₂, or BRM for 24 h. Total RNA was extracted using the Qiagen RNeasy Mini Kit (Germany) following the manufacturer’s protocol. RNA concentration was quantified with a Qubit 2.0 Fluorometer, and quality was assessed using an Agilent Bioanalyzer 2100. mRNA-seq libraries were constructed per standard protocols and sequenced on an Illumina HiSeq 2500 platform (paired-end 150 bp). Raw reads were filtered using Trimmomatic to remove adaptors, low-quality sequences, and poly-N-containing reads, yielding high-quality clean reads for downstream analysis. Differential expression analysis between groups was performed with DESeq2; genes with a false discovery rate (FDR) &lt; 0.05 and absolute fold change ≥ 2 were defined as differentially expressed genes (DEGs). Gene set enrichment analysis (GSEA) was conducted against Kyoto Encyclopedia of Genes and Genomes (KEGG) pathways.</w:t>
      </w:r>
    </w:p>
    <w:p w14:paraId="49343892" w14:textId="77777777" w:rsidR="009E1F78" w:rsidRPr="0021416C" w:rsidRDefault="009E1F78">
      <w:pPr>
        <w:widowControl/>
        <w:spacing w:line="360" w:lineRule="auto"/>
        <w:rPr>
          <w:rFonts w:ascii="Times New Roman" w:hAnsi="Times New Roman" w:cs="Times New Roman"/>
          <w:b/>
          <w:bCs/>
          <w:sz w:val="24"/>
          <w:szCs w:val="24"/>
        </w:rPr>
      </w:pPr>
    </w:p>
    <w:p w14:paraId="736B10DA" w14:textId="455F411A" w:rsidR="009E1F78" w:rsidRPr="0021416C" w:rsidRDefault="00000000">
      <w:pPr>
        <w:widowControl/>
        <w:spacing w:line="360" w:lineRule="auto"/>
        <w:rPr>
          <w:rFonts w:ascii="Times New Roman" w:hAnsi="Times New Roman" w:cs="Times New Roman"/>
          <w:sz w:val="24"/>
          <w:szCs w:val="24"/>
        </w:rPr>
      </w:pPr>
      <w:r w:rsidRPr="0021416C">
        <w:rPr>
          <w:rFonts w:ascii="Times New Roman" w:hAnsi="Times New Roman" w:cs="Times New Roman" w:hint="eastAsia"/>
          <w:b/>
          <w:bCs/>
          <w:sz w:val="24"/>
          <w:szCs w:val="24"/>
        </w:rPr>
        <w:t xml:space="preserve">Luciferase reporter assay for P65 transcriptional activity. </w:t>
      </w:r>
      <w:r w:rsidRPr="0021416C">
        <w:rPr>
          <w:rFonts w:ascii="Times New Roman" w:hAnsi="Times New Roman" w:cs="Times New Roman" w:hint="eastAsia"/>
          <w:sz w:val="24"/>
          <w:szCs w:val="24"/>
        </w:rPr>
        <w:t xml:space="preserve">The P65 luciferase reporter plasmid (containing the </w:t>
      </w:r>
      <w:r w:rsidRPr="0021416C">
        <w:rPr>
          <w:rFonts w:ascii="Times New Roman" w:hAnsi="Times New Roman" w:cs="Times New Roman"/>
          <w:sz w:val="24"/>
          <w:szCs w:val="24"/>
        </w:rPr>
        <w:t>NF-κB P65 bin</w:t>
      </w:r>
      <w:r w:rsidRPr="0021416C">
        <w:rPr>
          <w:rFonts w:ascii="Times New Roman" w:hAnsi="Times New Roman" w:cs="Times New Roman" w:hint="eastAsia"/>
          <w:sz w:val="24"/>
          <w:szCs w:val="24"/>
        </w:rPr>
        <w:t>ding site upstream of the luciferase gene) and Renilla luciferase plasmid (as internal CTL) were co-transfected into CT26 ce</w:t>
      </w:r>
      <w:r w:rsidRPr="0021416C">
        <w:rPr>
          <w:rFonts w:ascii="Times New Roman" w:hAnsi="Times New Roman" w:cs="Times New Roman"/>
          <w:sz w:val="24"/>
          <w:szCs w:val="24"/>
        </w:rPr>
        <w:t xml:space="preserve">lls using Lipofectamine 3000 (Invitrogen) according to the manufacturer’s protocol. After </w:t>
      </w:r>
      <w:r w:rsidRPr="0021416C">
        <w:rPr>
          <w:rFonts w:ascii="Times New Roman" w:hAnsi="Times New Roman" w:cs="Times New Roman" w:hint="eastAsia"/>
          <w:sz w:val="24"/>
          <w:szCs w:val="24"/>
        </w:rPr>
        <w:t>24</w:t>
      </w:r>
      <w:r w:rsidRPr="0021416C">
        <w:rPr>
          <w:rFonts w:ascii="Times New Roman" w:hAnsi="Times New Roman" w:cs="Times New Roman"/>
          <w:sz w:val="24"/>
          <w:szCs w:val="24"/>
        </w:rPr>
        <w:t xml:space="preserve"> h of transfection, cells were treated with </w:t>
      </w:r>
      <w:r w:rsidRPr="0021416C">
        <w:rPr>
          <w:rFonts w:ascii="Times New Roman" w:hAnsi="Times New Roman" w:cs="Times New Roman" w:hint="eastAsia"/>
          <w:sz w:val="24"/>
          <w:szCs w:val="24"/>
        </w:rPr>
        <w:t>CTL</w:t>
      </w:r>
      <w:r w:rsidRPr="0021416C">
        <w:rPr>
          <w:rFonts w:ascii="Times New Roman" w:hAnsi="Times New Roman" w:cs="Times New Roman"/>
          <w:sz w:val="24"/>
          <w:szCs w:val="24"/>
        </w:rPr>
        <w:t xml:space="preserve"> (PBS), free Rhein, Mn</w:t>
      </w:r>
      <w:r w:rsidRPr="0021416C">
        <w:rPr>
          <w:rFonts w:ascii="Times New Roman" w:hAnsi="Times New Roman" w:cs="Times New Roman"/>
          <w:sz w:val="24"/>
          <w:szCs w:val="24"/>
          <w:vertAlign w:val="superscript"/>
        </w:rPr>
        <w:t>2+</w:t>
      </w:r>
      <w:r w:rsidRPr="0021416C">
        <w:rPr>
          <w:rFonts w:ascii="Times New Roman" w:hAnsi="Times New Roman" w:cs="Times New Roman"/>
          <w:sz w:val="24"/>
          <w:szCs w:val="24"/>
        </w:rPr>
        <w:t>, BRM</w:t>
      </w:r>
      <w:r w:rsidR="00DA05E1">
        <w:rPr>
          <w:rFonts w:ascii="Times New Roman" w:hAnsi="Times New Roman" w:cs="Times New Roman" w:hint="eastAsia"/>
          <w:sz w:val="24"/>
          <w:szCs w:val="24"/>
        </w:rPr>
        <w:t>, or</w:t>
      </w:r>
      <w:r w:rsidRPr="0021416C">
        <w:rPr>
          <w:rFonts w:ascii="Times New Roman" w:hAnsi="Times New Roman" w:cs="Times New Roman"/>
          <w:sz w:val="24"/>
          <w:szCs w:val="24"/>
        </w:rPr>
        <w:t xml:space="preserve"> </w:t>
      </w:r>
      <w:r w:rsidR="00DA05E1" w:rsidRPr="0021416C">
        <w:rPr>
          <w:rFonts w:ascii="Times New Roman" w:hAnsi="Times New Roman" w:cs="Times New Roman"/>
          <w:sz w:val="24"/>
          <w:szCs w:val="24"/>
        </w:rPr>
        <w:t>BRM</w:t>
      </w:r>
      <w:r w:rsidR="00DA05E1">
        <w:rPr>
          <w:rFonts w:ascii="Times New Roman" w:hAnsi="Times New Roman" w:cs="Times New Roman" w:hint="eastAsia"/>
          <w:sz w:val="24"/>
          <w:szCs w:val="24"/>
        </w:rPr>
        <w:t xml:space="preserve">+NAC </w:t>
      </w:r>
      <w:r w:rsidRPr="0021416C">
        <w:rPr>
          <w:rFonts w:ascii="Times New Roman" w:hAnsi="Times New Roman" w:cs="Times New Roman"/>
          <w:sz w:val="24"/>
          <w:szCs w:val="24"/>
        </w:rPr>
        <w:t xml:space="preserve">for another 12 h. Luciferase activity </w:t>
      </w:r>
      <w:r w:rsidRPr="0021416C">
        <w:rPr>
          <w:rFonts w:ascii="Times New Roman" w:hAnsi="Times New Roman" w:cs="Times New Roman" w:hint="eastAsia"/>
          <w:sz w:val="24"/>
          <w:szCs w:val="24"/>
        </w:rPr>
        <w:t>was measured using the Dual-Luciferase Reporter Assay System (Promega) on a microplate reader (BioTek, SynergyH1, USA). Relative luciferase activity was calculated as the ratio of firefly luciferase activity to Renilla luciferase activity, reflecting P65 transcriptional activation level.</w:t>
      </w:r>
    </w:p>
    <w:p w14:paraId="6D7276E6" w14:textId="77777777" w:rsidR="009E1F78" w:rsidRPr="0021416C" w:rsidRDefault="009E1F78">
      <w:pPr>
        <w:widowControl/>
        <w:spacing w:line="360" w:lineRule="auto"/>
        <w:rPr>
          <w:rFonts w:ascii="Times New Roman" w:hAnsi="Times New Roman" w:cs="Times New Roman"/>
          <w:b/>
          <w:bCs/>
          <w:sz w:val="24"/>
          <w:szCs w:val="24"/>
        </w:rPr>
      </w:pPr>
    </w:p>
    <w:p w14:paraId="5B48518F" w14:textId="1C68A32D" w:rsidR="009E1F78" w:rsidRPr="0021416C" w:rsidRDefault="00000000">
      <w:pPr>
        <w:widowControl/>
        <w:spacing w:line="360" w:lineRule="auto"/>
        <w:rPr>
          <w:rFonts w:ascii="Times New Roman" w:hAnsi="Times New Roman" w:cs="Times New Roman"/>
          <w:sz w:val="24"/>
          <w:szCs w:val="24"/>
        </w:rPr>
      </w:pPr>
      <w:r w:rsidRPr="0021416C">
        <w:rPr>
          <w:rFonts w:ascii="Times New Roman" w:hAnsi="Times New Roman" w:cs="Times New Roman"/>
          <w:b/>
          <w:bCs/>
          <w:sz w:val="24"/>
          <w:szCs w:val="24"/>
        </w:rPr>
        <w:lastRenderedPageBreak/>
        <w:t>Immunofluorescence staining for P65 nuclear translocation</w:t>
      </w:r>
      <w:r w:rsidRPr="0021416C">
        <w:rPr>
          <w:rFonts w:ascii="Times New Roman" w:hAnsi="Times New Roman" w:cs="Times New Roman" w:hint="eastAsia"/>
          <w:b/>
          <w:bCs/>
          <w:sz w:val="24"/>
          <w:szCs w:val="24"/>
        </w:rPr>
        <w:t>.</w:t>
      </w:r>
      <w:r w:rsidRPr="0021416C">
        <w:rPr>
          <w:rFonts w:ascii="Times New Roman" w:hAnsi="Times New Roman" w:cs="Times New Roman" w:hint="eastAsia"/>
          <w:sz w:val="24"/>
          <w:szCs w:val="24"/>
        </w:rPr>
        <w:t xml:space="preserve"> </w:t>
      </w:r>
      <w:r w:rsidRPr="0021416C">
        <w:rPr>
          <w:rFonts w:ascii="Times New Roman" w:hAnsi="Times New Roman" w:cs="Times New Roman"/>
          <w:sz w:val="24"/>
          <w:szCs w:val="24"/>
        </w:rPr>
        <w:t xml:space="preserve">CT26 cells were seeded on confocal dishes and cultured to 60% confluency, then treated with </w:t>
      </w:r>
      <w:r w:rsidRPr="0021416C">
        <w:rPr>
          <w:rFonts w:ascii="Times New Roman" w:hAnsi="Times New Roman" w:cs="Times New Roman" w:hint="eastAsia"/>
          <w:sz w:val="24"/>
          <w:szCs w:val="24"/>
        </w:rPr>
        <w:t>CTL</w:t>
      </w:r>
      <w:r w:rsidRPr="0021416C">
        <w:rPr>
          <w:rFonts w:ascii="Times New Roman" w:hAnsi="Times New Roman" w:cs="Times New Roman"/>
          <w:sz w:val="24"/>
          <w:szCs w:val="24"/>
        </w:rPr>
        <w:t xml:space="preserve"> (PBS), free Rhein, Mn</w:t>
      </w:r>
      <w:r w:rsidRPr="0021416C">
        <w:rPr>
          <w:rFonts w:ascii="Times New Roman" w:hAnsi="Times New Roman" w:cs="Times New Roman"/>
          <w:sz w:val="24"/>
          <w:szCs w:val="24"/>
          <w:vertAlign w:val="superscript"/>
        </w:rPr>
        <w:t>2+</w:t>
      </w:r>
      <w:r w:rsidRPr="0021416C">
        <w:rPr>
          <w:rFonts w:ascii="Times New Roman" w:hAnsi="Times New Roman" w:cs="Times New Roman"/>
          <w:sz w:val="24"/>
          <w:szCs w:val="24"/>
        </w:rPr>
        <w:t>, or BRM for 12 h. After trea</w:t>
      </w:r>
      <w:r w:rsidRPr="0021416C">
        <w:rPr>
          <w:rFonts w:ascii="Times New Roman" w:hAnsi="Times New Roman" w:cs="Times New Roman" w:hint="eastAsia"/>
          <w:sz w:val="24"/>
          <w:szCs w:val="24"/>
        </w:rPr>
        <w:t xml:space="preserve">tment, cells were rinsed twice with PBS, fixed with 4% paraformaldehyde for 15 min, and permeabilized with 0.1% Triton X-100 in PBS for 10 min at room temperature. Nonspecific binding was blocked with 5% </w:t>
      </w:r>
      <w:r w:rsidRPr="0021416C">
        <w:rPr>
          <w:rFonts w:ascii="Times New Roman" w:hAnsi="Times New Roman" w:cs="Times New Roman"/>
          <w:sz w:val="24"/>
          <w:szCs w:val="24"/>
        </w:rPr>
        <w:t xml:space="preserve">BSA for 30 min, followed by incubation with anti-P65 primary antibody (1:200 dilution in 1% BSA) overnight at 4 °C. Cells were then washed three times with PBS and incubated with </w:t>
      </w:r>
      <w:r w:rsidRPr="0021416C">
        <w:rPr>
          <w:rFonts w:ascii="Times New Roman" w:hAnsi="Times New Roman" w:cs="Times New Roman"/>
          <w:caps/>
          <w:sz w:val="24"/>
          <w:szCs w:val="24"/>
        </w:rPr>
        <w:t>FITC</w:t>
      </w:r>
      <w:r w:rsidRPr="0021416C">
        <w:rPr>
          <w:rFonts w:ascii="Times New Roman" w:hAnsi="Times New Roman" w:cs="Times New Roman"/>
          <w:sz w:val="24"/>
          <w:szCs w:val="24"/>
        </w:rPr>
        <w:t>-conjugated secondary antibody (1:500 dilution in 1% BSA) for 1 h at room temperature in the</w:t>
      </w:r>
      <w:r w:rsidRPr="0021416C">
        <w:rPr>
          <w:rFonts w:ascii="Times New Roman" w:hAnsi="Times New Roman" w:cs="Times New Roman" w:hint="eastAsia"/>
          <w:sz w:val="24"/>
          <w:szCs w:val="24"/>
        </w:rPr>
        <w:t xml:space="preserve"> dark. Nuclei were stained with 5 mg/L </w:t>
      </w:r>
      <w:r w:rsidRPr="0021416C">
        <w:rPr>
          <w:rFonts w:ascii="Times New Roman" w:hAnsi="Times New Roman" w:cs="Times New Roman" w:hint="eastAsia"/>
          <w:caps/>
          <w:sz w:val="24"/>
          <w:szCs w:val="24"/>
        </w:rPr>
        <w:t>DAPI</w:t>
      </w:r>
      <w:r w:rsidRPr="0021416C">
        <w:rPr>
          <w:rFonts w:ascii="Times New Roman" w:hAnsi="Times New Roman" w:cs="Times New Roman" w:hint="eastAsia"/>
          <w:sz w:val="24"/>
          <w:szCs w:val="24"/>
        </w:rPr>
        <w:t xml:space="preserve"> for 5 min, and excess dye was removed by rinsing with PBS. Images were captured using a confocal laser scanning microscope (CLSM), with P65 visualized as green fluorescence (</w:t>
      </w:r>
      <w:r w:rsidRPr="0021416C">
        <w:rPr>
          <w:rFonts w:ascii="Times New Roman" w:hAnsi="Times New Roman" w:cs="Times New Roman" w:hint="eastAsia"/>
          <w:caps/>
          <w:sz w:val="24"/>
          <w:szCs w:val="24"/>
        </w:rPr>
        <w:t>FITC</w:t>
      </w:r>
      <w:r w:rsidRPr="0021416C">
        <w:rPr>
          <w:rFonts w:ascii="Times New Roman" w:hAnsi="Times New Roman" w:cs="Times New Roman" w:hint="eastAsia"/>
          <w:sz w:val="24"/>
          <w:szCs w:val="24"/>
        </w:rPr>
        <w:t>) and nuclei as blue fluorescence (</w:t>
      </w:r>
      <w:r w:rsidRPr="0021416C">
        <w:rPr>
          <w:rFonts w:ascii="Times New Roman" w:hAnsi="Times New Roman" w:cs="Times New Roman" w:hint="eastAsia"/>
          <w:caps/>
          <w:sz w:val="24"/>
          <w:szCs w:val="24"/>
        </w:rPr>
        <w:t>DAPI</w:t>
      </w:r>
      <w:r w:rsidRPr="0021416C">
        <w:rPr>
          <w:rFonts w:ascii="Times New Roman" w:hAnsi="Times New Roman" w:cs="Times New Roman" w:hint="eastAsia"/>
          <w:sz w:val="24"/>
          <w:szCs w:val="24"/>
        </w:rPr>
        <w:t>). The ratio of nuclear to cytoplasmic P65 fluorescence intensity was quantified to evaluate P65 nuclear translocation.</w:t>
      </w:r>
    </w:p>
    <w:p w14:paraId="006DCC78" w14:textId="77777777" w:rsidR="009E1F78" w:rsidRPr="0021416C" w:rsidRDefault="009E1F78">
      <w:pPr>
        <w:widowControl/>
        <w:spacing w:line="360" w:lineRule="auto"/>
        <w:rPr>
          <w:rFonts w:ascii="Times New Roman" w:hAnsi="Times New Roman" w:cs="Times New Roman"/>
          <w:b/>
          <w:bCs/>
          <w:sz w:val="24"/>
          <w:szCs w:val="24"/>
        </w:rPr>
      </w:pPr>
    </w:p>
    <w:p w14:paraId="0F49D231" w14:textId="5CEC6A70" w:rsidR="009E1F78" w:rsidRPr="0021416C" w:rsidRDefault="00000000">
      <w:pPr>
        <w:widowControl/>
        <w:spacing w:line="360" w:lineRule="auto"/>
        <w:rPr>
          <w:rFonts w:ascii="Times New Roman" w:hAnsi="Times New Roman" w:cs="Times New Roman"/>
          <w:sz w:val="24"/>
          <w:szCs w:val="24"/>
        </w:rPr>
      </w:pPr>
      <w:r w:rsidRPr="0021416C">
        <w:rPr>
          <w:rFonts w:ascii="Times New Roman" w:hAnsi="Times New Roman" w:cs="Times New Roman"/>
          <w:b/>
          <w:bCs/>
          <w:sz w:val="24"/>
          <w:szCs w:val="24"/>
        </w:rPr>
        <w:t xml:space="preserve">RT-qPCR analysis of NF-κB-regulated genes. </w:t>
      </w:r>
      <w:r w:rsidRPr="0021416C">
        <w:rPr>
          <w:rFonts w:ascii="Times New Roman" w:hAnsi="Times New Roman" w:cs="Times New Roman"/>
          <w:sz w:val="24"/>
          <w:szCs w:val="24"/>
        </w:rPr>
        <w:t xml:space="preserve">CT26 cells were treated with </w:t>
      </w:r>
      <w:r w:rsidRPr="0021416C">
        <w:rPr>
          <w:rFonts w:ascii="Times New Roman" w:hAnsi="Times New Roman" w:cs="Times New Roman" w:hint="eastAsia"/>
          <w:sz w:val="24"/>
          <w:szCs w:val="24"/>
        </w:rPr>
        <w:t>CTL</w:t>
      </w:r>
      <w:r w:rsidRPr="0021416C">
        <w:rPr>
          <w:rFonts w:ascii="Times New Roman" w:hAnsi="Times New Roman" w:cs="Times New Roman"/>
          <w:sz w:val="24"/>
          <w:szCs w:val="24"/>
        </w:rPr>
        <w:t xml:space="preserve"> (PBS), free Rhein, Mn</w:t>
      </w:r>
      <w:r w:rsidRPr="0021416C">
        <w:rPr>
          <w:rFonts w:ascii="Times New Roman" w:hAnsi="Times New Roman" w:cs="Times New Roman"/>
          <w:sz w:val="24"/>
          <w:szCs w:val="24"/>
          <w:vertAlign w:val="superscript"/>
        </w:rPr>
        <w:t>2+</w:t>
      </w:r>
      <w:r w:rsidRPr="0021416C">
        <w:rPr>
          <w:rFonts w:ascii="Times New Roman" w:hAnsi="Times New Roman" w:cs="Times New Roman"/>
          <w:sz w:val="24"/>
          <w:szCs w:val="24"/>
        </w:rPr>
        <w:t>, or BRM for 6 h. Total RNA was extracted using FastPure® Cell/Tissue Total RNA Isolation Kit V2 (Vazyme, RC112) following the manufacturer’s protocol. Genomic DNA contamination was eliminated during the extraction process, and 1 μg of total RNA was reverse-transcribed into cDNA using Evo M-MLV RT Premix for qPCR (Accurate Biotechnology, AG11706) according to the kit’s instructions.</w:t>
      </w:r>
      <w:r w:rsidRPr="0021416C">
        <w:rPr>
          <w:rFonts w:ascii="Times New Roman" w:hAnsi="Times New Roman" w:cs="Times New Roman" w:hint="eastAsia"/>
          <w:sz w:val="24"/>
          <w:szCs w:val="24"/>
        </w:rPr>
        <w:t xml:space="preserve"> </w:t>
      </w:r>
      <w:r w:rsidRPr="0021416C">
        <w:rPr>
          <w:rFonts w:ascii="Times New Roman" w:hAnsi="Times New Roman" w:cs="Times New Roman"/>
          <w:sz w:val="24"/>
          <w:szCs w:val="24"/>
        </w:rPr>
        <w:t>RT-qPCR was performed on a real-time PCR system using SYBR Green Premix Pro Taq HS qPCR Kit (Accurate Biotechnology, AG11701). The 20 μL reaction system contained 10 μL 2× SYBR Green Premix, 0.4 μL each of forward and reverse primers (10 μM), 2 μL cDNA template, and 7.2 μL RNase-free water. Amplification conditions were: 95</w:t>
      </w:r>
      <w:r w:rsidRPr="0021416C">
        <w:rPr>
          <w:rFonts w:ascii="Times New Roman" w:hAnsi="Times New Roman" w:cs="Times New Roman" w:hint="eastAsia"/>
          <w:sz w:val="24"/>
          <w:szCs w:val="24"/>
        </w:rPr>
        <w:t xml:space="preserve"> </w:t>
      </w:r>
      <w:r w:rsidRPr="0021416C">
        <w:rPr>
          <w:rFonts w:ascii="Times New Roman" w:hAnsi="Times New Roman" w:cs="Times New Roman"/>
          <w:sz w:val="24"/>
          <w:szCs w:val="24"/>
        </w:rPr>
        <w:t>°C for 30 s, followed by 40 cycles of 95</w:t>
      </w:r>
      <w:r w:rsidRPr="0021416C">
        <w:rPr>
          <w:rFonts w:ascii="Times New Roman" w:hAnsi="Times New Roman" w:cs="Times New Roman" w:hint="eastAsia"/>
          <w:sz w:val="24"/>
          <w:szCs w:val="24"/>
        </w:rPr>
        <w:t xml:space="preserve"> </w:t>
      </w:r>
      <w:r w:rsidRPr="0021416C">
        <w:rPr>
          <w:rFonts w:ascii="Times New Roman" w:hAnsi="Times New Roman" w:cs="Times New Roman"/>
          <w:sz w:val="24"/>
          <w:szCs w:val="24"/>
        </w:rPr>
        <w:t>°C for 5 s and 60</w:t>
      </w:r>
      <w:r w:rsidRPr="0021416C">
        <w:rPr>
          <w:rFonts w:ascii="Times New Roman" w:hAnsi="Times New Roman" w:cs="Times New Roman" w:hint="eastAsia"/>
          <w:sz w:val="24"/>
          <w:szCs w:val="24"/>
        </w:rPr>
        <w:t xml:space="preserve"> </w:t>
      </w:r>
      <w:r w:rsidRPr="0021416C">
        <w:rPr>
          <w:rFonts w:ascii="Times New Roman" w:hAnsi="Times New Roman" w:cs="Times New Roman"/>
          <w:sz w:val="24"/>
          <w:szCs w:val="24"/>
        </w:rPr>
        <w:t>°C for 30 s. A melting curve analysis (65</w:t>
      </w:r>
      <w:r w:rsidRPr="0021416C">
        <w:rPr>
          <w:rFonts w:ascii="Times New Roman" w:hAnsi="Times New Roman" w:cs="Times New Roman" w:hint="eastAsia"/>
          <w:sz w:val="24"/>
          <w:szCs w:val="24"/>
        </w:rPr>
        <w:t>-</w:t>
      </w:r>
      <w:r w:rsidRPr="0021416C">
        <w:rPr>
          <w:rFonts w:ascii="Times New Roman" w:hAnsi="Times New Roman" w:cs="Times New Roman"/>
          <w:sz w:val="24"/>
          <w:szCs w:val="24"/>
        </w:rPr>
        <w:t>95</w:t>
      </w:r>
      <w:r w:rsidRPr="0021416C">
        <w:rPr>
          <w:rFonts w:ascii="Times New Roman" w:hAnsi="Times New Roman" w:cs="Times New Roman" w:hint="eastAsia"/>
          <w:sz w:val="24"/>
          <w:szCs w:val="24"/>
        </w:rPr>
        <w:t xml:space="preserve"> </w:t>
      </w:r>
      <w:r w:rsidRPr="0021416C">
        <w:rPr>
          <w:rFonts w:ascii="Times New Roman" w:hAnsi="Times New Roman" w:cs="Times New Roman"/>
          <w:sz w:val="24"/>
          <w:szCs w:val="24"/>
        </w:rPr>
        <w:t>°C, 0.5</w:t>
      </w:r>
      <w:r w:rsidRPr="0021416C">
        <w:rPr>
          <w:rFonts w:ascii="Times New Roman" w:hAnsi="Times New Roman" w:cs="Times New Roman" w:hint="eastAsia"/>
          <w:sz w:val="24"/>
          <w:szCs w:val="24"/>
        </w:rPr>
        <w:t xml:space="preserve"> </w:t>
      </w:r>
      <w:r w:rsidRPr="0021416C">
        <w:rPr>
          <w:rFonts w:ascii="Times New Roman" w:hAnsi="Times New Roman" w:cs="Times New Roman"/>
          <w:sz w:val="24"/>
          <w:szCs w:val="24"/>
        </w:rPr>
        <w:t>°C increments) was conducted to verify primer specificity.</w:t>
      </w:r>
      <w:r w:rsidRPr="0021416C">
        <w:rPr>
          <w:rFonts w:ascii="Times New Roman" w:hAnsi="Times New Roman" w:cs="Times New Roman" w:hint="eastAsia"/>
          <w:sz w:val="24"/>
          <w:szCs w:val="24"/>
        </w:rPr>
        <w:t xml:space="preserve"> </w:t>
      </w:r>
      <w:r w:rsidRPr="0021416C">
        <w:rPr>
          <w:rFonts w:ascii="Times New Roman" w:hAnsi="Times New Roman" w:cs="Times New Roman"/>
          <w:sz w:val="24"/>
          <w:szCs w:val="24"/>
        </w:rPr>
        <w:t>GAPDH was used as the internal reference gene, and relative mRNA expression levels of target genes (</w:t>
      </w:r>
      <w:r w:rsidRPr="0021416C">
        <w:rPr>
          <w:rFonts w:ascii="Times New Roman" w:hAnsi="Times New Roman" w:cs="Times New Roman"/>
          <w:i/>
          <w:iCs/>
          <w:sz w:val="24"/>
          <w:szCs w:val="24"/>
        </w:rPr>
        <w:t>NF-κB</w:t>
      </w:r>
      <w:r w:rsidRPr="0021416C">
        <w:rPr>
          <w:rFonts w:ascii="Times New Roman" w:hAnsi="Times New Roman" w:cs="Times New Roman"/>
          <w:sz w:val="24"/>
          <w:szCs w:val="24"/>
        </w:rPr>
        <w:t>,</w:t>
      </w:r>
      <w:r w:rsidRPr="0021416C">
        <w:rPr>
          <w:rFonts w:ascii="Times New Roman" w:hAnsi="Times New Roman" w:cs="Times New Roman"/>
          <w:i/>
          <w:iCs/>
          <w:sz w:val="24"/>
          <w:szCs w:val="24"/>
        </w:rPr>
        <w:t xml:space="preserve"> IL-6</w:t>
      </w:r>
      <w:r w:rsidRPr="0021416C">
        <w:rPr>
          <w:rFonts w:ascii="Times New Roman" w:hAnsi="Times New Roman" w:cs="Times New Roman"/>
          <w:sz w:val="24"/>
          <w:szCs w:val="24"/>
        </w:rPr>
        <w:t xml:space="preserve">, </w:t>
      </w:r>
      <w:r w:rsidRPr="0021416C">
        <w:rPr>
          <w:rFonts w:ascii="Times New Roman" w:hAnsi="Times New Roman" w:cs="Times New Roman"/>
          <w:i/>
          <w:iCs/>
          <w:sz w:val="24"/>
          <w:szCs w:val="24"/>
        </w:rPr>
        <w:t>TNF-α</w:t>
      </w:r>
      <w:r w:rsidRPr="0021416C">
        <w:rPr>
          <w:rFonts w:ascii="Times New Roman" w:hAnsi="Times New Roman" w:cs="Times New Roman"/>
          <w:sz w:val="24"/>
          <w:szCs w:val="24"/>
        </w:rPr>
        <w:t>,</w:t>
      </w:r>
      <w:r w:rsidRPr="0021416C">
        <w:rPr>
          <w:rFonts w:ascii="Times New Roman" w:hAnsi="Times New Roman" w:cs="Times New Roman"/>
          <w:i/>
          <w:iCs/>
          <w:sz w:val="24"/>
          <w:szCs w:val="24"/>
        </w:rPr>
        <w:t xml:space="preserve"> IL-1β</w:t>
      </w:r>
      <w:r w:rsidRPr="0021416C">
        <w:rPr>
          <w:rFonts w:ascii="Times New Roman" w:hAnsi="Times New Roman" w:cs="Times New Roman"/>
          <w:sz w:val="24"/>
          <w:szCs w:val="24"/>
        </w:rPr>
        <w:t>,</w:t>
      </w:r>
      <w:r w:rsidRPr="0021416C">
        <w:rPr>
          <w:rFonts w:ascii="Times New Roman" w:hAnsi="Times New Roman" w:cs="Times New Roman"/>
          <w:i/>
          <w:iCs/>
          <w:sz w:val="24"/>
          <w:szCs w:val="24"/>
        </w:rPr>
        <w:t xml:space="preserve"> IFN-β</w:t>
      </w:r>
      <w:r w:rsidRPr="0021416C">
        <w:rPr>
          <w:rFonts w:ascii="Times New Roman" w:hAnsi="Times New Roman" w:cs="Times New Roman"/>
          <w:sz w:val="24"/>
          <w:szCs w:val="24"/>
        </w:rPr>
        <w:t>,</w:t>
      </w:r>
      <w:r w:rsidRPr="0021416C">
        <w:rPr>
          <w:rFonts w:ascii="Times New Roman" w:hAnsi="Times New Roman" w:cs="Times New Roman"/>
          <w:i/>
          <w:iCs/>
          <w:sz w:val="24"/>
          <w:szCs w:val="24"/>
        </w:rPr>
        <w:t xml:space="preserve"> CXCL10</w:t>
      </w:r>
      <w:r w:rsidRPr="0021416C">
        <w:rPr>
          <w:rFonts w:ascii="Times New Roman" w:hAnsi="Times New Roman" w:cs="Times New Roman"/>
          <w:sz w:val="24"/>
          <w:szCs w:val="24"/>
        </w:rPr>
        <w:t xml:space="preserve">, </w:t>
      </w:r>
      <w:r w:rsidRPr="0021416C">
        <w:rPr>
          <w:rFonts w:ascii="Times New Roman" w:hAnsi="Times New Roman" w:cs="Times New Roman"/>
          <w:i/>
          <w:iCs/>
          <w:sz w:val="24"/>
          <w:szCs w:val="24"/>
        </w:rPr>
        <w:t>NLRP3</w:t>
      </w:r>
      <w:r w:rsidRPr="0021416C">
        <w:rPr>
          <w:rFonts w:ascii="Times New Roman" w:hAnsi="Times New Roman" w:cs="Times New Roman" w:hint="eastAsia"/>
          <w:sz w:val="24"/>
          <w:szCs w:val="24"/>
        </w:rPr>
        <w:t xml:space="preserve">, </w:t>
      </w:r>
      <w:r w:rsidRPr="0021416C">
        <w:rPr>
          <w:rFonts w:ascii="Times New Roman" w:hAnsi="Times New Roman" w:cs="Times New Roman" w:hint="eastAsia"/>
          <w:i/>
          <w:iCs/>
          <w:sz w:val="24"/>
          <w:szCs w:val="24"/>
        </w:rPr>
        <w:t>STING</w:t>
      </w:r>
      <w:r w:rsidRPr="0021416C">
        <w:rPr>
          <w:rFonts w:ascii="Times New Roman" w:hAnsi="Times New Roman" w:cs="Times New Roman" w:hint="eastAsia"/>
          <w:sz w:val="24"/>
          <w:szCs w:val="24"/>
        </w:rPr>
        <w:t>,</w:t>
      </w:r>
      <w:r w:rsidRPr="0021416C">
        <w:rPr>
          <w:rFonts w:ascii="Times New Roman" w:hAnsi="Times New Roman" w:cs="Times New Roman" w:hint="eastAsia"/>
          <w:i/>
          <w:iCs/>
          <w:sz w:val="24"/>
          <w:szCs w:val="24"/>
        </w:rPr>
        <w:t xml:space="preserve"> </w:t>
      </w:r>
      <w:r w:rsidRPr="0021416C">
        <w:rPr>
          <w:rFonts w:ascii="Times New Roman" w:hAnsi="Times New Roman" w:cs="Times New Roman" w:hint="eastAsia"/>
          <w:sz w:val="24"/>
          <w:szCs w:val="24"/>
        </w:rPr>
        <w:t>and</w:t>
      </w:r>
      <w:r w:rsidRPr="0021416C">
        <w:rPr>
          <w:rFonts w:ascii="Times New Roman" w:hAnsi="Times New Roman" w:cs="Times New Roman" w:hint="eastAsia"/>
          <w:i/>
          <w:iCs/>
          <w:sz w:val="24"/>
          <w:szCs w:val="24"/>
        </w:rPr>
        <w:t xml:space="preserve"> cGAS</w:t>
      </w:r>
      <w:r w:rsidRPr="0021416C">
        <w:rPr>
          <w:rFonts w:ascii="Times New Roman" w:hAnsi="Times New Roman" w:cs="Times New Roman"/>
          <w:sz w:val="24"/>
          <w:szCs w:val="24"/>
        </w:rPr>
        <w:t>) were calculated via the 2⁻</w:t>
      </w:r>
      <w:r w:rsidRPr="0021416C">
        <w:rPr>
          <w:rFonts w:ascii="Times New Roman" w:hAnsi="Times New Roman" w:cs="Times New Roman"/>
          <w:sz w:val="24"/>
          <w:szCs w:val="24"/>
          <w:vertAlign w:val="superscript"/>
        </w:rPr>
        <w:t>ΔΔCt</w:t>
      </w:r>
      <w:r w:rsidRPr="0021416C">
        <w:rPr>
          <w:rFonts w:ascii="Times New Roman" w:hAnsi="Times New Roman" w:cs="Times New Roman"/>
          <w:sz w:val="24"/>
          <w:szCs w:val="24"/>
        </w:rPr>
        <w:t xml:space="preserve"> method. The primer sequences for these genes were adopted from [Ref. </w:t>
      </w:r>
      <w:r w:rsidR="00972A51">
        <w:rPr>
          <w:rFonts w:ascii="Times New Roman" w:hAnsi="Times New Roman" w:cs="Times New Roman" w:hint="eastAsia"/>
          <w:sz w:val="24"/>
          <w:szCs w:val="24"/>
        </w:rPr>
        <w:t>22</w:t>
      </w:r>
      <w:r w:rsidRPr="0021416C">
        <w:rPr>
          <w:rFonts w:ascii="Times New Roman" w:hAnsi="Times New Roman" w:cs="Times New Roman"/>
          <w:sz w:val="24"/>
          <w:szCs w:val="24"/>
        </w:rPr>
        <w:t>] and synthesized by Sangon Biotech (China).</w:t>
      </w:r>
    </w:p>
    <w:p w14:paraId="1E1156EE" w14:textId="77777777" w:rsidR="009E1F78" w:rsidRPr="0021416C" w:rsidRDefault="009E1F78">
      <w:pPr>
        <w:widowControl/>
        <w:spacing w:line="360" w:lineRule="auto"/>
        <w:rPr>
          <w:rFonts w:ascii="Times New Roman" w:hAnsi="Times New Roman" w:cs="Times New Roman"/>
          <w:b/>
          <w:bCs/>
          <w:sz w:val="24"/>
          <w:szCs w:val="24"/>
        </w:rPr>
      </w:pPr>
    </w:p>
    <w:p w14:paraId="1A409F20" w14:textId="77777777" w:rsidR="009E1F78" w:rsidRPr="0021416C" w:rsidRDefault="00000000">
      <w:pPr>
        <w:widowControl/>
        <w:spacing w:line="360" w:lineRule="auto"/>
        <w:rPr>
          <w:rFonts w:ascii="Times New Roman" w:hAnsi="Times New Roman" w:cs="Times New Roman"/>
          <w:sz w:val="24"/>
          <w:szCs w:val="24"/>
        </w:rPr>
      </w:pPr>
      <w:r w:rsidRPr="0021416C">
        <w:rPr>
          <w:rFonts w:ascii="Times New Roman" w:hAnsi="Times New Roman" w:cs="Times New Roman"/>
          <w:b/>
          <w:bCs/>
          <w:sz w:val="24"/>
          <w:szCs w:val="24"/>
        </w:rPr>
        <w:t>ELISA quantification of cytokines</w:t>
      </w:r>
      <w:r w:rsidRPr="0021416C">
        <w:rPr>
          <w:rFonts w:ascii="Times New Roman" w:hAnsi="Times New Roman" w:cs="Times New Roman" w:hint="eastAsia"/>
          <w:b/>
          <w:bCs/>
          <w:sz w:val="24"/>
          <w:szCs w:val="24"/>
        </w:rPr>
        <w:t>.</w:t>
      </w:r>
      <w:r w:rsidRPr="0021416C">
        <w:rPr>
          <w:rFonts w:ascii="Times New Roman" w:hAnsi="Times New Roman" w:cs="Times New Roman" w:hint="eastAsia"/>
          <w:sz w:val="24"/>
          <w:szCs w:val="24"/>
        </w:rPr>
        <w:t xml:space="preserve"> </w:t>
      </w:r>
      <w:r w:rsidRPr="0021416C">
        <w:rPr>
          <w:rFonts w:ascii="Times New Roman" w:hAnsi="Times New Roman" w:cs="Times New Roman"/>
          <w:sz w:val="24"/>
          <w:szCs w:val="24"/>
        </w:rPr>
        <w:t xml:space="preserve">CT26 cells were treated with </w:t>
      </w:r>
      <w:r w:rsidRPr="0021416C">
        <w:rPr>
          <w:rFonts w:ascii="Times New Roman" w:hAnsi="Times New Roman" w:cs="Times New Roman" w:hint="eastAsia"/>
          <w:sz w:val="24"/>
          <w:szCs w:val="24"/>
        </w:rPr>
        <w:t>CTL</w:t>
      </w:r>
      <w:r w:rsidRPr="0021416C">
        <w:rPr>
          <w:rFonts w:ascii="Times New Roman" w:hAnsi="Times New Roman" w:cs="Times New Roman"/>
          <w:sz w:val="24"/>
          <w:szCs w:val="24"/>
        </w:rPr>
        <w:t xml:space="preserve"> (PBS), free Rhein, Mn</w:t>
      </w:r>
      <w:r w:rsidRPr="0021416C">
        <w:rPr>
          <w:rFonts w:ascii="Times New Roman" w:hAnsi="Times New Roman" w:cs="Times New Roman"/>
          <w:sz w:val="24"/>
          <w:szCs w:val="24"/>
          <w:vertAlign w:val="superscript"/>
        </w:rPr>
        <w:t>2+</w:t>
      </w:r>
      <w:r w:rsidRPr="0021416C">
        <w:rPr>
          <w:rFonts w:ascii="Times New Roman" w:hAnsi="Times New Roman" w:cs="Times New Roman"/>
          <w:sz w:val="24"/>
          <w:szCs w:val="24"/>
        </w:rPr>
        <w:t>, or BRM for 12 h. Cell supernatants were collected and centrifuged at 12,000 × g for 10 min to remove cellular debris. Levels of IL-6, IL-1β, TNF-α, CSF2, IFN-γ, and HMGB1 in the supernatants were quantified using commercial ELISA kits (specify manufacturers and catalog numbers) following the respective manufacturer’s protocols. Briefly, standards and samples were added to antibody-precoated wells, followed by sequential incubation with biotinylated detection antibodies and horseradish peroxidase (HRP)-streptavidin conjugates. After washing, the TMB substrate was added to initiate color development, and the reaction was stopped with the stop solution. Absorbance was measured at 450 nm using a microplate reader (BioTek, SynergyH1, USA), and cytokine concentrations were calculated based on standard curves.</w:t>
      </w:r>
    </w:p>
    <w:p w14:paraId="3C25425D" w14:textId="77777777" w:rsidR="009E1F78" w:rsidRPr="0021416C" w:rsidRDefault="009E1F78">
      <w:pPr>
        <w:widowControl/>
        <w:spacing w:line="360" w:lineRule="auto"/>
        <w:rPr>
          <w:rFonts w:ascii="Times New Roman" w:hAnsi="Times New Roman" w:cs="Times New Roman"/>
          <w:b/>
          <w:bCs/>
          <w:sz w:val="24"/>
          <w:szCs w:val="24"/>
        </w:rPr>
      </w:pPr>
    </w:p>
    <w:p w14:paraId="7C6FC0A9" w14:textId="61F435CA" w:rsidR="009E1F78" w:rsidRPr="0021416C" w:rsidRDefault="00000000">
      <w:pPr>
        <w:widowControl/>
        <w:spacing w:line="360" w:lineRule="auto"/>
        <w:rPr>
          <w:rFonts w:ascii="Times New Roman" w:hAnsi="Times New Roman" w:cs="Times New Roman"/>
          <w:sz w:val="24"/>
          <w:szCs w:val="24"/>
        </w:rPr>
      </w:pPr>
      <w:r w:rsidRPr="0021416C">
        <w:rPr>
          <w:rFonts w:ascii="Times New Roman" w:hAnsi="Times New Roman" w:cs="Times New Roman"/>
          <w:b/>
          <w:bCs/>
          <w:sz w:val="24"/>
          <w:szCs w:val="24"/>
        </w:rPr>
        <w:t>Western blot analysis</w:t>
      </w:r>
      <w:r w:rsidRPr="0021416C">
        <w:rPr>
          <w:rFonts w:ascii="Times New Roman" w:hAnsi="Times New Roman" w:cs="Times New Roman" w:hint="eastAsia"/>
          <w:b/>
          <w:bCs/>
          <w:sz w:val="24"/>
          <w:szCs w:val="24"/>
        </w:rPr>
        <w:t>.</w:t>
      </w:r>
      <w:r w:rsidRPr="0021416C">
        <w:rPr>
          <w:rFonts w:ascii="Times New Roman" w:hAnsi="Times New Roman" w:cs="Times New Roman"/>
          <w:sz w:val="24"/>
          <w:szCs w:val="24"/>
        </w:rPr>
        <w:t xml:space="preserve"> CT26 cells were treated with </w:t>
      </w:r>
      <w:r w:rsidRPr="0021416C">
        <w:rPr>
          <w:rFonts w:ascii="Times New Roman" w:hAnsi="Times New Roman" w:cs="Times New Roman" w:hint="eastAsia"/>
          <w:sz w:val="24"/>
          <w:szCs w:val="24"/>
        </w:rPr>
        <w:t>CTL</w:t>
      </w:r>
      <w:r w:rsidRPr="0021416C">
        <w:rPr>
          <w:rFonts w:ascii="Times New Roman" w:hAnsi="Times New Roman" w:cs="Times New Roman"/>
          <w:sz w:val="24"/>
          <w:szCs w:val="24"/>
        </w:rPr>
        <w:t xml:space="preserve"> (PBS), free Rhein, Mn</w:t>
      </w:r>
      <w:r w:rsidRPr="0021416C">
        <w:rPr>
          <w:rFonts w:ascii="Times New Roman" w:hAnsi="Times New Roman" w:cs="Times New Roman"/>
          <w:sz w:val="24"/>
          <w:szCs w:val="24"/>
          <w:vertAlign w:val="superscript"/>
        </w:rPr>
        <w:t>2+</w:t>
      </w:r>
      <w:r w:rsidRPr="0021416C">
        <w:rPr>
          <w:rFonts w:ascii="Times New Roman" w:hAnsi="Times New Roman" w:cs="Times New Roman"/>
          <w:sz w:val="24"/>
          <w:szCs w:val="24"/>
        </w:rPr>
        <w:t xml:space="preserve">, or BRM </w:t>
      </w:r>
      <w:r w:rsidR="005D1E03">
        <w:rPr>
          <w:rFonts w:ascii="Times New Roman" w:hAnsi="Times New Roman" w:cs="Times New Roman" w:hint="eastAsia"/>
          <w:sz w:val="24"/>
          <w:szCs w:val="24"/>
        </w:rPr>
        <w:t>at</w:t>
      </w:r>
      <w:r w:rsidRPr="005D1E03">
        <w:rPr>
          <w:rFonts w:ascii="Times New Roman" w:hAnsi="Times New Roman" w:cs="Times New Roman"/>
          <w:sz w:val="24"/>
          <w:szCs w:val="24"/>
        </w:rPr>
        <w:t xml:space="preserve"> 15 </w:t>
      </w:r>
      <w:r w:rsidR="005D1E03" w:rsidRPr="005D1E03">
        <w:rPr>
          <w:rFonts w:ascii="Times New Roman" w:eastAsia="等线" w:hAnsi="Times New Roman" w:cs="Times New Roman"/>
          <w:sz w:val="24"/>
          <w:szCs w:val="24"/>
        </w:rPr>
        <w:t>μ</w:t>
      </w:r>
      <w:r w:rsidR="005D1E03" w:rsidRPr="005D1E03">
        <w:rPr>
          <w:rFonts w:ascii="Times New Roman" w:hAnsi="Times New Roman" w:cs="Times New Roman"/>
          <w:sz w:val="24"/>
          <w:szCs w:val="24"/>
        </w:rPr>
        <w:t xml:space="preserve">m </w:t>
      </w:r>
      <w:r w:rsidR="005D1E03">
        <w:rPr>
          <w:rFonts w:ascii="Times New Roman" w:hAnsi="Times New Roman" w:cs="Times New Roman" w:hint="eastAsia"/>
          <w:sz w:val="24"/>
          <w:szCs w:val="24"/>
        </w:rPr>
        <w:t xml:space="preserve">for </w:t>
      </w:r>
      <w:r w:rsidR="005D1E03" w:rsidRPr="005D1E03">
        <w:rPr>
          <w:rFonts w:ascii="Times New Roman" w:hAnsi="Times New Roman" w:cs="Times New Roman"/>
          <w:sz w:val="24"/>
          <w:szCs w:val="24"/>
        </w:rPr>
        <w:t>1</w:t>
      </w:r>
      <w:r w:rsidR="005D1E03" w:rsidRPr="005D1E03">
        <w:rPr>
          <w:rFonts w:ascii="Times New Roman" w:hAnsi="Times New Roman" w:cs="Times New Roman" w:hint="eastAsia"/>
          <w:sz w:val="24"/>
          <w:szCs w:val="24"/>
        </w:rPr>
        <w:t>2h</w:t>
      </w:r>
      <w:r w:rsidRPr="005D1E03">
        <w:rPr>
          <w:rFonts w:ascii="Times New Roman" w:hAnsi="Times New Roman" w:cs="Times New Roman"/>
          <w:sz w:val="24"/>
          <w:szCs w:val="24"/>
        </w:rPr>
        <w:t>.</w:t>
      </w:r>
      <w:r w:rsidRPr="0021416C">
        <w:rPr>
          <w:rFonts w:ascii="Times New Roman" w:hAnsi="Times New Roman" w:cs="Times New Roman"/>
          <w:sz w:val="24"/>
          <w:szCs w:val="24"/>
        </w:rPr>
        <w:t xml:space="preserve"> Cells were lysed in RIPA buffer (with protease/phosphatase inhibitors) on ice for 30 min, centrifuged (12,000 × g, 15 min, 4</w:t>
      </w:r>
      <w:r w:rsidRPr="0021416C">
        <w:rPr>
          <w:rFonts w:ascii="Times New Roman" w:hAnsi="Times New Roman" w:cs="Times New Roman" w:hint="eastAsia"/>
          <w:sz w:val="24"/>
          <w:szCs w:val="24"/>
        </w:rPr>
        <w:t xml:space="preserve"> </w:t>
      </w:r>
      <w:r w:rsidRPr="0021416C">
        <w:rPr>
          <w:rFonts w:ascii="Times New Roman" w:hAnsi="Times New Roman" w:cs="Times New Roman"/>
          <w:sz w:val="24"/>
          <w:szCs w:val="24"/>
        </w:rPr>
        <w:t>°C) to collect supernatants, and protein concentration was measured via BCA assay. Equal amounts of protein (30</w:t>
      </w:r>
      <w:r w:rsidRPr="0021416C">
        <w:rPr>
          <w:rFonts w:ascii="Times New Roman" w:hAnsi="Times New Roman" w:cs="Times New Roman" w:hint="eastAsia"/>
          <w:sz w:val="24"/>
          <w:szCs w:val="24"/>
        </w:rPr>
        <w:t xml:space="preserve"> </w:t>
      </w:r>
      <w:r w:rsidRPr="0021416C">
        <w:rPr>
          <w:rFonts w:ascii="Times New Roman" w:hAnsi="Times New Roman" w:cs="Times New Roman"/>
          <w:sz w:val="24"/>
          <w:szCs w:val="24"/>
        </w:rPr>
        <w:t>μg) were separated by 10</w:t>
      </w:r>
      <w:r w:rsidRPr="0021416C">
        <w:rPr>
          <w:rFonts w:ascii="Times New Roman" w:hAnsi="Times New Roman" w:cs="Times New Roman" w:hint="eastAsia"/>
          <w:sz w:val="24"/>
          <w:szCs w:val="24"/>
        </w:rPr>
        <w:t>-</w:t>
      </w:r>
      <w:r w:rsidRPr="0021416C">
        <w:rPr>
          <w:rFonts w:ascii="Times New Roman" w:hAnsi="Times New Roman" w:cs="Times New Roman"/>
          <w:sz w:val="24"/>
          <w:szCs w:val="24"/>
        </w:rPr>
        <w:t>12% SDS-PAGE, transferred to PVDF membranes, and blocked with 5% non-fat milk in TBST for 1 h. Membranes were incubated overnight at 4</w:t>
      </w:r>
      <w:r w:rsidRPr="0021416C">
        <w:rPr>
          <w:rFonts w:ascii="Times New Roman" w:hAnsi="Times New Roman" w:cs="Times New Roman" w:hint="eastAsia"/>
          <w:sz w:val="24"/>
          <w:szCs w:val="24"/>
        </w:rPr>
        <w:t xml:space="preserve"> </w:t>
      </w:r>
      <w:r w:rsidRPr="0021416C">
        <w:rPr>
          <w:rFonts w:ascii="Times New Roman" w:hAnsi="Times New Roman" w:cs="Times New Roman"/>
          <w:sz w:val="24"/>
          <w:szCs w:val="24"/>
        </w:rPr>
        <w:t>°C with primary antibodies against phosphorylated NF-κB p65 (Ser536), total NF-κB p65,</w:t>
      </w:r>
      <w:r w:rsidRPr="0021416C">
        <w:rPr>
          <w:rFonts w:ascii="Times New Roman" w:hAnsi="Times New Roman" w:cs="Times New Roman" w:hint="eastAsia"/>
          <w:sz w:val="24"/>
          <w:szCs w:val="24"/>
        </w:rPr>
        <w:t xml:space="preserve"> STING, phosphorylated STING (p-STING), IRF3, phosphorylated IRF3 (p-IRF3), TBK1, phosphorylated TBK1 (p-TBK1),</w:t>
      </w:r>
      <w:r w:rsidRPr="0021416C">
        <w:rPr>
          <w:rFonts w:ascii="Times New Roman" w:hAnsi="Times New Roman" w:cs="Times New Roman"/>
          <w:sz w:val="24"/>
          <w:szCs w:val="24"/>
        </w:rPr>
        <w:t xml:space="preserve"> Cleaved-Caspase3, Bax, Bcl2, Caspase1, cytochrome C, and GAPDH. After TBST washes, membranes were incubated with HRP-conjugated secondary antibodies (1:5000) for 1 h at room temperature. Protein bands were visualized by ECL, and intensities were quantified using ImageJ. Relative expression was normalized to GAPDH.</w:t>
      </w:r>
      <w:r w:rsidRPr="0021416C">
        <w:rPr>
          <w:rFonts w:ascii="Times New Roman" w:hAnsi="Times New Roman" w:cs="Times New Roman" w:hint="eastAsia"/>
          <w:sz w:val="24"/>
          <w:szCs w:val="24"/>
        </w:rPr>
        <w:t xml:space="preserve"> </w:t>
      </w:r>
    </w:p>
    <w:p w14:paraId="663F17DE" w14:textId="77777777" w:rsidR="009E1F78" w:rsidRPr="0021416C" w:rsidRDefault="009E1F78">
      <w:pPr>
        <w:widowControl/>
        <w:spacing w:line="360" w:lineRule="auto"/>
        <w:rPr>
          <w:rFonts w:ascii="Times New Roman" w:hAnsi="Times New Roman" w:cs="Times New Roman"/>
          <w:sz w:val="24"/>
          <w:szCs w:val="24"/>
        </w:rPr>
      </w:pPr>
    </w:p>
    <w:p w14:paraId="1D837EE2" w14:textId="125C9A47" w:rsidR="009E1F78" w:rsidRPr="0021416C" w:rsidRDefault="00000000">
      <w:pPr>
        <w:widowControl/>
        <w:spacing w:line="360" w:lineRule="auto"/>
        <w:rPr>
          <w:rFonts w:ascii="Times New Roman" w:hAnsi="Times New Roman" w:cs="Times New Roman"/>
          <w:sz w:val="24"/>
          <w:szCs w:val="24"/>
        </w:rPr>
      </w:pPr>
      <w:r w:rsidRPr="0021416C">
        <w:rPr>
          <w:rFonts w:ascii="Times New Roman" w:hAnsi="Times New Roman" w:cs="Times New Roman"/>
          <w:b/>
          <w:bCs/>
          <w:sz w:val="24"/>
          <w:szCs w:val="24"/>
        </w:rPr>
        <w:t>Detection of</w:t>
      </w:r>
      <w:r w:rsidRPr="0021416C">
        <w:rPr>
          <w:rFonts w:ascii="Times New Roman" w:hAnsi="Times New Roman" w:cs="Times New Roman" w:hint="eastAsia"/>
          <w:b/>
          <w:bCs/>
          <w:sz w:val="24"/>
          <w:szCs w:val="24"/>
        </w:rPr>
        <w:t xml:space="preserve"> immunogenic cell death (</w:t>
      </w:r>
      <w:r w:rsidRPr="0021416C">
        <w:rPr>
          <w:rFonts w:ascii="Times New Roman" w:hAnsi="Times New Roman" w:cs="Times New Roman"/>
          <w:b/>
          <w:bCs/>
          <w:sz w:val="24"/>
          <w:szCs w:val="24"/>
        </w:rPr>
        <w:t>ICD</w:t>
      </w:r>
      <w:r w:rsidRPr="0021416C">
        <w:rPr>
          <w:rFonts w:ascii="Times New Roman" w:hAnsi="Times New Roman" w:cs="Times New Roman" w:hint="eastAsia"/>
          <w:b/>
          <w:bCs/>
          <w:sz w:val="24"/>
          <w:szCs w:val="24"/>
        </w:rPr>
        <w:t>)</w:t>
      </w:r>
      <w:r w:rsidRPr="0021416C">
        <w:rPr>
          <w:rFonts w:ascii="Times New Roman" w:hAnsi="Times New Roman" w:cs="Times New Roman"/>
          <w:b/>
          <w:bCs/>
          <w:sz w:val="24"/>
          <w:szCs w:val="24"/>
        </w:rPr>
        <w:t xml:space="preserve"> induction </w:t>
      </w:r>
      <w:r w:rsidRPr="0021416C">
        <w:rPr>
          <w:rFonts w:ascii="Times New Roman" w:hAnsi="Times New Roman" w:cs="Times New Roman"/>
          <w:b/>
          <w:bCs/>
          <w:i/>
          <w:sz w:val="24"/>
          <w:szCs w:val="24"/>
        </w:rPr>
        <w:t>in vitro</w:t>
      </w:r>
      <w:r w:rsidRPr="0021416C">
        <w:rPr>
          <w:rFonts w:ascii="Times New Roman" w:hAnsi="Times New Roman" w:cs="Times New Roman"/>
          <w:b/>
          <w:bCs/>
          <w:sz w:val="24"/>
          <w:szCs w:val="24"/>
        </w:rPr>
        <w:t xml:space="preserve">. </w:t>
      </w:r>
      <w:r w:rsidRPr="0021416C">
        <w:rPr>
          <w:rFonts w:ascii="Times New Roman" w:hAnsi="Times New Roman" w:cs="Times New Roman"/>
          <w:sz w:val="24"/>
          <w:szCs w:val="24"/>
        </w:rPr>
        <w:t xml:space="preserve">CT26 cells were seeded on confocal dishes and cultured to 60% confluency, then treated with </w:t>
      </w:r>
      <w:r w:rsidRPr="0021416C">
        <w:rPr>
          <w:rFonts w:ascii="Times New Roman" w:hAnsi="Times New Roman" w:cs="Times New Roman" w:hint="eastAsia"/>
          <w:sz w:val="24"/>
          <w:szCs w:val="24"/>
        </w:rPr>
        <w:t>CTL</w:t>
      </w:r>
      <w:r w:rsidRPr="0021416C">
        <w:rPr>
          <w:rFonts w:ascii="Times New Roman" w:hAnsi="Times New Roman" w:cs="Times New Roman"/>
          <w:sz w:val="24"/>
          <w:szCs w:val="24"/>
        </w:rPr>
        <w:t xml:space="preserve"> (PBS), </w:t>
      </w:r>
      <w:r w:rsidRPr="0021416C">
        <w:rPr>
          <w:rFonts w:ascii="Times New Roman" w:hAnsi="Times New Roman" w:cs="Times New Roman"/>
          <w:sz w:val="24"/>
          <w:szCs w:val="24"/>
        </w:rPr>
        <w:lastRenderedPageBreak/>
        <w:t>free Rhein, Mn</w:t>
      </w:r>
      <w:r w:rsidRPr="0021416C">
        <w:rPr>
          <w:rFonts w:ascii="Times New Roman" w:hAnsi="Times New Roman" w:cs="Times New Roman"/>
          <w:sz w:val="24"/>
          <w:szCs w:val="24"/>
          <w:vertAlign w:val="superscript"/>
        </w:rPr>
        <w:t>2+</w:t>
      </w:r>
      <w:r w:rsidRPr="0021416C">
        <w:rPr>
          <w:rFonts w:ascii="Times New Roman" w:hAnsi="Times New Roman" w:cs="Times New Roman"/>
          <w:sz w:val="24"/>
          <w:szCs w:val="24"/>
        </w:rPr>
        <w:t>, or BRM for 12 h. ICD-related indicators were detected as follows:</w:t>
      </w:r>
      <w:r w:rsidRPr="0021416C">
        <w:rPr>
          <w:rFonts w:ascii="Times New Roman" w:hAnsi="Times New Roman" w:cs="Times New Roman"/>
          <w:b/>
          <w:bCs/>
          <w:sz w:val="24"/>
          <w:szCs w:val="24"/>
        </w:rPr>
        <w:t xml:space="preserve"> </w:t>
      </w:r>
      <w:r w:rsidRPr="0021416C">
        <w:rPr>
          <w:rFonts w:ascii="Times New Roman" w:hAnsi="Times New Roman" w:cs="Times New Roman" w:hint="eastAsia"/>
          <w:b/>
          <w:bCs/>
          <w:sz w:val="24"/>
          <w:szCs w:val="24"/>
        </w:rPr>
        <w:t>C</w:t>
      </w:r>
      <w:r w:rsidRPr="0021416C">
        <w:rPr>
          <w:rFonts w:ascii="Times New Roman" w:hAnsi="Times New Roman" w:cs="Times New Roman"/>
          <w:b/>
          <w:bCs/>
          <w:sz w:val="24"/>
          <w:szCs w:val="24"/>
        </w:rPr>
        <w:t xml:space="preserve">alreticulin </w:t>
      </w:r>
      <w:r w:rsidRPr="0021416C">
        <w:rPr>
          <w:rFonts w:ascii="Times New Roman" w:hAnsi="Times New Roman" w:cs="Times New Roman" w:hint="eastAsia"/>
          <w:b/>
          <w:bCs/>
          <w:sz w:val="24"/>
          <w:szCs w:val="24"/>
        </w:rPr>
        <w:t>(</w:t>
      </w:r>
      <w:r w:rsidRPr="0021416C">
        <w:rPr>
          <w:rFonts w:ascii="Times New Roman" w:hAnsi="Times New Roman" w:cs="Times New Roman"/>
          <w:b/>
          <w:bCs/>
          <w:sz w:val="24"/>
          <w:szCs w:val="24"/>
        </w:rPr>
        <w:t>CRT</w:t>
      </w:r>
      <w:r w:rsidRPr="0021416C">
        <w:rPr>
          <w:rFonts w:ascii="Times New Roman" w:hAnsi="Times New Roman" w:cs="Times New Roman" w:hint="eastAsia"/>
          <w:b/>
          <w:bCs/>
          <w:sz w:val="24"/>
          <w:szCs w:val="24"/>
        </w:rPr>
        <w:t>)</w:t>
      </w:r>
      <w:r w:rsidRPr="0021416C">
        <w:rPr>
          <w:rFonts w:ascii="Times New Roman" w:hAnsi="Times New Roman" w:cs="Times New Roman"/>
          <w:b/>
          <w:bCs/>
          <w:sz w:val="24"/>
          <w:szCs w:val="24"/>
        </w:rPr>
        <w:t xml:space="preserve"> translocation to the cell membrane. </w:t>
      </w:r>
      <w:r w:rsidRPr="0021416C">
        <w:rPr>
          <w:rFonts w:ascii="Times New Roman" w:hAnsi="Times New Roman" w:cs="Times New Roman"/>
          <w:sz w:val="24"/>
          <w:szCs w:val="24"/>
        </w:rPr>
        <w:t>After treatment, cells were rinsed twice with PBS, fixed with 4% paraformaldehyde for 15 min, and permeabilized with 0.1% Triton X-100 in PBS for 10 min at room temperature. Nonspecific binding was blocked with 5% BSA for 30 min, followed by incubation with anti-CRT primary antibody (1:200 dilution in 1% BSA) overnight at 4</w:t>
      </w:r>
      <w:r w:rsidRPr="0021416C">
        <w:rPr>
          <w:rFonts w:ascii="Times New Roman" w:hAnsi="Times New Roman" w:cs="Times New Roman" w:hint="eastAsia"/>
          <w:sz w:val="24"/>
          <w:szCs w:val="24"/>
        </w:rPr>
        <w:t xml:space="preserve"> </w:t>
      </w:r>
      <w:r w:rsidRPr="0021416C">
        <w:rPr>
          <w:rFonts w:ascii="Times New Roman" w:hAnsi="Times New Roman" w:cs="Times New Roman"/>
          <w:sz w:val="24"/>
          <w:szCs w:val="24"/>
        </w:rPr>
        <w:t xml:space="preserve">°C. Cells were washed three times with PBS and incubated with </w:t>
      </w:r>
      <w:r w:rsidRPr="0021416C">
        <w:rPr>
          <w:rFonts w:ascii="Times New Roman" w:hAnsi="Times New Roman" w:cs="Times New Roman"/>
          <w:caps/>
          <w:sz w:val="24"/>
          <w:szCs w:val="24"/>
        </w:rPr>
        <w:t>FITC</w:t>
      </w:r>
      <w:r w:rsidRPr="0021416C">
        <w:rPr>
          <w:rFonts w:ascii="Times New Roman" w:hAnsi="Times New Roman" w:cs="Times New Roman"/>
          <w:sz w:val="24"/>
          <w:szCs w:val="24"/>
        </w:rPr>
        <w:t xml:space="preserve">-conjugated secondary antibody (1:500 dilution in 1% BSA) for 1 h at room temperature in the dark. Nuclei were stained with 5 mg/L </w:t>
      </w:r>
      <w:r w:rsidRPr="0021416C">
        <w:rPr>
          <w:rFonts w:ascii="Times New Roman" w:hAnsi="Times New Roman" w:cs="Times New Roman"/>
          <w:caps/>
          <w:sz w:val="24"/>
          <w:szCs w:val="24"/>
        </w:rPr>
        <w:t>DAPI</w:t>
      </w:r>
      <w:r w:rsidRPr="0021416C">
        <w:rPr>
          <w:rFonts w:ascii="Times New Roman" w:hAnsi="Times New Roman" w:cs="Times New Roman"/>
          <w:sz w:val="24"/>
          <w:szCs w:val="24"/>
        </w:rPr>
        <w:t xml:space="preserve"> for 5 min, and excess dye was removed by rinsing with PBS. Images were captured using a confocal laser scanning microscope (CLSM, Zeiss LSM880, Germany) with a scale bar of 50 µm; CRT was visualized as green fluorescence (</w:t>
      </w:r>
      <w:r w:rsidRPr="0021416C">
        <w:rPr>
          <w:rFonts w:ascii="Times New Roman" w:hAnsi="Times New Roman" w:cs="Times New Roman"/>
          <w:caps/>
          <w:sz w:val="24"/>
          <w:szCs w:val="24"/>
        </w:rPr>
        <w:t>FITC</w:t>
      </w:r>
      <w:r w:rsidRPr="0021416C">
        <w:rPr>
          <w:rFonts w:ascii="Times New Roman" w:hAnsi="Times New Roman" w:cs="Times New Roman"/>
          <w:sz w:val="24"/>
          <w:szCs w:val="24"/>
        </w:rPr>
        <w:t>) and nuclei as blue fluorescence (</w:t>
      </w:r>
      <w:r w:rsidRPr="0021416C">
        <w:rPr>
          <w:rFonts w:ascii="Times New Roman" w:hAnsi="Times New Roman" w:cs="Times New Roman"/>
          <w:caps/>
          <w:sz w:val="24"/>
          <w:szCs w:val="24"/>
        </w:rPr>
        <w:t>DAPI</w:t>
      </w:r>
      <w:r w:rsidRPr="0021416C">
        <w:rPr>
          <w:rFonts w:ascii="Times New Roman" w:hAnsi="Times New Roman" w:cs="Times New Roman"/>
          <w:sz w:val="24"/>
          <w:szCs w:val="24"/>
        </w:rPr>
        <w:t>). Magnified views of representative cells were marked with red boxes for clarity.</w:t>
      </w:r>
      <w:r w:rsidRPr="0021416C">
        <w:rPr>
          <w:rFonts w:ascii="Times New Roman" w:hAnsi="Times New Roman" w:cs="Times New Roman"/>
          <w:b/>
          <w:bCs/>
          <w:sz w:val="24"/>
          <w:szCs w:val="24"/>
        </w:rPr>
        <w:t xml:space="preserve"> HMGB1 secretion. </w:t>
      </w:r>
      <w:r w:rsidRPr="0021416C">
        <w:rPr>
          <w:rFonts w:ascii="Times New Roman" w:hAnsi="Times New Roman" w:cs="Times New Roman"/>
          <w:sz w:val="24"/>
          <w:szCs w:val="24"/>
        </w:rPr>
        <w:t xml:space="preserve">Cell supernatants were collected and centrifuged at 12,000 × g for 10 min to remove debris. Extracellular HMGB1 levels were quantified using an HMGB1 ELISA kit following the manufacturer’s protocol. </w:t>
      </w:r>
      <w:r w:rsidRPr="0021416C">
        <w:rPr>
          <w:rFonts w:ascii="Times New Roman" w:hAnsi="Times New Roman" w:cs="Times New Roman"/>
          <w:b/>
          <w:bCs/>
          <w:sz w:val="24"/>
          <w:szCs w:val="24"/>
        </w:rPr>
        <w:t xml:space="preserve">Intracellular and extracellular ATP levels. </w:t>
      </w:r>
      <w:r w:rsidRPr="0021416C">
        <w:rPr>
          <w:rFonts w:ascii="Times New Roman" w:hAnsi="Times New Roman" w:cs="Times New Roman"/>
          <w:sz w:val="24"/>
          <w:szCs w:val="24"/>
        </w:rPr>
        <w:t xml:space="preserve">Intracellular ATP was detected in cell lysates, and extracellular </w:t>
      </w:r>
      <w:r w:rsidRPr="0021416C">
        <w:rPr>
          <w:rFonts w:ascii="Times New Roman" w:hAnsi="Times New Roman" w:cs="Times New Roman" w:hint="eastAsia"/>
          <w:sz w:val="24"/>
          <w:szCs w:val="24"/>
        </w:rPr>
        <w:t>ATP was detected</w:t>
      </w:r>
      <w:r w:rsidRPr="0021416C">
        <w:rPr>
          <w:rFonts w:ascii="Times New Roman" w:hAnsi="Times New Roman" w:cs="Times New Roman"/>
          <w:sz w:val="24"/>
          <w:szCs w:val="24"/>
        </w:rPr>
        <w:t xml:space="preserve"> in cell supernatants, using a chemiluminescence ATP assay kit according to standard protocols.</w:t>
      </w:r>
    </w:p>
    <w:p w14:paraId="58A778C5" w14:textId="77777777" w:rsidR="009E1F78" w:rsidRPr="0021416C" w:rsidRDefault="009E1F78">
      <w:pPr>
        <w:widowControl/>
        <w:spacing w:line="360" w:lineRule="auto"/>
        <w:rPr>
          <w:rFonts w:ascii="Times New Roman" w:hAnsi="Times New Roman" w:cs="Times New Roman"/>
          <w:b/>
          <w:bCs/>
          <w:sz w:val="24"/>
          <w:szCs w:val="24"/>
        </w:rPr>
      </w:pPr>
    </w:p>
    <w:p w14:paraId="2BD10126" w14:textId="77777777" w:rsidR="009E1F78" w:rsidRPr="0021416C" w:rsidRDefault="00000000">
      <w:pPr>
        <w:widowControl/>
        <w:spacing w:line="360" w:lineRule="auto"/>
        <w:rPr>
          <w:rFonts w:ascii="Times New Roman" w:hAnsi="Times New Roman" w:cs="Times New Roman"/>
          <w:sz w:val="24"/>
          <w:szCs w:val="24"/>
        </w:rPr>
      </w:pPr>
      <w:r w:rsidRPr="0021416C">
        <w:rPr>
          <w:rFonts w:ascii="Times New Roman" w:hAnsi="Times New Roman" w:cs="Times New Roman" w:hint="eastAsia"/>
          <w:b/>
          <w:bCs/>
          <w:sz w:val="24"/>
          <w:szCs w:val="24"/>
        </w:rPr>
        <w:t xml:space="preserve">DCs stimulation </w:t>
      </w:r>
      <w:r w:rsidRPr="0021416C">
        <w:rPr>
          <w:rFonts w:ascii="Times New Roman" w:hAnsi="Times New Roman" w:cs="Times New Roman" w:hint="eastAsia"/>
          <w:b/>
          <w:bCs/>
          <w:i/>
          <w:sz w:val="24"/>
          <w:szCs w:val="24"/>
        </w:rPr>
        <w:t>in vitro</w:t>
      </w:r>
      <w:r w:rsidRPr="0021416C">
        <w:rPr>
          <w:rFonts w:ascii="Times New Roman" w:hAnsi="Times New Roman" w:cs="Times New Roman" w:hint="eastAsia"/>
          <w:b/>
          <w:bCs/>
          <w:sz w:val="24"/>
          <w:szCs w:val="24"/>
        </w:rPr>
        <w:t xml:space="preserve">. </w:t>
      </w:r>
      <w:r w:rsidRPr="0021416C">
        <w:rPr>
          <w:rFonts w:ascii="Times New Roman" w:hAnsi="Times New Roman" w:cs="Times New Roman" w:hint="eastAsia"/>
          <w:sz w:val="24"/>
          <w:szCs w:val="24"/>
        </w:rPr>
        <w:t>Bone marrow-derived cells (BMDCs) were collected from the femurs of BALB/c mice and cultured for 7 days to generate CD11c</w:t>
      </w:r>
      <w:r w:rsidRPr="0021416C">
        <w:rPr>
          <w:rFonts w:ascii="Times New Roman" w:hAnsi="Times New Roman" w:cs="Times New Roman" w:hint="eastAsia"/>
          <w:sz w:val="24"/>
          <w:szCs w:val="24"/>
          <w:vertAlign w:val="superscript"/>
        </w:rPr>
        <w:t>+</w:t>
      </w:r>
      <w:r w:rsidRPr="0021416C">
        <w:rPr>
          <w:rFonts w:ascii="Times New Roman" w:hAnsi="Times New Roman" w:cs="Times New Roman" w:hint="eastAsia"/>
          <w:sz w:val="24"/>
          <w:szCs w:val="24"/>
        </w:rPr>
        <w:t xml:space="preserve"> DCs. CT26 tumor cells were cultured and treated in different groups in the upper chamber of a 24-well transwell system with 0.</w:t>
      </w:r>
      <w:r w:rsidRPr="0021416C">
        <w:rPr>
          <w:rFonts w:ascii="Times New Roman" w:hAnsi="Times New Roman" w:cs="Times New Roman"/>
          <w:sz w:val="24"/>
          <w:szCs w:val="24"/>
        </w:rPr>
        <w:t>4 μm poly</w:t>
      </w:r>
      <w:r w:rsidRPr="0021416C">
        <w:rPr>
          <w:rFonts w:ascii="Times New Roman" w:hAnsi="Times New Roman" w:cs="Times New Roman" w:hint="eastAsia"/>
          <w:sz w:val="24"/>
          <w:szCs w:val="24"/>
        </w:rPr>
        <w:t xml:space="preserve">carbonate porous membranes for 24 h. The treated tumor cells were then incubated with the BMDCs seeded in the bottom well at a 2:1 ratio for another 24 h. Subsequently, the BMDCs were collected and analyzed by flow cytometry after staining with </w:t>
      </w:r>
      <w:r w:rsidRPr="0021416C">
        <w:rPr>
          <w:rFonts w:ascii="Times New Roman" w:hAnsi="Times New Roman" w:cs="Times New Roman" w:hint="eastAsia"/>
          <w:caps/>
          <w:sz w:val="24"/>
          <w:szCs w:val="24"/>
        </w:rPr>
        <w:t>FITC</w:t>
      </w:r>
      <w:r w:rsidRPr="0021416C">
        <w:rPr>
          <w:rFonts w:ascii="Times New Roman" w:hAnsi="Times New Roman" w:cs="Times New Roman" w:hint="eastAsia"/>
          <w:sz w:val="24"/>
          <w:szCs w:val="24"/>
        </w:rPr>
        <w:t xml:space="preserve"> anti-CD11c antibody, APC anti-CD80 antibody, and PE anti-CD86 antibody, and the maturation rate of DCs was analyzed using FlowJo software.</w:t>
      </w:r>
    </w:p>
    <w:p w14:paraId="0C25D1A5" w14:textId="77777777" w:rsidR="009E1F78" w:rsidRPr="0021416C" w:rsidRDefault="009E1F78">
      <w:pPr>
        <w:widowControl/>
        <w:spacing w:line="360" w:lineRule="auto"/>
        <w:rPr>
          <w:rFonts w:ascii="Times New Roman" w:hAnsi="Times New Roman" w:cs="Times New Roman"/>
          <w:b/>
          <w:bCs/>
          <w:sz w:val="24"/>
          <w:szCs w:val="24"/>
        </w:rPr>
      </w:pPr>
    </w:p>
    <w:p w14:paraId="21E85B52" w14:textId="3339C736" w:rsidR="009E1F78" w:rsidRPr="0021416C" w:rsidRDefault="00000000">
      <w:pPr>
        <w:widowControl/>
        <w:spacing w:line="360" w:lineRule="auto"/>
        <w:rPr>
          <w:rFonts w:ascii="Times New Roman" w:hAnsi="Times New Roman" w:cs="Times New Roman"/>
          <w:sz w:val="24"/>
          <w:szCs w:val="24"/>
        </w:rPr>
      </w:pPr>
      <w:r w:rsidRPr="0021416C">
        <w:rPr>
          <w:rFonts w:ascii="Times New Roman" w:hAnsi="Times New Roman" w:cs="Times New Roman"/>
          <w:b/>
          <w:bCs/>
          <w:i/>
          <w:sz w:val="24"/>
          <w:szCs w:val="24"/>
        </w:rPr>
        <w:lastRenderedPageBreak/>
        <w:t>In vivo</w:t>
      </w:r>
      <w:r w:rsidRPr="0021416C">
        <w:rPr>
          <w:rFonts w:ascii="Times New Roman" w:hAnsi="Times New Roman" w:cs="Times New Roman"/>
          <w:b/>
          <w:bCs/>
          <w:sz w:val="24"/>
          <w:szCs w:val="24"/>
        </w:rPr>
        <w:t xml:space="preserve"> biodistribution of </w:t>
      </w:r>
      <w:r w:rsidRPr="0021416C">
        <w:rPr>
          <w:rFonts w:ascii="Times New Roman" w:hAnsi="Times New Roman" w:cs="Times New Roman" w:hint="eastAsia"/>
          <w:b/>
          <w:bCs/>
          <w:sz w:val="24"/>
          <w:szCs w:val="24"/>
        </w:rPr>
        <w:t xml:space="preserve">BRM. </w:t>
      </w:r>
      <w:r w:rsidRPr="0021416C">
        <w:rPr>
          <w:rFonts w:ascii="Times New Roman" w:hAnsi="Times New Roman" w:cs="Times New Roman"/>
          <w:sz w:val="24"/>
          <w:szCs w:val="24"/>
        </w:rPr>
        <w:t>CT26-Luc cells were harvested, resuspended in ice-cold PBS, and used for peritoneal tumor model establishment via intraperitoneal injection of 2.5</w:t>
      </w:r>
      <w:r w:rsidRPr="0021416C">
        <w:rPr>
          <w:rFonts w:ascii="Times New Roman" w:hAnsi="Times New Roman" w:cs="Times New Roman" w:hint="eastAsia"/>
          <w:sz w:val="24"/>
          <w:szCs w:val="24"/>
        </w:rPr>
        <w:t xml:space="preserve"> </w:t>
      </w:r>
      <w:r w:rsidRPr="0021416C">
        <w:rPr>
          <w:rFonts w:ascii="Times New Roman" w:hAnsi="Times New Roman" w:cs="Times New Roman"/>
          <w:sz w:val="24"/>
          <w:szCs w:val="24"/>
        </w:rPr>
        <w:t>×</w:t>
      </w:r>
      <w:r w:rsidRPr="0021416C">
        <w:rPr>
          <w:rFonts w:ascii="Times New Roman" w:hAnsi="Times New Roman" w:cs="Times New Roman" w:hint="eastAsia"/>
          <w:sz w:val="24"/>
          <w:szCs w:val="24"/>
        </w:rPr>
        <w:t xml:space="preserve"> </w:t>
      </w:r>
      <w:r w:rsidRPr="0021416C">
        <w:rPr>
          <w:rFonts w:ascii="Times New Roman" w:hAnsi="Times New Roman" w:cs="Times New Roman"/>
          <w:sz w:val="24"/>
          <w:szCs w:val="24"/>
        </w:rPr>
        <w:t xml:space="preserve">10⁶ cells per BALB/c mouse. After 10 days of tumor growth, </w:t>
      </w:r>
      <w:r w:rsidRPr="0021416C">
        <w:rPr>
          <w:rFonts w:ascii="Times New Roman" w:hAnsi="Times New Roman" w:cs="Times New Roman" w:hint="eastAsia"/>
          <w:sz w:val="24"/>
          <w:szCs w:val="24"/>
        </w:rPr>
        <w:t xml:space="preserve">mice were randomized into two groups. BRM was pre-labeled with DIR fluorescent dye via overnight incubation in alcohol at room temperature. For biodistribution assessment, tumor-bearing mice were intraperitoneally administered free DIR or BRM/DIR. Real-time </w:t>
      </w:r>
      <w:r w:rsidR="00651A14" w:rsidRPr="00651A14">
        <w:rPr>
          <w:rFonts w:ascii="Times New Roman" w:hAnsi="Times New Roman" w:cs="Times New Roman" w:hint="eastAsia"/>
          <w:i/>
          <w:sz w:val="24"/>
          <w:szCs w:val="24"/>
        </w:rPr>
        <w:t>in vivo</w:t>
      </w:r>
      <w:r w:rsidRPr="0021416C">
        <w:rPr>
          <w:rFonts w:ascii="Times New Roman" w:hAnsi="Times New Roman" w:cs="Times New Roman" w:hint="eastAsia"/>
          <w:sz w:val="24"/>
          <w:szCs w:val="24"/>
        </w:rPr>
        <w:t xml:space="preserve"> imaging was performed using an IVIS system at 1, 4, 24, 48, and 72 h post-injection. At 72 h, mice were euthanized, and tumors along with major organs were harvested for </w:t>
      </w:r>
      <w:r w:rsidR="00651A14" w:rsidRPr="00651A14">
        <w:rPr>
          <w:rFonts w:ascii="Times New Roman" w:hAnsi="Times New Roman" w:cs="Times New Roman" w:hint="eastAsia"/>
          <w:i/>
          <w:sz w:val="24"/>
          <w:szCs w:val="24"/>
        </w:rPr>
        <w:t>ex vivo</w:t>
      </w:r>
      <w:r w:rsidRPr="0021416C">
        <w:rPr>
          <w:rFonts w:ascii="Times New Roman" w:hAnsi="Times New Roman" w:cs="Times New Roman" w:hint="eastAsia"/>
          <w:sz w:val="24"/>
          <w:szCs w:val="24"/>
        </w:rPr>
        <w:t xml:space="preserve"> bioluminescence and fluorescence imaging. Fluorescence signal quantification was conducted using the Tanon system.</w:t>
      </w:r>
    </w:p>
    <w:p w14:paraId="6A040AFD" w14:textId="77777777" w:rsidR="009E1F78" w:rsidRPr="0021416C" w:rsidRDefault="009E1F78">
      <w:pPr>
        <w:widowControl/>
        <w:spacing w:line="360" w:lineRule="auto"/>
        <w:rPr>
          <w:rFonts w:ascii="Times New Roman" w:hAnsi="Times New Roman" w:cs="Times New Roman"/>
          <w:b/>
          <w:bCs/>
          <w:sz w:val="24"/>
          <w:szCs w:val="24"/>
        </w:rPr>
      </w:pPr>
    </w:p>
    <w:p w14:paraId="38268093" w14:textId="77777777" w:rsidR="009E1F78" w:rsidRPr="0021416C" w:rsidRDefault="00000000">
      <w:pPr>
        <w:widowControl/>
        <w:spacing w:line="360" w:lineRule="auto"/>
        <w:rPr>
          <w:rFonts w:ascii="Times New Roman" w:hAnsi="Times New Roman" w:cs="Times New Roman"/>
          <w:sz w:val="24"/>
          <w:szCs w:val="24"/>
        </w:rPr>
      </w:pPr>
      <w:r w:rsidRPr="0021416C">
        <w:rPr>
          <w:rFonts w:ascii="Times New Roman" w:hAnsi="Times New Roman" w:cs="Times New Roman" w:hint="eastAsia"/>
          <w:b/>
          <w:bCs/>
          <w:sz w:val="24"/>
          <w:szCs w:val="24"/>
        </w:rPr>
        <w:t xml:space="preserve">Pharmacokinetic studies were performed in male Sprague-Dawley rats. </w:t>
      </w:r>
      <w:r w:rsidRPr="0021416C">
        <w:rPr>
          <w:rFonts w:ascii="Times New Roman" w:hAnsi="Times New Roman" w:cs="Times New Roman" w:hint="eastAsia"/>
          <w:sz w:val="24"/>
          <w:szCs w:val="24"/>
        </w:rPr>
        <w:t xml:space="preserve">Rats were intraperitoneally administered BRM nanomedicine at a dose of 30 mg/kg (3 mg/mL, 10 mL/kg in normal saline) without fasting, and blood samples were collected at 0.5, 1, 2, 4, 6, 8, 12, 24, 48, and 72 h post-administration. Plasma was separated by centrifugation and stored at -80 </w:t>
      </w:r>
      <w:r w:rsidRPr="0021416C">
        <w:rPr>
          <w:rFonts w:ascii="Times New Roman" w:hAnsi="Times New Roman" w:cs="Times New Roman" w:hint="eastAsia"/>
          <w:sz w:val="24"/>
          <w:szCs w:val="24"/>
        </w:rPr>
        <w:t>°</w:t>
      </w:r>
      <w:r w:rsidRPr="0021416C">
        <w:rPr>
          <w:rFonts w:ascii="Times New Roman" w:hAnsi="Times New Roman" w:cs="Times New Roman" w:hint="eastAsia"/>
          <w:sz w:val="24"/>
          <w:szCs w:val="24"/>
        </w:rPr>
        <w:t>C until analysis. The concentrations of rhein and manganese in plasma were determined by high-performance liquid chromatography-tandem mass spectrometry (HPLC-MS/MS) and inductively coupled plasma mass spectrometry (ICP-MS), respectively.</w:t>
      </w:r>
    </w:p>
    <w:p w14:paraId="381F5A20" w14:textId="77777777" w:rsidR="009E1F78" w:rsidRPr="0021416C" w:rsidRDefault="009E1F78">
      <w:pPr>
        <w:widowControl/>
        <w:spacing w:line="360" w:lineRule="auto"/>
        <w:rPr>
          <w:rFonts w:ascii="Times New Roman" w:hAnsi="Times New Roman" w:cs="Times New Roman"/>
          <w:b/>
          <w:bCs/>
          <w:sz w:val="24"/>
          <w:szCs w:val="24"/>
        </w:rPr>
      </w:pPr>
    </w:p>
    <w:p w14:paraId="25D1457C" w14:textId="70AE4153" w:rsidR="009E1F78" w:rsidRPr="0021416C" w:rsidRDefault="00000000">
      <w:pPr>
        <w:widowControl/>
        <w:spacing w:line="360" w:lineRule="auto"/>
        <w:rPr>
          <w:rFonts w:ascii="Times New Roman" w:hAnsi="Times New Roman" w:cs="Times New Roman"/>
          <w:b/>
          <w:bCs/>
          <w:sz w:val="24"/>
          <w:szCs w:val="24"/>
        </w:rPr>
      </w:pPr>
      <w:r w:rsidRPr="0021416C">
        <w:rPr>
          <w:rFonts w:ascii="Times New Roman" w:hAnsi="Times New Roman" w:cs="Times New Roman" w:hint="eastAsia"/>
          <w:b/>
          <w:bCs/>
          <w:i/>
          <w:sz w:val="24"/>
          <w:szCs w:val="24"/>
        </w:rPr>
        <w:t>In vivo</w:t>
      </w:r>
      <w:r w:rsidRPr="0021416C">
        <w:rPr>
          <w:rFonts w:ascii="Times New Roman" w:hAnsi="Times New Roman" w:cs="Times New Roman" w:hint="eastAsia"/>
          <w:b/>
          <w:bCs/>
          <w:sz w:val="24"/>
          <w:szCs w:val="24"/>
        </w:rPr>
        <w:t xml:space="preserve"> antitumor efficacy, organ safety, and hemocompatibility of BRM. </w:t>
      </w:r>
      <w:r w:rsidRPr="0021416C">
        <w:rPr>
          <w:rFonts w:ascii="Times New Roman" w:hAnsi="Times New Roman" w:cs="Times New Roman"/>
          <w:sz w:val="24"/>
          <w:szCs w:val="24"/>
        </w:rPr>
        <w:t>BALB/c mice were implanted with tumor cells, and 6 days post-implantation, they were randomly divided into four groups (</w:t>
      </w:r>
      <w:r w:rsidRPr="0021416C">
        <w:rPr>
          <w:rFonts w:ascii="Times New Roman" w:hAnsi="Times New Roman" w:cs="Times New Roman"/>
          <w:i/>
          <w:iCs/>
          <w:sz w:val="24"/>
          <w:szCs w:val="24"/>
        </w:rPr>
        <w:t>n</w:t>
      </w:r>
      <w:r w:rsidRPr="0021416C">
        <w:rPr>
          <w:rFonts w:ascii="Times New Roman" w:hAnsi="Times New Roman" w:cs="Times New Roman" w:hint="eastAsia"/>
          <w:sz w:val="24"/>
          <w:szCs w:val="24"/>
        </w:rPr>
        <w:t xml:space="preserve"> </w:t>
      </w:r>
      <w:r w:rsidRPr="0021416C">
        <w:rPr>
          <w:rFonts w:ascii="Times New Roman" w:hAnsi="Times New Roman" w:cs="Times New Roman"/>
          <w:sz w:val="24"/>
          <w:szCs w:val="24"/>
        </w:rPr>
        <w:t>=</w:t>
      </w:r>
      <w:r w:rsidRPr="0021416C">
        <w:rPr>
          <w:rFonts w:ascii="Times New Roman" w:hAnsi="Times New Roman" w:cs="Times New Roman" w:hint="eastAsia"/>
          <w:sz w:val="24"/>
          <w:szCs w:val="24"/>
        </w:rPr>
        <w:t xml:space="preserve"> </w:t>
      </w:r>
      <w:r w:rsidRPr="0021416C">
        <w:rPr>
          <w:rFonts w:ascii="Times New Roman" w:hAnsi="Times New Roman" w:cs="Times New Roman"/>
          <w:sz w:val="24"/>
          <w:szCs w:val="24"/>
        </w:rPr>
        <w:t xml:space="preserve">10 per group): the control group received intraperitoneal injections of 0.4 mL PBS every 5 days, while the three experimental groups received 0.4 mL PBS containing free Rhein (30 mg/kg), MnCl₂ (15 mg/kg), or BRM (30 mg/kg) via intraperitoneal injection every 5 days. During the experiment, mice were weighed, and their abdominal circumferences measured every 3 days to monitor general physiological status; changes in abdominal tumor size were tracked by intraperitoneal injection of D-luciferin potassium salt (150 mg/kg) followed by </w:t>
      </w:r>
      <w:r w:rsidRPr="0021416C">
        <w:rPr>
          <w:rFonts w:ascii="Times New Roman" w:hAnsi="Times New Roman" w:cs="Times New Roman"/>
          <w:sz w:val="24"/>
          <w:szCs w:val="24"/>
        </w:rPr>
        <w:lastRenderedPageBreak/>
        <w:t xml:space="preserve">bioluminescence imaging using an IVIS system, with tumor burden quantified as total photon flux via Living Image software. At 16 days after the initial drug injection, 5 mice per group were euthanized under sterile conditions, and tumor tissues as well as major organs (heart, liver, spleen, lung, kidney) were collected; all tissues were fixed in 10% neutral buffered formalin for 24 h, embedded in paraffin, and sectioned into 5-μm slices—Hematoxylin-Eosin (H&amp;E) staining was used to observe pathological changes in major organs for assessing </w:t>
      </w:r>
      <w:r w:rsidRPr="0021416C">
        <w:rPr>
          <w:rFonts w:ascii="Times New Roman" w:hAnsi="Times New Roman" w:cs="Times New Roman"/>
          <w:i/>
          <w:sz w:val="24"/>
          <w:szCs w:val="24"/>
        </w:rPr>
        <w:t>in vivo</w:t>
      </w:r>
      <w:r w:rsidRPr="0021416C">
        <w:rPr>
          <w:rFonts w:ascii="Times New Roman" w:hAnsi="Times New Roman" w:cs="Times New Roman"/>
          <w:sz w:val="24"/>
          <w:szCs w:val="24"/>
        </w:rPr>
        <w:t xml:space="preserve"> safety of BRM, immunohistochemistry (IHC) was performed to detect infiltration of CD3⁺, CD4⁺, and CD8⁺ T cells (primary antibodies: anti-CD3, anti-CD4, anti-CD8; secondary antibody: HRP-conjugated IgG; visualized with DAB substrate), and immunofluorescence (IF) staining was conducted to assess NF-κB and CRT expression (primary antibodies: anti-NF-κB p65, anti-CRT; secondary antibody: </w:t>
      </w:r>
      <w:r w:rsidRPr="0021416C">
        <w:rPr>
          <w:rFonts w:ascii="Times New Roman" w:hAnsi="Times New Roman" w:cs="Times New Roman" w:hint="eastAsia"/>
          <w:caps/>
          <w:sz w:val="24"/>
          <w:szCs w:val="24"/>
        </w:rPr>
        <w:t>FITC</w:t>
      </w:r>
      <w:r w:rsidRPr="0021416C">
        <w:rPr>
          <w:rFonts w:ascii="Times New Roman" w:hAnsi="Times New Roman" w:cs="Times New Roman" w:hint="eastAsia"/>
          <w:sz w:val="24"/>
          <w:szCs w:val="24"/>
        </w:rPr>
        <w:t>-labeled Goat Anti-Mouse IgG (H+L)</w:t>
      </w:r>
      <w:r w:rsidRPr="0021416C">
        <w:rPr>
          <w:rFonts w:ascii="Times New Roman" w:hAnsi="Times New Roman" w:cs="Times New Roman"/>
          <w:sz w:val="24"/>
          <w:szCs w:val="24"/>
        </w:rPr>
        <w:t xml:space="preserve">; nuclei counterstained with </w:t>
      </w:r>
      <w:r w:rsidRPr="0021416C">
        <w:rPr>
          <w:rFonts w:ascii="Times New Roman" w:hAnsi="Times New Roman" w:cs="Times New Roman"/>
          <w:caps/>
          <w:sz w:val="24"/>
          <w:szCs w:val="24"/>
        </w:rPr>
        <w:t>DAPI</w:t>
      </w:r>
      <w:r w:rsidRPr="0021416C">
        <w:rPr>
          <w:rFonts w:ascii="Times New Roman" w:hAnsi="Times New Roman" w:cs="Times New Roman"/>
          <w:sz w:val="24"/>
          <w:szCs w:val="24"/>
        </w:rPr>
        <w:t xml:space="preserve">), with stained sections imaged using a Leica </w:t>
      </w:r>
      <w:r w:rsidRPr="005D1E03">
        <w:rPr>
          <w:rFonts w:ascii="Times New Roman" w:hAnsi="Times New Roman" w:cs="Times New Roman"/>
          <w:sz w:val="24"/>
          <w:szCs w:val="24"/>
        </w:rPr>
        <w:t>DM6B</w:t>
      </w:r>
      <w:r w:rsidRPr="0021416C">
        <w:rPr>
          <w:rFonts w:ascii="Times New Roman" w:hAnsi="Times New Roman" w:cs="Times New Roman"/>
          <w:sz w:val="24"/>
          <w:szCs w:val="24"/>
        </w:rPr>
        <w:t xml:space="preserve"> microscope and positive signals quantified via ImageJ software. For hemocompatibility assessment, the concentration-dependent hemolytic activity of BRM on murine erythrocytes was detected, using ddH₂O as the positive control (inducing complete hemolysis) and PBS as the negative control (inducing negligible hemolysis), with data presented as the mean ± SD from three independent experiments (</w:t>
      </w:r>
      <w:r w:rsidRPr="0021416C">
        <w:rPr>
          <w:rFonts w:ascii="Times New Roman" w:hAnsi="Times New Roman" w:cs="Times New Roman"/>
          <w:i/>
          <w:iCs/>
          <w:sz w:val="24"/>
          <w:szCs w:val="24"/>
        </w:rPr>
        <w:t>n</w:t>
      </w:r>
      <w:r w:rsidRPr="0021416C">
        <w:rPr>
          <w:rFonts w:ascii="Times New Roman" w:hAnsi="Times New Roman" w:cs="Times New Roman" w:hint="eastAsia"/>
          <w:i/>
          <w:iCs/>
          <w:sz w:val="24"/>
          <w:szCs w:val="24"/>
        </w:rPr>
        <w:t xml:space="preserve"> </w:t>
      </w:r>
      <w:r w:rsidRPr="0021416C">
        <w:rPr>
          <w:rFonts w:ascii="Times New Roman" w:hAnsi="Times New Roman" w:cs="Times New Roman"/>
          <w:sz w:val="24"/>
          <w:szCs w:val="24"/>
        </w:rPr>
        <w:t>=</w:t>
      </w:r>
      <w:r w:rsidRPr="0021416C">
        <w:rPr>
          <w:rFonts w:ascii="Times New Roman" w:hAnsi="Times New Roman" w:cs="Times New Roman" w:hint="eastAsia"/>
          <w:sz w:val="24"/>
          <w:szCs w:val="24"/>
        </w:rPr>
        <w:t xml:space="preserve"> </w:t>
      </w:r>
      <w:r w:rsidRPr="0021416C">
        <w:rPr>
          <w:rFonts w:ascii="Times New Roman" w:hAnsi="Times New Roman" w:cs="Times New Roman"/>
          <w:sz w:val="24"/>
          <w:szCs w:val="24"/>
        </w:rPr>
        <w:t>3).</w:t>
      </w:r>
    </w:p>
    <w:p w14:paraId="686360F0" w14:textId="77777777" w:rsidR="009E1F78" w:rsidRPr="0021416C" w:rsidRDefault="009E1F78">
      <w:pPr>
        <w:widowControl/>
        <w:spacing w:line="360" w:lineRule="auto"/>
        <w:rPr>
          <w:rFonts w:ascii="Times New Roman" w:hAnsi="Times New Roman" w:cs="Times New Roman"/>
          <w:b/>
          <w:bCs/>
          <w:sz w:val="24"/>
          <w:szCs w:val="24"/>
        </w:rPr>
      </w:pPr>
    </w:p>
    <w:p w14:paraId="478ACE8C" w14:textId="7D920448" w:rsidR="009E1F78" w:rsidRPr="0021416C" w:rsidRDefault="00000000">
      <w:pPr>
        <w:widowControl/>
        <w:spacing w:line="360" w:lineRule="auto"/>
        <w:rPr>
          <w:rFonts w:ascii="Times New Roman" w:hAnsi="Times New Roman" w:cs="Times New Roman"/>
          <w:sz w:val="24"/>
          <w:szCs w:val="24"/>
        </w:rPr>
      </w:pPr>
      <w:r w:rsidRPr="0021416C">
        <w:rPr>
          <w:rFonts w:ascii="Times New Roman" w:hAnsi="Times New Roman" w:cs="Times New Roman" w:hint="eastAsia"/>
          <w:b/>
          <w:bCs/>
          <w:sz w:val="24"/>
          <w:szCs w:val="24"/>
        </w:rPr>
        <w:t xml:space="preserve">Detection of DC maturation and T cell infiltration in tumor and ascites by flow cytometry. </w:t>
      </w:r>
      <w:r w:rsidRPr="0021416C">
        <w:rPr>
          <w:rFonts w:ascii="Times New Roman" w:hAnsi="Times New Roman" w:cs="Times New Roman"/>
          <w:sz w:val="24"/>
          <w:szCs w:val="24"/>
        </w:rPr>
        <w:t xml:space="preserve">At the scheduled endpoint (16 days after initial drug injection), mice were euthanized via CO₂ inhalation. </w:t>
      </w:r>
      <w:r w:rsidRPr="0021416C">
        <w:rPr>
          <w:rFonts w:ascii="Times New Roman" w:hAnsi="Times New Roman" w:cs="Times New Roman" w:hint="eastAsia"/>
          <w:sz w:val="24"/>
          <w:szCs w:val="24"/>
        </w:rPr>
        <w:t>Part of the f</w:t>
      </w:r>
      <w:r w:rsidRPr="0021416C">
        <w:rPr>
          <w:rFonts w:ascii="Times New Roman" w:hAnsi="Times New Roman" w:cs="Times New Roman"/>
          <w:sz w:val="24"/>
          <w:szCs w:val="24"/>
        </w:rPr>
        <w:t>resh tumor tissues were harvested and cut into small fragments, while ascites was collected by gently lavaging the abdominal cavity with 2</w:t>
      </w:r>
      <w:r w:rsidRPr="0021416C">
        <w:rPr>
          <w:rFonts w:ascii="Times New Roman" w:hAnsi="Times New Roman" w:cs="Times New Roman" w:hint="eastAsia"/>
          <w:sz w:val="24"/>
          <w:szCs w:val="24"/>
        </w:rPr>
        <w:t>-</w:t>
      </w:r>
      <w:r w:rsidRPr="0021416C">
        <w:rPr>
          <w:rFonts w:ascii="Times New Roman" w:hAnsi="Times New Roman" w:cs="Times New Roman"/>
          <w:sz w:val="24"/>
          <w:szCs w:val="24"/>
        </w:rPr>
        <w:t>3 mL ice-cold Cell Staining Buffer (BioLegend, #420201) and transferred to sterile centrifuge tubes. Tumor tissue fragments were incubated with Tissue Dissociation Reagent A at 37</w:t>
      </w:r>
      <w:r w:rsidRPr="0021416C">
        <w:rPr>
          <w:rFonts w:ascii="Times New Roman" w:hAnsi="Times New Roman" w:cs="Times New Roman" w:hint="eastAsia"/>
          <w:sz w:val="24"/>
          <w:szCs w:val="24"/>
        </w:rPr>
        <w:t xml:space="preserve"> </w:t>
      </w:r>
      <w:r w:rsidRPr="0021416C">
        <w:rPr>
          <w:rFonts w:ascii="Times New Roman" w:hAnsi="Times New Roman" w:cs="Times New Roman"/>
          <w:sz w:val="24"/>
          <w:szCs w:val="24"/>
        </w:rPr>
        <w:t>°C for 30 min; the resulting tumor cell suspension and collected ascites were both filtered through 40 μm mesh filters, washed with Cell Staining Buffer (BioLegend, #420201), and treated with red blood cell lysis buffer (0.83% NH₄Cl) on ice for 5 min. After centrifugation at 300 × g for 5 min at 4</w:t>
      </w:r>
      <w:r w:rsidRPr="0021416C">
        <w:rPr>
          <w:rFonts w:ascii="Times New Roman" w:hAnsi="Times New Roman" w:cs="Times New Roman" w:hint="eastAsia"/>
          <w:sz w:val="24"/>
          <w:szCs w:val="24"/>
        </w:rPr>
        <w:t xml:space="preserve"> </w:t>
      </w:r>
      <w:r w:rsidRPr="0021416C">
        <w:rPr>
          <w:rFonts w:ascii="Times New Roman" w:hAnsi="Times New Roman" w:cs="Times New Roman"/>
          <w:sz w:val="24"/>
          <w:szCs w:val="24"/>
        </w:rPr>
        <w:t xml:space="preserve">°C, single cells were obtained and resuspended in Cell Staining Buffer to a final concentration of 1 × </w:t>
      </w:r>
      <w:r w:rsidRPr="0021416C">
        <w:rPr>
          <w:rFonts w:ascii="Times New Roman" w:hAnsi="Times New Roman" w:cs="Times New Roman"/>
          <w:sz w:val="24"/>
          <w:szCs w:val="24"/>
        </w:rPr>
        <w:lastRenderedPageBreak/>
        <w:t xml:space="preserve">10⁶ cells/mL. For flow cytometry staining, single cells from both tumor and ascites were first stained with </w:t>
      </w:r>
      <w:r w:rsidR="005D1E03" w:rsidRPr="005D1E03">
        <w:rPr>
          <w:rFonts w:ascii="Times New Roman" w:hAnsi="Times New Roman" w:cs="Times New Roman"/>
          <w:sz w:val="24"/>
          <w:szCs w:val="24"/>
        </w:rPr>
        <w:t>Zombie UV™ F</w:t>
      </w:r>
      <w:r w:rsidR="005D1E03" w:rsidRPr="005D1E03">
        <w:rPr>
          <w:rFonts w:ascii="Times New Roman" w:hAnsi="Times New Roman" w:cs="Times New Roman" w:hint="eastAsia"/>
          <w:sz w:val="24"/>
          <w:szCs w:val="24"/>
        </w:rPr>
        <w:t>ixable Viability Kit</w:t>
      </w:r>
      <w:r w:rsidRPr="0021416C">
        <w:rPr>
          <w:rFonts w:ascii="Times New Roman" w:hAnsi="Times New Roman" w:cs="Times New Roman"/>
          <w:sz w:val="24"/>
          <w:szCs w:val="24"/>
        </w:rPr>
        <w:t xml:space="preserve"> to exclude dead cells, then blocked with TruStain FcX™ (BioLegend, #101319) for 15 min on ice to prevent non-specific Fc-mediated binding. For detecting DC maturation and T cell infiltration, cells were stained with the following BioLegend antibodies: </w:t>
      </w:r>
      <w:r w:rsidRPr="005D1E03">
        <w:rPr>
          <w:rFonts w:ascii="Times New Roman" w:hAnsi="Times New Roman" w:cs="Times New Roman"/>
          <w:sz w:val="24"/>
          <w:szCs w:val="24"/>
        </w:rPr>
        <w:t>Brilliant Violet 510™ a</w:t>
      </w:r>
      <w:r w:rsidRPr="0021416C">
        <w:rPr>
          <w:rFonts w:ascii="Times New Roman" w:hAnsi="Times New Roman" w:cs="Times New Roman"/>
          <w:sz w:val="24"/>
          <w:szCs w:val="24"/>
        </w:rPr>
        <w:t xml:space="preserve">nti-mouse CD45 (#103137), </w:t>
      </w:r>
      <w:r w:rsidRPr="0021416C">
        <w:rPr>
          <w:rFonts w:ascii="Times New Roman" w:hAnsi="Times New Roman" w:cs="Times New Roman"/>
          <w:caps/>
          <w:sz w:val="24"/>
          <w:szCs w:val="24"/>
        </w:rPr>
        <w:t>FITC</w:t>
      </w:r>
      <w:r w:rsidRPr="0021416C">
        <w:rPr>
          <w:rFonts w:ascii="Times New Roman" w:hAnsi="Times New Roman" w:cs="Times New Roman"/>
          <w:sz w:val="24"/>
          <w:szCs w:val="24"/>
        </w:rPr>
        <w:t xml:space="preserve"> anti-mouse CD11c, Brilliant Violet 605™ anti-mouse CD80, PE/Cyanine7 anti-mouse CD86, APC/Fire™ 750 anti-mouse CD3 (#100247), Alexa Fluor® 700 anti-mouse CD4 (#100536), and Brilliant Violet 650™ anti-mouse CD8a (#100741). Stained samples were detected using a flow cytometer (e.g., BD FACSCanto II) equipped with multi-wavelength lasers, with fluorescence compensation set using Compensation Beads (BioLegend, #424602); data were analyzed via FlowJo software (v10.8), where mature DCs were defined as CD45⁺CD11c⁺CD80⁺CD86⁺ cells, and T cell subsets were identified as CD45⁺CD3⁺CD4⁺ (CD4⁺ T cells) and CD45⁺CD3⁺CD8a⁺ (CD8⁺ T cells). All reagents were used according to the manufacturer’s protocols.</w:t>
      </w:r>
    </w:p>
    <w:p w14:paraId="3322B843" w14:textId="77777777" w:rsidR="009E1F78" w:rsidRPr="0021416C" w:rsidRDefault="009E1F78">
      <w:pPr>
        <w:widowControl/>
        <w:spacing w:line="360" w:lineRule="auto"/>
        <w:rPr>
          <w:rFonts w:ascii="Times New Roman" w:hAnsi="Times New Roman" w:cs="Times New Roman"/>
          <w:b/>
          <w:bCs/>
          <w:sz w:val="24"/>
          <w:szCs w:val="24"/>
        </w:rPr>
      </w:pPr>
    </w:p>
    <w:p w14:paraId="5603AF4A" w14:textId="77777777" w:rsidR="009E1F78" w:rsidRPr="0021416C" w:rsidRDefault="00000000">
      <w:pPr>
        <w:widowControl/>
        <w:spacing w:line="360" w:lineRule="auto"/>
        <w:rPr>
          <w:rFonts w:ascii="Times New Roman" w:hAnsi="Times New Roman" w:cs="Times New Roman"/>
          <w:sz w:val="24"/>
          <w:szCs w:val="24"/>
        </w:rPr>
      </w:pPr>
      <w:r w:rsidRPr="0021416C">
        <w:rPr>
          <w:rFonts w:ascii="Times New Roman" w:hAnsi="Times New Roman" w:cs="Times New Roman" w:hint="eastAsia"/>
          <w:b/>
          <w:bCs/>
          <w:sz w:val="24"/>
          <w:szCs w:val="24"/>
        </w:rPr>
        <w:t>Statistical analysis.</w:t>
      </w:r>
      <w:r w:rsidRPr="0021416C">
        <w:rPr>
          <w:rFonts w:ascii="Times New Roman" w:hAnsi="Times New Roman" w:cs="Times New Roman" w:hint="eastAsia"/>
          <w:sz w:val="24"/>
          <w:szCs w:val="24"/>
        </w:rPr>
        <w:t xml:space="preserve"> </w:t>
      </w:r>
      <w:r w:rsidRPr="0021416C">
        <w:rPr>
          <w:rFonts w:ascii="Times New Roman" w:hAnsi="Times New Roman" w:cs="Times New Roman"/>
          <w:sz w:val="24"/>
          <w:szCs w:val="24"/>
        </w:rPr>
        <w:t xml:space="preserve">Data </w:t>
      </w:r>
      <w:r w:rsidRPr="0021416C">
        <w:rPr>
          <w:rFonts w:ascii="Times New Roman" w:hAnsi="Times New Roman" w:cs="Times New Roman" w:hint="eastAsia"/>
          <w:sz w:val="24"/>
          <w:szCs w:val="24"/>
        </w:rPr>
        <w:t>is</w:t>
      </w:r>
      <w:r w:rsidRPr="0021416C">
        <w:rPr>
          <w:rFonts w:ascii="Times New Roman" w:hAnsi="Times New Roman" w:cs="Times New Roman"/>
          <w:sz w:val="24"/>
          <w:szCs w:val="24"/>
        </w:rPr>
        <w:t xml:space="preserve"> presented as the mean ± standard deviation (SD) from at least three independent experiments. Statistical analyses were performed using GraphPad Prism 9.0 software. For comparisons between two groups, an unpaired Student’s t-test was applied. For comparisons among four groups, one-way analysis of variance (ANOVA) followed by Tukey’s post-hoc test was used. Statistical significance was denoted as</w:t>
      </w:r>
      <w:r w:rsidRPr="0021416C">
        <w:rPr>
          <w:rFonts w:ascii="Times New Roman" w:hAnsi="Times New Roman" w:cs="Times New Roman"/>
          <w:i/>
          <w:iCs/>
          <w:sz w:val="24"/>
          <w:szCs w:val="24"/>
        </w:rPr>
        <w:t xml:space="preserve"> </w:t>
      </w:r>
      <w:r w:rsidRPr="0021416C">
        <w:rPr>
          <w:rFonts w:ascii="Times New Roman" w:hAnsi="Times New Roman" w:cs="Times New Roman" w:hint="eastAsia"/>
          <w:i/>
          <w:iCs/>
          <w:sz w:val="24"/>
          <w:szCs w:val="24"/>
        </w:rPr>
        <w:t>P</w:t>
      </w:r>
      <w:r w:rsidRPr="0021416C">
        <w:rPr>
          <w:rFonts w:ascii="Times New Roman" w:hAnsi="Times New Roman" w:cs="Times New Roman"/>
          <w:i/>
          <w:iCs/>
          <w:sz w:val="24"/>
          <w:szCs w:val="24"/>
        </w:rPr>
        <w:t xml:space="preserve"> </w:t>
      </w:r>
      <w:r w:rsidRPr="0021416C">
        <w:rPr>
          <w:rFonts w:ascii="Times New Roman" w:hAnsi="Times New Roman" w:cs="Times New Roman"/>
          <w:sz w:val="24"/>
          <w:szCs w:val="24"/>
        </w:rPr>
        <w:t>&lt; 0.05 (</w:t>
      </w:r>
      <w:r w:rsidRPr="0021416C">
        <w:rPr>
          <w:rFonts w:ascii="Times New Roman" w:hAnsi="Times New Roman" w:cs="Times New Roman"/>
          <w:sz w:val="24"/>
        </w:rPr>
        <w:t>*</w:t>
      </w:r>
      <w:r w:rsidRPr="0021416C">
        <w:rPr>
          <w:rFonts w:ascii="Times New Roman" w:hAnsi="Times New Roman" w:cs="Times New Roman"/>
          <w:sz w:val="24"/>
          <w:szCs w:val="24"/>
        </w:rPr>
        <w:t xml:space="preserve">), </w:t>
      </w:r>
      <w:r w:rsidRPr="0021416C">
        <w:rPr>
          <w:rFonts w:ascii="Times New Roman" w:hAnsi="Times New Roman" w:cs="Times New Roman" w:hint="eastAsia"/>
          <w:i/>
          <w:iCs/>
          <w:sz w:val="24"/>
          <w:szCs w:val="24"/>
        </w:rPr>
        <w:t>P</w:t>
      </w:r>
      <w:r w:rsidRPr="0021416C">
        <w:rPr>
          <w:rFonts w:ascii="Times New Roman" w:hAnsi="Times New Roman" w:cs="Times New Roman"/>
          <w:sz w:val="24"/>
          <w:szCs w:val="24"/>
        </w:rPr>
        <w:t xml:space="preserve"> &lt; 0.01 (</w:t>
      </w:r>
      <w:r w:rsidRPr="0021416C">
        <w:rPr>
          <w:rFonts w:ascii="Times New Roman" w:hAnsi="Times New Roman" w:cs="Times New Roman"/>
          <w:sz w:val="24"/>
        </w:rPr>
        <w:t>**</w:t>
      </w:r>
      <w:r w:rsidRPr="0021416C">
        <w:rPr>
          <w:rFonts w:ascii="Times New Roman" w:hAnsi="Times New Roman" w:cs="Times New Roman"/>
          <w:sz w:val="24"/>
          <w:szCs w:val="24"/>
        </w:rPr>
        <w:t xml:space="preserve">), and </w:t>
      </w:r>
      <w:r w:rsidRPr="0021416C">
        <w:rPr>
          <w:rFonts w:ascii="Times New Roman" w:hAnsi="Times New Roman" w:cs="Times New Roman" w:hint="eastAsia"/>
          <w:i/>
          <w:iCs/>
          <w:sz w:val="24"/>
          <w:szCs w:val="24"/>
        </w:rPr>
        <w:t>P</w:t>
      </w:r>
      <w:r w:rsidRPr="0021416C">
        <w:rPr>
          <w:rFonts w:ascii="Times New Roman" w:hAnsi="Times New Roman" w:cs="Times New Roman"/>
          <w:sz w:val="24"/>
          <w:szCs w:val="24"/>
        </w:rPr>
        <w:t xml:space="preserve"> &lt; 0.001 (</w:t>
      </w:r>
      <w:r w:rsidRPr="0021416C">
        <w:rPr>
          <w:rFonts w:ascii="Times New Roman" w:hAnsi="Times New Roman" w:cs="Times New Roman"/>
          <w:sz w:val="24"/>
        </w:rPr>
        <w:t>***</w:t>
      </w:r>
      <w:r w:rsidRPr="0021416C">
        <w:rPr>
          <w:rFonts w:ascii="Times New Roman" w:hAnsi="Times New Roman" w:cs="Times New Roman"/>
          <w:sz w:val="24"/>
          <w:szCs w:val="24"/>
        </w:rPr>
        <w:t>), with increasing significance corresponding to higher numbers of asterisks.</w:t>
      </w:r>
    </w:p>
    <w:p w14:paraId="666898A0" w14:textId="77777777" w:rsidR="009E1F78" w:rsidRPr="0021416C" w:rsidRDefault="00000000">
      <w:pPr>
        <w:widowControl/>
        <w:jc w:val="left"/>
        <w:rPr>
          <w:rFonts w:ascii="Times New Roman" w:hAnsi="Times New Roman" w:cs="Times New Roman"/>
          <w:sz w:val="24"/>
          <w:szCs w:val="24"/>
        </w:rPr>
      </w:pPr>
      <w:r w:rsidRPr="0021416C">
        <w:rPr>
          <w:rFonts w:ascii="Times New Roman" w:hAnsi="Times New Roman" w:cs="Times New Roman"/>
          <w:sz w:val="24"/>
          <w:szCs w:val="24"/>
        </w:rPr>
        <w:br w:type="page"/>
      </w:r>
    </w:p>
    <w:p w14:paraId="55B41DCC" w14:textId="77777777" w:rsidR="009E1F78" w:rsidRPr="0021416C" w:rsidRDefault="00000000">
      <w:pPr>
        <w:spacing w:line="360" w:lineRule="auto"/>
        <w:rPr>
          <w:rFonts w:ascii="Times New Roman" w:hAnsi="Times New Roman" w:cs="Times New Roman"/>
          <w:b/>
          <w:bCs/>
          <w:sz w:val="28"/>
          <w:szCs w:val="28"/>
        </w:rPr>
      </w:pPr>
      <w:r w:rsidRPr="0021416C">
        <w:rPr>
          <w:rFonts w:ascii="Times New Roman" w:hAnsi="Times New Roman" w:cs="Times New Roman" w:hint="eastAsia"/>
          <w:b/>
          <w:bCs/>
          <w:sz w:val="28"/>
          <w:szCs w:val="28"/>
        </w:rPr>
        <w:lastRenderedPageBreak/>
        <w:t>Supporting data</w:t>
      </w:r>
    </w:p>
    <w:p w14:paraId="79E7F59F" w14:textId="77777777" w:rsidR="009E1F78" w:rsidRPr="0021416C" w:rsidRDefault="009E1F78">
      <w:pPr>
        <w:spacing w:line="360" w:lineRule="auto"/>
        <w:rPr>
          <w:rFonts w:ascii="Times New Roman" w:hAnsi="Times New Roman" w:cs="Times New Roman"/>
          <w:b/>
          <w:bCs/>
          <w:sz w:val="28"/>
          <w:szCs w:val="28"/>
        </w:rPr>
      </w:pPr>
    </w:p>
    <w:p w14:paraId="52C6BEC9" w14:textId="1DF995E5" w:rsidR="009E1F78" w:rsidRPr="0021416C" w:rsidRDefault="00A47685" w:rsidP="004E0C7B">
      <w:pPr>
        <w:spacing w:line="360" w:lineRule="auto"/>
        <w:ind w:firstLineChars="50" w:firstLine="140"/>
        <w:rPr>
          <w:rFonts w:ascii="Times New Roman" w:hAnsi="Times New Roman" w:cs="Times New Roman"/>
          <w:b/>
          <w:bCs/>
          <w:sz w:val="28"/>
          <w:szCs w:val="28"/>
        </w:rPr>
      </w:pPr>
      <w:r>
        <w:rPr>
          <w:rFonts w:ascii="Times New Roman" w:hAnsi="Times New Roman" w:cs="Times New Roman"/>
          <w:b/>
          <w:bCs/>
          <w:noProof/>
          <w:sz w:val="28"/>
          <w:szCs w:val="28"/>
        </w:rPr>
        <w:drawing>
          <wp:inline distT="0" distB="0" distL="0" distR="0" wp14:anchorId="65E3F279" wp14:editId="11CB74B8">
            <wp:extent cx="5400000" cy="4933350"/>
            <wp:effectExtent l="0" t="0" r="0" b="635"/>
            <wp:docPr id="76080757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00000" cy="4933350"/>
                    </a:xfrm>
                    <a:prstGeom prst="rect">
                      <a:avLst/>
                    </a:prstGeom>
                    <a:noFill/>
                  </pic:spPr>
                </pic:pic>
              </a:graphicData>
            </a:graphic>
          </wp:inline>
        </w:drawing>
      </w:r>
    </w:p>
    <w:p w14:paraId="550D8E0A" w14:textId="201DC13F" w:rsidR="009E1F78" w:rsidRPr="0021416C" w:rsidRDefault="00000000">
      <w:pPr>
        <w:spacing w:line="360" w:lineRule="auto"/>
        <w:rPr>
          <w:rFonts w:ascii="Times New Roman" w:hAnsi="Times New Roman" w:cs="Times New Roman"/>
          <w:sz w:val="24"/>
          <w:szCs w:val="28"/>
        </w:rPr>
      </w:pPr>
      <w:r w:rsidRPr="0021416C">
        <w:rPr>
          <w:rFonts w:ascii="Times New Roman" w:hAnsi="Times New Roman" w:cs="Times New Roman"/>
          <w:b/>
          <w:bCs/>
          <w:sz w:val="24"/>
          <w:szCs w:val="28"/>
        </w:rPr>
        <w:t>Figure S1.</w:t>
      </w:r>
      <w:r w:rsidRPr="0021416C">
        <w:rPr>
          <w:rFonts w:ascii="Times New Roman" w:hAnsi="Times New Roman" w:cs="Times New Roman"/>
          <w:sz w:val="24"/>
          <w:szCs w:val="28"/>
        </w:rPr>
        <w:t xml:space="preserve"> (A</w:t>
      </w:r>
      <w:r w:rsidR="0021416C" w:rsidRPr="0021416C">
        <w:rPr>
          <w:rFonts w:ascii="Times New Roman" w:hAnsi="Times New Roman" w:cs="Times New Roman" w:hint="eastAsia"/>
          <w:sz w:val="24"/>
          <w:szCs w:val="28"/>
        </w:rPr>
        <w:t>-B</w:t>
      </w:r>
      <w:r w:rsidRPr="0021416C">
        <w:rPr>
          <w:rFonts w:ascii="Times New Roman" w:hAnsi="Times New Roman" w:cs="Times New Roman"/>
          <w:sz w:val="24"/>
          <w:szCs w:val="28"/>
        </w:rPr>
        <w:t>)</w:t>
      </w:r>
      <w:r w:rsidR="0021416C" w:rsidRPr="0021416C">
        <w:rPr>
          <w:rFonts w:ascii="Times New Roman" w:hAnsi="Times New Roman" w:cs="Times New Roman" w:hint="eastAsia"/>
          <w:sz w:val="24"/>
          <w:szCs w:val="28"/>
        </w:rPr>
        <w:t xml:space="preserve"> </w:t>
      </w:r>
      <w:r w:rsidR="0021416C" w:rsidRPr="0021416C">
        <w:rPr>
          <w:rFonts w:ascii="Times New Roman" w:hAnsi="Times New Roman" w:cs="Times New Roman"/>
          <w:sz w:val="24"/>
          <w:szCs w:val="28"/>
        </w:rPr>
        <w:t>TEM image</w:t>
      </w:r>
      <w:r w:rsidR="0021416C" w:rsidRPr="0021416C">
        <w:rPr>
          <w:rFonts w:ascii="Times New Roman" w:hAnsi="Times New Roman" w:cs="Times New Roman" w:hint="eastAsia"/>
          <w:sz w:val="24"/>
          <w:szCs w:val="28"/>
        </w:rPr>
        <w:t xml:space="preserve"> and corresponding size distribution</w:t>
      </w:r>
      <w:r w:rsidR="0021416C" w:rsidRPr="0021416C">
        <w:rPr>
          <w:rFonts w:ascii="Times New Roman" w:hAnsi="Times New Roman" w:cs="Times New Roman"/>
          <w:sz w:val="24"/>
          <w:szCs w:val="28"/>
        </w:rPr>
        <w:t xml:space="preserve"> of BRM nanoparticles synthesized with varying Rhein: Mn</w:t>
      </w:r>
      <w:r w:rsidR="005C2CD3" w:rsidRPr="005C2CD3">
        <w:rPr>
          <w:rFonts w:ascii="Times New Roman" w:hAnsi="Times New Roman" w:cs="Times New Roman" w:hint="eastAsia"/>
          <w:sz w:val="24"/>
          <w:szCs w:val="28"/>
          <w:vertAlign w:val="superscript"/>
        </w:rPr>
        <w:t>2+</w:t>
      </w:r>
      <w:r w:rsidR="005C2CD3">
        <w:rPr>
          <w:rFonts w:ascii="Times New Roman" w:hAnsi="Times New Roman" w:cs="Times New Roman" w:hint="eastAsia"/>
          <w:sz w:val="24"/>
          <w:szCs w:val="28"/>
        </w:rPr>
        <w:t xml:space="preserve"> m</w:t>
      </w:r>
      <w:r w:rsidR="0021416C" w:rsidRPr="0021416C">
        <w:rPr>
          <w:rFonts w:ascii="Times New Roman" w:hAnsi="Times New Roman" w:cs="Times New Roman"/>
          <w:sz w:val="24"/>
          <w:szCs w:val="28"/>
        </w:rPr>
        <w:t>olar ratios</w:t>
      </w:r>
      <w:r w:rsidR="0021416C" w:rsidRPr="0021416C">
        <w:rPr>
          <w:rFonts w:ascii="Times New Roman" w:hAnsi="Times New Roman" w:cs="Times New Roman" w:hint="eastAsia"/>
          <w:sz w:val="24"/>
          <w:szCs w:val="28"/>
        </w:rPr>
        <w:t>.</w:t>
      </w:r>
      <w:r w:rsidRPr="0021416C">
        <w:rPr>
          <w:rFonts w:ascii="Times New Roman" w:hAnsi="Times New Roman" w:cs="Times New Roman"/>
          <w:sz w:val="24"/>
          <w:szCs w:val="28"/>
        </w:rPr>
        <w:t xml:space="preserve"> </w:t>
      </w:r>
      <w:r w:rsidR="0021416C" w:rsidRPr="0021416C">
        <w:rPr>
          <w:rFonts w:ascii="Times New Roman" w:hAnsi="Times New Roman" w:cs="Times New Roman"/>
          <w:sz w:val="24"/>
          <w:szCs w:val="28"/>
        </w:rPr>
        <w:t>(C)</w:t>
      </w:r>
      <w:r w:rsidR="0021416C">
        <w:rPr>
          <w:rFonts w:ascii="Times New Roman" w:hAnsi="Times New Roman" w:cs="Times New Roman" w:hint="eastAsia"/>
          <w:sz w:val="24"/>
          <w:szCs w:val="28"/>
        </w:rPr>
        <w:t xml:space="preserve"> </w:t>
      </w:r>
      <w:r w:rsidRPr="0021416C">
        <w:rPr>
          <w:rFonts w:ascii="Times New Roman" w:hAnsi="Times New Roman" w:cs="Times New Roman"/>
          <w:sz w:val="24"/>
          <w:szCs w:val="28"/>
        </w:rPr>
        <w:t>HPLC calibration curve employed to quantify the concentration of rhein in BRM. (</w:t>
      </w:r>
      <w:r w:rsidR="0021416C">
        <w:rPr>
          <w:rFonts w:ascii="Times New Roman" w:hAnsi="Times New Roman" w:cs="Times New Roman" w:hint="eastAsia"/>
          <w:sz w:val="24"/>
          <w:szCs w:val="28"/>
        </w:rPr>
        <w:t>D</w:t>
      </w:r>
      <w:r w:rsidRPr="0021416C">
        <w:rPr>
          <w:rFonts w:ascii="Times New Roman" w:hAnsi="Times New Roman" w:cs="Times New Roman"/>
          <w:sz w:val="24"/>
          <w:szCs w:val="28"/>
        </w:rPr>
        <w:t>) Temporal evolution of BRM nanoparticle size in various physiological media.</w:t>
      </w:r>
      <w:r w:rsidRPr="0021416C">
        <w:rPr>
          <w:rFonts w:ascii="Times New Roman" w:hAnsi="Times New Roman" w:cs="Times New Roman" w:hint="eastAsia"/>
          <w:sz w:val="24"/>
          <w:szCs w:val="28"/>
        </w:rPr>
        <w:t xml:space="preserve"> (E) </w:t>
      </w:r>
      <w:r w:rsidR="0021416C">
        <w:rPr>
          <w:rFonts w:ascii="Times New Roman" w:hAnsi="Times New Roman" w:cs="Times New Roman"/>
          <w:sz w:val="24"/>
          <w:szCs w:val="28"/>
        </w:rPr>
        <w:t>Encapsulation</w:t>
      </w:r>
      <w:r w:rsidRPr="0021416C">
        <w:rPr>
          <w:rFonts w:ascii="Times New Roman" w:hAnsi="Times New Roman" w:cs="Times New Roman"/>
          <w:sz w:val="24"/>
          <w:szCs w:val="28"/>
        </w:rPr>
        <w:t xml:space="preserve"> efficiency (EE%) and loading c</w:t>
      </w:r>
      <w:r w:rsidRPr="0021416C">
        <w:rPr>
          <w:rFonts w:ascii="Times New Roman" w:hAnsi="Times New Roman" w:cs="Times New Roman" w:hint="eastAsia"/>
          <w:sz w:val="24"/>
          <w:szCs w:val="28"/>
        </w:rPr>
        <w:t xml:space="preserve">ontent (LC%) of Rhein </w:t>
      </w:r>
      <w:r w:rsidRPr="0021416C">
        <w:rPr>
          <w:rFonts w:ascii="Times New Roman" w:hAnsi="Times New Roman" w:cs="Times New Roman"/>
          <w:sz w:val="24"/>
          <w:szCs w:val="28"/>
        </w:rPr>
        <w:t xml:space="preserve">of </w:t>
      </w:r>
      <w:r w:rsidR="005C2CD3">
        <w:rPr>
          <w:rFonts w:ascii="Times New Roman" w:hAnsi="Times New Roman" w:cs="Times New Roman" w:hint="eastAsia"/>
          <w:sz w:val="24"/>
          <w:szCs w:val="28"/>
        </w:rPr>
        <w:t xml:space="preserve">BRM </w:t>
      </w:r>
      <w:r w:rsidRPr="0021416C">
        <w:rPr>
          <w:rFonts w:ascii="Times New Roman" w:hAnsi="Times New Roman" w:cs="Times New Roman"/>
          <w:sz w:val="24"/>
          <w:szCs w:val="28"/>
        </w:rPr>
        <w:t>nanoparticles at molar ratios of 0.5:1, 1:1, 2:1, and 3:1.</w:t>
      </w:r>
    </w:p>
    <w:p w14:paraId="040F0A4D" w14:textId="77777777" w:rsidR="009E1F78" w:rsidRPr="0021416C" w:rsidRDefault="009E1F78">
      <w:pPr>
        <w:spacing w:line="360" w:lineRule="auto"/>
        <w:rPr>
          <w:rFonts w:ascii="Times New Roman" w:hAnsi="Times New Roman" w:cs="Times New Roman"/>
          <w:sz w:val="24"/>
          <w:szCs w:val="28"/>
        </w:rPr>
      </w:pPr>
    </w:p>
    <w:p w14:paraId="500AD854" w14:textId="77777777" w:rsidR="009E1F78" w:rsidRPr="0021416C" w:rsidRDefault="00000000">
      <w:pPr>
        <w:spacing w:line="360" w:lineRule="auto"/>
        <w:rPr>
          <w:rFonts w:ascii="Times New Roman" w:hAnsi="Times New Roman" w:cs="Times New Roman"/>
          <w:sz w:val="24"/>
          <w:szCs w:val="28"/>
        </w:rPr>
      </w:pPr>
      <w:r w:rsidRPr="0021416C">
        <w:rPr>
          <w:rFonts w:ascii="Times New Roman" w:hAnsi="Times New Roman" w:cs="Times New Roman"/>
          <w:noProof/>
          <w:sz w:val="24"/>
          <w:szCs w:val="28"/>
        </w:rPr>
        <w:lastRenderedPageBreak/>
        <w:drawing>
          <wp:inline distT="0" distB="0" distL="0" distR="0" wp14:anchorId="35D7DE6B" wp14:editId="357C8E8E">
            <wp:extent cx="5399405" cy="5756275"/>
            <wp:effectExtent l="0" t="0" r="0" b="0"/>
            <wp:docPr id="17987118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71188" name="图片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5400000" cy="5756841"/>
                    </a:xfrm>
                    <a:prstGeom prst="rect">
                      <a:avLst/>
                    </a:prstGeom>
                    <a:noFill/>
                  </pic:spPr>
                </pic:pic>
              </a:graphicData>
            </a:graphic>
          </wp:inline>
        </w:drawing>
      </w:r>
    </w:p>
    <w:p w14:paraId="4B19FCBC" w14:textId="60B7C350" w:rsidR="009E1F78" w:rsidRPr="0021416C" w:rsidRDefault="00000000">
      <w:pPr>
        <w:spacing w:line="360" w:lineRule="auto"/>
        <w:rPr>
          <w:rFonts w:ascii="Times New Roman" w:hAnsi="Times New Roman" w:cs="Times New Roman"/>
          <w:b/>
          <w:bCs/>
          <w:sz w:val="24"/>
          <w:szCs w:val="28"/>
        </w:rPr>
      </w:pPr>
      <w:r w:rsidRPr="0021416C">
        <w:rPr>
          <w:rFonts w:ascii="Times New Roman" w:hAnsi="Times New Roman" w:cs="Times New Roman"/>
          <w:b/>
          <w:bCs/>
          <w:sz w:val="24"/>
          <w:szCs w:val="28"/>
        </w:rPr>
        <w:t>Figure S</w:t>
      </w:r>
      <w:r w:rsidRPr="0021416C">
        <w:rPr>
          <w:rFonts w:ascii="Times New Roman" w:hAnsi="Times New Roman" w:cs="Times New Roman" w:hint="eastAsia"/>
          <w:b/>
          <w:bCs/>
          <w:sz w:val="24"/>
          <w:szCs w:val="28"/>
        </w:rPr>
        <w:t>2.</w:t>
      </w:r>
      <w:r w:rsidRPr="0021416C">
        <w:rPr>
          <w:rFonts w:ascii="Times New Roman" w:hAnsi="Times New Roman" w:cs="Times New Roman"/>
          <w:sz w:val="24"/>
          <w:szCs w:val="28"/>
        </w:rPr>
        <w:t xml:space="preserve"> </w:t>
      </w:r>
      <w:r w:rsidRPr="0021416C">
        <w:rPr>
          <w:rFonts w:ascii="Times New Roman" w:hAnsi="Times New Roman" w:cs="Times New Roman" w:hint="eastAsia"/>
          <w:sz w:val="24"/>
          <w:szCs w:val="28"/>
        </w:rPr>
        <w:t xml:space="preserve">(A) BRM internalization via receptor-mediated endocytosis. Fluorescence images of CT26 cells showing the time-dependent internalization of Dio-labeled BRM (green). Pre-treatment with excess free BSA (BSA+) significantly attenuated cellular fluorescence compared to the control group (BSA-). Scale bar: 100 µm. (B) DIO-BRM co-localizes with lysosomes. Fluorescence images of CT26 cells showing the distribution of DIO-BRM (green) and lysosomes (LysoTracker Red, red) after 8 h incubation. The strong yellow signal in the merged view confirms lysosomal entrapment of DIO-BRM. Nuclei are stained with DAPI (blue). Scale bar: 20 </w:t>
      </w:r>
      <w:r w:rsidRPr="0021416C">
        <w:rPr>
          <w:rFonts w:ascii="Times New Roman" w:hAnsi="Times New Roman" w:cs="Times New Roman"/>
          <w:sz w:val="24"/>
          <w:szCs w:val="28"/>
        </w:rPr>
        <w:t>μm.</w:t>
      </w:r>
      <w:r w:rsidRPr="0021416C">
        <w:rPr>
          <w:rFonts w:ascii="Times New Roman" w:hAnsi="Times New Roman" w:cs="Times New Roman" w:hint="eastAsia"/>
          <w:sz w:val="24"/>
          <w:szCs w:val="28"/>
        </w:rPr>
        <w:t xml:space="preserve"> </w:t>
      </w:r>
      <w:r w:rsidRPr="0021416C">
        <w:rPr>
          <w:rFonts w:ascii="Times New Roman" w:hAnsi="Times New Roman" w:cs="Times New Roman"/>
          <w:sz w:val="24"/>
          <w:szCs w:val="24"/>
        </w:rPr>
        <w:t>(C-D)</w:t>
      </w:r>
      <w:r w:rsidRPr="0021416C">
        <w:rPr>
          <w:rFonts w:ascii="Times New Roman" w:hAnsi="Times New Roman" w:cs="Times New Roman" w:hint="eastAsia"/>
          <w:sz w:val="24"/>
          <w:szCs w:val="24"/>
        </w:rPr>
        <w:t xml:space="preserve"> </w:t>
      </w:r>
      <w:r w:rsidRPr="0021416C">
        <w:rPr>
          <w:rFonts w:ascii="Times New Roman" w:hAnsi="Times New Roman" w:cs="Times New Roman"/>
          <w:sz w:val="24"/>
          <w:szCs w:val="24"/>
        </w:rPr>
        <w:t>Flow cytometry analysis of intracellular ROS levels</w:t>
      </w:r>
      <w:r w:rsidRPr="0021416C">
        <w:rPr>
          <w:rFonts w:ascii="Times New Roman" w:hAnsi="Times New Roman" w:cs="Times New Roman" w:hint="eastAsia"/>
          <w:sz w:val="24"/>
          <w:szCs w:val="24"/>
        </w:rPr>
        <w:t xml:space="preserve"> </w:t>
      </w:r>
      <w:r w:rsidRPr="0021416C">
        <w:rPr>
          <w:rFonts w:ascii="Times New Roman" w:hAnsi="Times New Roman" w:cs="Times New Roman"/>
          <w:sz w:val="24"/>
          <w:szCs w:val="24"/>
        </w:rPr>
        <w:t>(C) in CT26 cells treated with CTL, BRM, free Rhein + Mn</w:t>
      </w:r>
      <w:r w:rsidRPr="003001C0">
        <w:rPr>
          <w:rFonts w:ascii="Times New Roman" w:hAnsi="Times New Roman" w:cs="Times New Roman"/>
          <w:sz w:val="24"/>
          <w:szCs w:val="24"/>
          <w:vertAlign w:val="superscript"/>
        </w:rPr>
        <w:t>2+</w:t>
      </w:r>
      <w:r w:rsidRPr="0021416C">
        <w:rPr>
          <w:rFonts w:ascii="Times New Roman" w:hAnsi="Times New Roman" w:cs="Times New Roman"/>
          <w:sz w:val="24"/>
          <w:szCs w:val="24"/>
        </w:rPr>
        <w:t>, and quantitative analysis</w:t>
      </w:r>
      <w:r w:rsidRPr="0021416C">
        <w:rPr>
          <w:rFonts w:ascii="Times New Roman" w:hAnsi="Times New Roman" w:cs="Times New Roman" w:hint="eastAsia"/>
          <w:sz w:val="24"/>
          <w:szCs w:val="24"/>
        </w:rPr>
        <w:t xml:space="preserve"> </w:t>
      </w:r>
      <w:r w:rsidRPr="0021416C">
        <w:rPr>
          <w:rFonts w:ascii="Times New Roman" w:hAnsi="Times New Roman" w:cs="Times New Roman"/>
          <w:sz w:val="24"/>
          <w:szCs w:val="24"/>
        </w:rPr>
        <w:t>(D)</w:t>
      </w:r>
      <w:r w:rsidRPr="0021416C">
        <w:rPr>
          <w:rFonts w:ascii="Times New Roman" w:hAnsi="Times New Roman" w:cs="Times New Roman" w:hint="eastAsia"/>
          <w:szCs w:val="21"/>
        </w:rPr>
        <w:t xml:space="preserve"> (</w:t>
      </w:r>
      <w:r w:rsidRPr="0021416C">
        <w:rPr>
          <w:rFonts w:ascii="Times New Roman" w:hAnsi="Times New Roman" w:cs="Times New Roman"/>
          <w:i/>
          <w:iCs/>
          <w:szCs w:val="21"/>
        </w:rPr>
        <w:t>n</w:t>
      </w:r>
      <w:r w:rsidRPr="0021416C">
        <w:rPr>
          <w:rFonts w:ascii="Times New Roman" w:hAnsi="Times New Roman" w:cs="Times New Roman"/>
          <w:szCs w:val="21"/>
        </w:rPr>
        <w:t xml:space="preserve"> = </w:t>
      </w:r>
      <w:r w:rsidRPr="0021416C">
        <w:rPr>
          <w:rFonts w:ascii="Times New Roman" w:hAnsi="Times New Roman" w:cs="Times New Roman" w:hint="eastAsia"/>
          <w:szCs w:val="21"/>
        </w:rPr>
        <w:t>3)</w:t>
      </w:r>
      <w:r w:rsidRPr="0021416C">
        <w:rPr>
          <w:rFonts w:ascii="Times New Roman" w:hAnsi="Times New Roman" w:cs="Times New Roman"/>
          <w:sz w:val="24"/>
          <w:szCs w:val="24"/>
        </w:rPr>
        <w:t xml:space="preserve">. (E) Cell viability </w:t>
      </w:r>
      <w:r w:rsidRPr="0021416C">
        <w:rPr>
          <w:rFonts w:ascii="Times New Roman" w:hAnsi="Times New Roman" w:cs="Times New Roman"/>
          <w:sz w:val="24"/>
          <w:szCs w:val="24"/>
        </w:rPr>
        <w:lastRenderedPageBreak/>
        <w:t>of CT26, after 24 h treatment with CTL, BRM, free Rhein + Mn</w:t>
      </w:r>
      <w:r w:rsidRPr="0021416C">
        <w:rPr>
          <w:rFonts w:ascii="Times New Roman" w:hAnsi="Times New Roman" w:cs="Times New Roman"/>
          <w:sz w:val="24"/>
          <w:szCs w:val="24"/>
          <w:vertAlign w:val="superscript"/>
        </w:rPr>
        <w:t>2</w:t>
      </w:r>
      <w:r w:rsidRPr="0021416C">
        <w:rPr>
          <w:rFonts w:ascii="Times New Roman" w:hAnsi="Times New Roman" w:cs="Times New Roman" w:hint="eastAsia"/>
          <w:sz w:val="24"/>
          <w:szCs w:val="24"/>
          <w:vertAlign w:val="superscript"/>
        </w:rPr>
        <w:t>+</w:t>
      </w:r>
      <w:r w:rsidRPr="0021416C">
        <w:rPr>
          <w:rFonts w:ascii="Times New Roman" w:hAnsi="Times New Roman" w:cs="Times New Roman" w:hint="eastAsia"/>
          <w:sz w:val="24"/>
          <w:szCs w:val="24"/>
        </w:rPr>
        <w:t xml:space="preserve"> </w:t>
      </w:r>
      <w:r w:rsidRPr="0021416C">
        <w:rPr>
          <w:rFonts w:ascii="Times New Roman" w:hAnsi="Times New Roman" w:cs="Times New Roman"/>
          <w:sz w:val="24"/>
          <w:szCs w:val="24"/>
        </w:rPr>
        <w:t>at indicated concentrations, determined by CCK-8 assay. Data are presented as mean ± SD (</w:t>
      </w:r>
      <w:r w:rsidRPr="0021416C">
        <w:rPr>
          <w:rFonts w:ascii="Times New Roman" w:hAnsi="Times New Roman" w:cs="Times New Roman"/>
          <w:i/>
          <w:iCs/>
          <w:sz w:val="24"/>
          <w:szCs w:val="24"/>
        </w:rPr>
        <w:t>n</w:t>
      </w:r>
      <w:r w:rsidRPr="0021416C">
        <w:rPr>
          <w:rFonts w:ascii="Times New Roman" w:hAnsi="Times New Roman" w:cs="Times New Roman"/>
          <w:sz w:val="24"/>
          <w:szCs w:val="24"/>
        </w:rPr>
        <w:t xml:space="preserve"> = 4). </w:t>
      </w:r>
      <w:r w:rsidRPr="0021416C">
        <w:rPr>
          <w:rFonts w:ascii="Times New Roman" w:hAnsi="Times New Roman" w:cs="Times New Roman"/>
          <w:sz w:val="24"/>
          <w:szCs w:val="28"/>
        </w:rPr>
        <w:t>(</w:t>
      </w:r>
      <w:r w:rsidRPr="0021416C">
        <w:rPr>
          <w:rFonts w:ascii="Times New Roman" w:hAnsi="Times New Roman" w:cs="Times New Roman" w:hint="eastAsia"/>
          <w:sz w:val="24"/>
          <w:szCs w:val="28"/>
        </w:rPr>
        <w:t>F-G</w:t>
      </w:r>
      <w:r w:rsidRPr="0021416C">
        <w:rPr>
          <w:rFonts w:ascii="Times New Roman" w:hAnsi="Times New Roman" w:cs="Times New Roman"/>
          <w:sz w:val="24"/>
          <w:szCs w:val="28"/>
        </w:rPr>
        <w:t xml:space="preserve">) Cell viability of 293T, </w:t>
      </w:r>
      <w:r w:rsidR="009C0B85" w:rsidRPr="0021416C">
        <w:rPr>
          <w:rFonts w:ascii="Times New Roman" w:hAnsi="Times New Roman" w:cs="Times New Roman"/>
          <w:sz w:val="24"/>
          <w:szCs w:val="28"/>
        </w:rPr>
        <w:t>NCM46</w:t>
      </w:r>
      <w:r w:rsidR="009C0B85">
        <w:rPr>
          <w:rFonts w:ascii="Times New Roman" w:hAnsi="Times New Roman" w:cs="Times New Roman" w:hint="eastAsia"/>
          <w:sz w:val="24"/>
          <w:szCs w:val="28"/>
        </w:rPr>
        <w:t>0</w:t>
      </w:r>
      <w:r w:rsidR="009C0B85" w:rsidRPr="0021416C">
        <w:rPr>
          <w:rFonts w:ascii="Times New Roman" w:hAnsi="Times New Roman" w:cs="Times New Roman"/>
          <w:sz w:val="24"/>
          <w:szCs w:val="28"/>
        </w:rPr>
        <w:t xml:space="preserve"> </w:t>
      </w:r>
      <w:r w:rsidRPr="0021416C">
        <w:rPr>
          <w:rFonts w:ascii="Times New Roman" w:hAnsi="Times New Roman" w:cs="Times New Roman"/>
          <w:sz w:val="24"/>
          <w:szCs w:val="28"/>
        </w:rPr>
        <w:t>cells after 24 h treatment with free Rhein, RM, or BRM at indicated concentrations, determined by CCK-8 assay. Data are presented as mean ± SD (</w:t>
      </w:r>
      <w:r w:rsidRPr="0021416C">
        <w:rPr>
          <w:rFonts w:ascii="Times New Roman" w:hAnsi="Times New Roman" w:cs="Times New Roman"/>
          <w:i/>
          <w:iCs/>
          <w:sz w:val="24"/>
          <w:szCs w:val="28"/>
        </w:rPr>
        <w:t>n</w:t>
      </w:r>
      <w:r w:rsidRPr="0021416C">
        <w:rPr>
          <w:rFonts w:ascii="Times New Roman" w:hAnsi="Times New Roman" w:cs="Times New Roman"/>
          <w:sz w:val="24"/>
          <w:szCs w:val="28"/>
        </w:rPr>
        <w:t xml:space="preserve"> = </w:t>
      </w:r>
      <w:r w:rsidRPr="0021416C">
        <w:rPr>
          <w:rFonts w:ascii="Times New Roman" w:hAnsi="Times New Roman" w:cs="Times New Roman" w:hint="eastAsia"/>
          <w:sz w:val="24"/>
          <w:szCs w:val="28"/>
        </w:rPr>
        <w:t>4</w:t>
      </w:r>
      <w:r w:rsidRPr="0021416C">
        <w:rPr>
          <w:rFonts w:ascii="Times New Roman" w:hAnsi="Times New Roman" w:cs="Times New Roman"/>
          <w:sz w:val="24"/>
          <w:szCs w:val="28"/>
        </w:rPr>
        <w:t>). (</w:t>
      </w:r>
      <w:r w:rsidRPr="0021416C">
        <w:rPr>
          <w:rFonts w:ascii="Times New Roman" w:hAnsi="Times New Roman" w:cs="Times New Roman" w:hint="eastAsia"/>
          <w:sz w:val="24"/>
          <w:szCs w:val="28"/>
        </w:rPr>
        <w:t>H</w:t>
      </w:r>
      <w:r w:rsidRPr="0021416C">
        <w:rPr>
          <w:rFonts w:ascii="Times New Roman" w:hAnsi="Times New Roman" w:cs="Times New Roman"/>
          <w:sz w:val="24"/>
          <w:szCs w:val="28"/>
        </w:rPr>
        <w:t>) Summary table of the half-maximal inhibitory concentration (IC</w:t>
      </w:r>
      <w:r w:rsidRPr="0021416C">
        <w:rPr>
          <w:rFonts w:ascii="Times New Roman" w:hAnsi="Times New Roman" w:cs="Times New Roman"/>
          <w:sz w:val="24"/>
          <w:szCs w:val="28"/>
          <w:vertAlign w:val="subscript"/>
        </w:rPr>
        <w:t>50</w:t>
      </w:r>
      <w:r w:rsidRPr="0021416C">
        <w:rPr>
          <w:rFonts w:ascii="Times New Roman" w:hAnsi="Times New Roman" w:cs="Times New Roman"/>
          <w:sz w:val="24"/>
          <w:szCs w:val="28"/>
        </w:rPr>
        <w:t>) values for different treatments across various cell lines, including mouse and human colorectal cancer cells as well as normal cells.</w:t>
      </w:r>
      <w:r w:rsidRPr="0021416C">
        <w:rPr>
          <w:rFonts w:ascii="Times New Roman" w:hAnsi="Times New Roman" w:cs="Times New Roman" w:hint="eastAsia"/>
          <w:sz w:val="24"/>
          <w:szCs w:val="28"/>
        </w:rPr>
        <w:t xml:space="preserve"> (</w:t>
      </w:r>
      <w:r w:rsidRPr="0021416C">
        <w:rPr>
          <w:rFonts w:ascii="Times New Roman" w:hAnsi="Times New Roman" w:cs="Times New Roman"/>
          <w:sz w:val="24"/>
          <w:szCs w:val="24"/>
        </w:rPr>
        <w:t xml:space="preserve">*, </w:t>
      </w:r>
      <w:r w:rsidRPr="0021416C">
        <w:rPr>
          <w:rFonts w:ascii="Times New Roman" w:hAnsi="Times New Roman" w:cs="Times New Roman"/>
          <w:i/>
          <w:iCs/>
          <w:sz w:val="24"/>
          <w:szCs w:val="24"/>
        </w:rPr>
        <w:t>P</w:t>
      </w:r>
      <w:r w:rsidRPr="0021416C">
        <w:rPr>
          <w:rFonts w:ascii="Times New Roman" w:hAnsi="Times New Roman" w:cs="Times New Roman"/>
          <w:sz w:val="24"/>
          <w:szCs w:val="24"/>
        </w:rPr>
        <w:t xml:space="preserve"> &lt; 0.05; **, </w:t>
      </w:r>
      <w:r w:rsidRPr="0021416C">
        <w:rPr>
          <w:rFonts w:ascii="Times New Roman" w:hAnsi="Times New Roman" w:cs="Times New Roman"/>
          <w:i/>
          <w:iCs/>
          <w:sz w:val="24"/>
          <w:szCs w:val="24"/>
        </w:rPr>
        <w:t>P</w:t>
      </w:r>
      <w:r w:rsidRPr="0021416C">
        <w:rPr>
          <w:rFonts w:ascii="Times New Roman" w:hAnsi="Times New Roman" w:cs="Times New Roman"/>
          <w:sz w:val="24"/>
          <w:szCs w:val="24"/>
        </w:rPr>
        <w:t xml:space="preserve"> &lt; 0.01; ***, </w:t>
      </w:r>
      <w:r w:rsidRPr="0021416C">
        <w:rPr>
          <w:rFonts w:ascii="Times New Roman" w:hAnsi="Times New Roman" w:cs="Times New Roman"/>
          <w:i/>
          <w:iCs/>
          <w:sz w:val="24"/>
          <w:szCs w:val="24"/>
        </w:rPr>
        <w:t>P</w:t>
      </w:r>
      <w:r w:rsidRPr="0021416C">
        <w:rPr>
          <w:rFonts w:ascii="Times New Roman" w:hAnsi="Times New Roman" w:cs="Times New Roman"/>
          <w:sz w:val="24"/>
          <w:szCs w:val="24"/>
        </w:rPr>
        <w:t xml:space="preserve"> &lt; 0.001; ****, </w:t>
      </w:r>
      <w:r w:rsidRPr="0021416C">
        <w:rPr>
          <w:rFonts w:ascii="Times New Roman" w:hAnsi="Times New Roman" w:cs="Times New Roman"/>
          <w:i/>
          <w:iCs/>
          <w:sz w:val="24"/>
          <w:szCs w:val="24"/>
        </w:rPr>
        <w:t>P</w:t>
      </w:r>
      <w:r w:rsidRPr="0021416C">
        <w:rPr>
          <w:rFonts w:ascii="Times New Roman" w:hAnsi="Times New Roman" w:cs="Times New Roman"/>
          <w:sz w:val="24"/>
          <w:szCs w:val="24"/>
        </w:rPr>
        <w:t xml:space="preserve"> &lt; 0.0001; ns, not significant; Ordinary one-</w:t>
      </w:r>
      <w:r w:rsidRPr="0021416C">
        <w:rPr>
          <w:rFonts w:ascii="Times New Roman" w:hAnsi="Times New Roman" w:cs="Times New Roman" w:hint="eastAsia"/>
          <w:sz w:val="24"/>
          <w:szCs w:val="24"/>
        </w:rPr>
        <w:t>way ANOVA).</w:t>
      </w:r>
    </w:p>
    <w:p w14:paraId="69679C96" w14:textId="6FFFF63A" w:rsidR="007058A7" w:rsidRDefault="007058A7">
      <w:pPr>
        <w:spacing w:line="360" w:lineRule="auto"/>
        <w:rPr>
          <w:rFonts w:ascii="Times New Roman" w:hAnsi="Times New Roman" w:cs="Times New Roman"/>
          <w:noProof/>
        </w:rPr>
      </w:pPr>
      <w:r>
        <w:rPr>
          <w:rFonts w:ascii="Times New Roman" w:hAnsi="Times New Roman" w:cs="Times New Roman"/>
          <w:noProof/>
        </w:rPr>
        <w:drawing>
          <wp:inline distT="0" distB="0" distL="0" distR="0" wp14:anchorId="1C10E91E" wp14:editId="033BF332">
            <wp:extent cx="5400000" cy="3267820"/>
            <wp:effectExtent l="0" t="0" r="0" b="8890"/>
            <wp:docPr id="190086473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00000" cy="3267820"/>
                    </a:xfrm>
                    <a:prstGeom prst="rect">
                      <a:avLst/>
                    </a:prstGeom>
                    <a:noFill/>
                  </pic:spPr>
                </pic:pic>
              </a:graphicData>
            </a:graphic>
          </wp:inline>
        </w:drawing>
      </w:r>
    </w:p>
    <w:p w14:paraId="3F01998E" w14:textId="62476E84" w:rsidR="009E1F78" w:rsidRPr="0021416C" w:rsidRDefault="00000000">
      <w:pPr>
        <w:spacing w:line="360" w:lineRule="auto"/>
        <w:rPr>
          <w:rFonts w:ascii="Times New Roman" w:hAnsi="Times New Roman" w:cs="Times New Roman"/>
          <w:sz w:val="24"/>
          <w:szCs w:val="28"/>
        </w:rPr>
      </w:pPr>
      <w:r w:rsidRPr="0021416C">
        <w:rPr>
          <w:rFonts w:ascii="Times New Roman" w:hAnsi="Times New Roman" w:cs="Times New Roman"/>
          <w:b/>
          <w:bCs/>
          <w:sz w:val="24"/>
          <w:szCs w:val="28"/>
        </w:rPr>
        <w:t>Figure S</w:t>
      </w:r>
      <w:r w:rsidRPr="0021416C">
        <w:rPr>
          <w:rFonts w:ascii="Times New Roman" w:hAnsi="Times New Roman" w:cs="Times New Roman" w:hint="eastAsia"/>
          <w:b/>
          <w:bCs/>
          <w:sz w:val="24"/>
          <w:szCs w:val="28"/>
        </w:rPr>
        <w:t>3.</w:t>
      </w:r>
      <w:r w:rsidRPr="0021416C">
        <w:rPr>
          <w:rFonts w:ascii="Times New Roman" w:hAnsi="Times New Roman" w:cs="Times New Roman"/>
          <w:sz w:val="24"/>
          <w:szCs w:val="28"/>
        </w:rPr>
        <w:t xml:space="preserve"> (A)</w:t>
      </w:r>
      <w:r w:rsidRPr="0021416C">
        <w:rPr>
          <w:rFonts w:ascii="Times New Roman" w:hAnsi="Times New Roman" w:cs="Times New Roman" w:hint="eastAsia"/>
          <w:sz w:val="24"/>
          <w:szCs w:val="28"/>
        </w:rPr>
        <w:t xml:space="preserve"> Heatmap displaying expression patterns of genes associated with </w:t>
      </w:r>
      <w:r w:rsidRPr="0021416C">
        <w:rPr>
          <w:rFonts w:ascii="Times New Roman" w:hAnsi="Times New Roman" w:cs="Times New Roman"/>
          <w:sz w:val="24"/>
          <w:szCs w:val="24"/>
        </w:rPr>
        <w:t>the oxidative phosphorylation pathway</w:t>
      </w:r>
      <w:r w:rsidRPr="0021416C">
        <w:rPr>
          <w:rFonts w:ascii="Times New Roman" w:hAnsi="Times New Roman" w:cs="Times New Roman" w:hint="eastAsia"/>
          <w:sz w:val="24"/>
          <w:szCs w:val="28"/>
        </w:rPr>
        <w:t xml:space="preserve"> across different treatment groups.</w:t>
      </w:r>
      <w:r w:rsidRPr="0021416C">
        <w:rPr>
          <w:rFonts w:ascii="Times New Roman" w:hAnsi="Times New Roman" w:cs="Times New Roman"/>
          <w:sz w:val="24"/>
          <w:szCs w:val="28"/>
        </w:rPr>
        <w:t xml:space="preserve"> (</w:t>
      </w:r>
      <w:r w:rsidRPr="0021416C">
        <w:rPr>
          <w:rFonts w:ascii="Times New Roman" w:hAnsi="Times New Roman" w:cs="Times New Roman" w:hint="eastAsia"/>
          <w:sz w:val="24"/>
          <w:szCs w:val="28"/>
        </w:rPr>
        <w:t>B</w:t>
      </w:r>
      <w:r w:rsidRPr="0021416C">
        <w:rPr>
          <w:rFonts w:ascii="Times New Roman" w:hAnsi="Times New Roman" w:cs="Times New Roman"/>
          <w:sz w:val="24"/>
          <w:szCs w:val="28"/>
        </w:rPr>
        <w:t>)</w:t>
      </w:r>
      <w:r w:rsidRPr="0021416C">
        <w:rPr>
          <w:rFonts w:ascii="Times New Roman" w:hAnsi="Times New Roman" w:cs="Times New Roman" w:hint="eastAsia"/>
          <w:sz w:val="24"/>
          <w:szCs w:val="28"/>
        </w:rPr>
        <w:t xml:space="preserve"> Mitochondrial pathway enrichment analysis using the MitoCarta database.</w:t>
      </w:r>
    </w:p>
    <w:p w14:paraId="3B6CAD96" w14:textId="77777777" w:rsidR="009E1F78" w:rsidRPr="0021416C" w:rsidRDefault="009E1F78">
      <w:pPr>
        <w:spacing w:line="360" w:lineRule="auto"/>
        <w:rPr>
          <w:rFonts w:ascii="Times New Roman" w:hAnsi="Times New Roman" w:cs="Times New Roman"/>
          <w:sz w:val="24"/>
          <w:szCs w:val="28"/>
        </w:rPr>
      </w:pPr>
    </w:p>
    <w:p w14:paraId="534C1487" w14:textId="77777777" w:rsidR="009E1F78" w:rsidRPr="0021416C" w:rsidRDefault="00000000">
      <w:pPr>
        <w:spacing w:line="360" w:lineRule="auto"/>
        <w:rPr>
          <w:rFonts w:ascii="Times New Roman" w:hAnsi="Times New Roman" w:cs="Times New Roman"/>
        </w:rPr>
      </w:pPr>
      <w:r w:rsidRPr="0021416C">
        <w:rPr>
          <w:rFonts w:ascii="Times New Roman" w:hAnsi="Times New Roman" w:cs="Times New Roman"/>
          <w:noProof/>
        </w:rPr>
        <w:lastRenderedPageBreak/>
        <w:drawing>
          <wp:inline distT="0" distB="0" distL="0" distR="0" wp14:anchorId="63AC86F8" wp14:editId="6CC2C436">
            <wp:extent cx="5399405" cy="3241040"/>
            <wp:effectExtent l="0" t="0" r="0" b="0"/>
            <wp:docPr id="159248142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2481426" name="图片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5400000" cy="3241077"/>
                    </a:xfrm>
                    <a:prstGeom prst="rect">
                      <a:avLst/>
                    </a:prstGeom>
                    <a:noFill/>
                  </pic:spPr>
                </pic:pic>
              </a:graphicData>
            </a:graphic>
          </wp:inline>
        </w:drawing>
      </w:r>
    </w:p>
    <w:p w14:paraId="0F77D326" w14:textId="0A086DE8" w:rsidR="009E1F78" w:rsidRPr="0021416C" w:rsidRDefault="00000000" w:rsidP="00394D8B">
      <w:pPr>
        <w:adjustRightInd w:val="0"/>
        <w:spacing w:line="360" w:lineRule="auto"/>
        <w:contextualSpacing/>
        <w:rPr>
          <w:rFonts w:ascii="Times New Roman" w:hAnsi="Times New Roman" w:cs="Times New Roman"/>
          <w:sz w:val="24"/>
          <w:szCs w:val="24"/>
        </w:rPr>
      </w:pPr>
      <w:r w:rsidRPr="0021416C">
        <w:rPr>
          <w:rFonts w:ascii="Times New Roman" w:hAnsi="Times New Roman" w:cs="Times New Roman"/>
          <w:b/>
          <w:bCs/>
          <w:sz w:val="24"/>
          <w:szCs w:val="28"/>
        </w:rPr>
        <w:t>Figure S</w:t>
      </w:r>
      <w:r w:rsidRPr="0021416C">
        <w:rPr>
          <w:rFonts w:ascii="Times New Roman" w:hAnsi="Times New Roman" w:cs="Times New Roman" w:hint="eastAsia"/>
          <w:b/>
          <w:bCs/>
          <w:sz w:val="24"/>
          <w:szCs w:val="28"/>
        </w:rPr>
        <w:t>4.</w:t>
      </w:r>
      <w:r w:rsidRPr="0021416C">
        <w:rPr>
          <w:rFonts w:ascii="Times New Roman" w:hAnsi="Times New Roman" w:cs="Times New Roman"/>
          <w:sz w:val="24"/>
          <w:szCs w:val="28"/>
        </w:rPr>
        <w:t xml:space="preserve"> (A) Relative luciferase activity of NF-κB p65 promoter in CT26 cells treated with control, free Rhein, Mn</w:t>
      </w:r>
      <w:r w:rsidRPr="0021416C">
        <w:rPr>
          <w:rFonts w:ascii="Times New Roman" w:hAnsi="Times New Roman" w:cs="Times New Roman" w:hint="eastAsia"/>
          <w:sz w:val="24"/>
          <w:szCs w:val="28"/>
          <w:vertAlign w:val="superscript"/>
        </w:rPr>
        <w:t>2+</w:t>
      </w:r>
      <w:r w:rsidRPr="0021416C">
        <w:rPr>
          <w:rFonts w:ascii="Times New Roman" w:hAnsi="Times New Roman" w:cs="Times New Roman"/>
          <w:sz w:val="24"/>
          <w:szCs w:val="28"/>
        </w:rPr>
        <w:t xml:space="preserve"> (</w:t>
      </w:r>
      <w:r w:rsidRPr="0021416C">
        <w:rPr>
          <w:rFonts w:ascii="Times New Roman" w:hAnsi="Times New Roman" w:cs="Times New Roman" w:hint="eastAsia"/>
          <w:sz w:val="24"/>
          <w:szCs w:val="28"/>
        </w:rPr>
        <w:t>50 and 100</w:t>
      </w:r>
      <w:r w:rsidRPr="0021416C">
        <w:rPr>
          <w:rFonts w:ascii="Times New Roman" w:hAnsi="Times New Roman" w:cs="Times New Roman"/>
          <w:sz w:val="24"/>
          <w:szCs w:val="28"/>
        </w:rPr>
        <w:t xml:space="preserve"> μM, 12 h) (</w:t>
      </w:r>
      <w:r w:rsidRPr="0021416C">
        <w:rPr>
          <w:rFonts w:ascii="Times New Roman" w:hAnsi="Times New Roman" w:cs="Times New Roman"/>
          <w:i/>
          <w:iCs/>
          <w:sz w:val="24"/>
          <w:szCs w:val="28"/>
        </w:rPr>
        <w:t>n</w:t>
      </w:r>
      <w:r w:rsidRPr="0021416C">
        <w:rPr>
          <w:rFonts w:ascii="Times New Roman" w:hAnsi="Times New Roman" w:cs="Times New Roman"/>
          <w:sz w:val="24"/>
          <w:szCs w:val="28"/>
        </w:rPr>
        <w:t xml:space="preserve"> = </w:t>
      </w:r>
      <w:r w:rsidRPr="0021416C">
        <w:rPr>
          <w:rFonts w:ascii="Times New Roman" w:hAnsi="Times New Roman" w:cs="Times New Roman" w:hint="eastAsia"/>
          <w:sz w:val="24"/>
          <w:szCs w:val="28"/>
        </w:rPr>
        <w:t>3</w:t>
      </w:r>
      <w:r w:rsidRPr="0021416C">
        <w:rPr>
          <w:rFonts w:ascii="Times New Roman" w:hAnsi="Times New Roman" w:cs="Times New Roman"/>
          <w:sz w:val="24"/>
          <w:szCs w:val="28"/>
        </w:rPr>
        <w:t>).</w:t>
      </w:r>
      <w:r w:rsidRPr="0021416C">
        <w:rPr>
          <w:rFonts w:ascii="Times New Roman" w:hAnsi="Times New Roman" w:cs="Times New Roman" w:hint="eastAsia"/>
          <w:sz w:val="24"/>
          <w:szCs w:val="28"/>
        </w:rPr>
        <w:t xml:space="preserve"> (B-C) </w:t>
      </w:r>
      <w:r w:rsidRPr="0021416C">
        <w:rPr>
          <w:rFonts w:ascii="Times New Roman" w:hAnsi="Times New Roman" w:cs="Times New Roman"/>
          <w:sz w:val="24"/>
          <w:szCs w:val="28"/>
        </w:rPr>
        <w:t xml:space="preserve">Relative mRNA expression levels of NF-κB-regulated genes in CT26 cells after various treatments (25 μM, 6 h), measured by RT‑qPCR: </w:t>
      </w:r>
      <w:r w:rsidRPr="0021416C">
        <w:rPr>
          <w:rFonts w:ascii="Times New Roman" w:hAnsi="Times New Roman" w:cs="Times New Roman" w:hint="eastAsia"/>
          <w:sz w:val="24"/>
          <w:szCs w:val="28"/>
        </w:rPr>
        <w:t>STING</w:t>
      </w:r>
      <w:r w:rsidRPr="0021416C">
        <w:rPr>
          <w:rFonts w:ascii="Times New Roman" w:hAnsi="Times New Roman" w:cs="Times New Roman"/>
          <w:sz w:val="24"/>
          <w:szCs w:val="28"/>
        </w:rPr>
        <w:t>(</w:t>
      </w:r>
      <w:r w:rsidRPr="0021416C">
        <w:rPr>
          <w:rFonts w:ascii="Times New Roman" w:hAnsi="Times New Roman" w:cs="Times New Roman" w:hint="eastAsia"/>
          <w:sz w:val="24"/>
          <w:szCs w:val="28"/>
        </w:rPr>
        <w:t>B</w:t>
      </w:r>
      <w:r w:rsidRPr="0021416C">
        <w:rPr>
          <w:rFonts w:ascii="Times New Roman" w:hAnsi="Times New Roman" w:cs="Times New Roman"/>
          <w:sz w:val="24"/>
          <w:szCs w:val="28"/>
        </w:rPr>
        <w:t xml:space="preserve">), </w:t>
      </w:r>
      <w:r w:rsidRPr="0021416C">
        <w:rPr>
          <w:rFonts w:ascii="Times New Roman" w:hAnsi="Times New Roman" w:cs="Times New Roman" w:hint="eastAsia"/>
          <w:sz w:val="24"/>
          <w:szCs w:val="28"/>
        </w:rPr>
        <w:t>cGAS</w:t>
      </w:r>
      <w:r w:rsidRPr="0021416C">
        <w:rPr>
          <w:rFonts w:ascii="Times New Roman" w:hAnsi="Times New Roman" w:cs="Times New Roman"/>
          <w:sz w:val="24"/>
          <w:szCs w:val="28"/>
        </w:rPr>
        <w:t>(</w:t>
      </w:r>
      <w:r w:rsidRPr="0021416C">
        <w:rPr>
          <w:rFonts w:ascii="Times New Roman" w:hAnsi="Times New Roman" w:cs="Times New Roman" w:hint="eastAsia"/>
          <w:sz w:val="24"/>
          <w:szCs w:val="28"/>
        </w:rPr>
        <w:t>C</w:t>
      </w:r>
      <w:r w:rsidRPr="0021416C">
        <w:rPr>
          <w:rFonts w:ascii="Times New Roman" w:hAnsi="Times New Roman" w:cs="Times New Roman"/>
          <w:sz w:val="24"/>
          <w:szCs w:val="28"/>
        </w:rPr>
        <w:t>) (</w:t>
      </w:r>
      <w:r w:rsidRPr="0021416C">
        <w:rPr>
          <w:rFonts w:ascii="Times New Roman" w:hAnsi="Times New Roman" w:cs="Times New Roman"/>
          <w:i/>
          <w:iCs/>
          <w:sz w:val="24"/>
          <w:szCs w:val="28"/>
        </w:rPr>
        <w:t>n</w:t>
      </w:r>
      <w:r w:rsidRPr="0021416C">
        <w:rPr>
          <w:rFonts w:ascii="Times New Roman" w:hAnsi="Times New Roman" w:cs="Times New Roman"/>
          <w:sz w:val="24"/>
          <w:szCs w:val="28"/>
        </w:rPr>
        <w:t xml:space="preserve"> = </w:t>
      </w:r>
      <w:r w:rsidRPr="0021416C">
        <w:rPr>
          <w:rFonts w:ascii="Times New Roman" w:hAnsi="Times New Roman" w:cs="Times New Roman" w:hint="eastAsia"/>
          <w:sz w:val="24"/>
          <w:szCs w:val="28"/>
        </w:rPr>
        <w:t>4</w:t>
      </w:r>
      <w:r w:rsidRPr="0021416C">
        <w:rPr>
          <w:rFonts w:ascii="Times New Roman" w:hAnsi="Times New Roman" w:cs="Times New Roman"/>
          <w:sz w:val="24"/>
          <w:szCs w:val="28"/>
        </w:rPr>
        <w:t>)</w:t>
      </w:r>
      <w:r w:rsidRPr="0021416C">
        <w:rPr>
          <w:rFonts w:ascii="Times New Roman" w:hAnsi="Times New Roman" w:cs="Times New Roman" w:hint="eastAsia"/>
          <w:sz w:val="24"/>
          <w:szCs w:val="28"/>
        </w:rPr>
        <w:t>.</w:t>
      </w:r>
      <w:r w:rsidRPr="0021416C">
        <w:rPr>
          <w:rFonts w:ascii="Times New Roman" w:hAnsi="Times New Roman" w:cs="Times New Roman"/>
          <w:sz w:val="24"/>
          <w:szCs w:val="24"/>
        </w:rPr>
        <w:t xml:space="preserve"> </w:t>
      </w:r>
      <w:r w:rsidRPr="0021416C">
        <w:rPr>
          <w:rFonts w:ascii="Times New Roman" w:hAnsi="Times New Roman" w:cs="Times New Roman"/>
          <w:sz w:val="24"/>
          <w:szCs w:val="28"/>
        </w:rPr>
        <w:t>Data are presented as mean ± SD</w:t>
      </w:r>
      <w:r w:rsidRPr="0021416C">
        <w:rPr>
          <w:rFonts w:ascii="Times New Roman" w:hAnsi="Times New Roman" w:cs="Times New Roman" w:hint="eastAsia"/>
          <w:sz w:val="24"/>
          <w:szCs w:val="28"/>
        </w:rPr>
        <w:t>.</w:t>
      </w:r>
      <w:r w:rsidRPr="0021416C">
        <w:rPr>
          <w:rFonts w:ascii="Times New Roman" w:hAnsi="Times New Roman" w:cs="Times New Roman"/>
          <w:sz w:val="24"/>
          <w:szCs w:val="28"/>
        </w:rPr>
        <w:t xml:space="preserve"> </w:t>
      </w:r>
      <w:r w:rsidRPr="0021416C">
        <w:rPr>
          <w:rFonts w:ascii="Times New Roman" w:hAnsi="Times New Roman" w:cs="Times New Roman" w:hint="eastAsia"/>
          <w:sz w:val="24"/>
          <w:szCs w:val="28"/>
        </w:rPr>
        <w:t>(</w:t>
      </w:r>
      <w:r w:rsidRPr="0021416C">
        <w:rPr>
          <w:rFonts w:ascii="Times New Roman" w:hAnsi="Times New Roman" w:cs="Times New Roman"/>
          <w:sz w:val="24"/>
          <w:szCs w:val="24"/>
        </w:rPr>
        <w:t xml:space="preserve">*, </w:t>
      </w:r>
      <w:r w:rsidRPr="0021416C">
        <w:rPr>
          <w:rFonts w:ascii="Times New Roman" w:hAnsi="Times New Roman" w:cs="Times New Roman"/>
          <w:i/>
          <w:iCs/>
          <w:sz w:val="24"/>
          <w:szCs w:val="24"/>
        </w:rPr>
        <w:t>P</w:t>
      </w:r>
      <w:r w:rsidRPr="0021416C">
        <w:rPr>
          <w:rFonts w:ascii="Times New Roman" w:hAnsi="Times New Roman" w:cs="Times New Roman"/>
          <w:sz w:val="24"/>
          <w:szCs w:val="24"/>
        </w:rPr>
        <w:t xml:space="preserve"> &lt; 0.05; **, </w:t>
      </w:r>
      <w:r w:rsidRPr="0021416C">
        <w:rPr>
          <w:rFonts w:ascii="Times New Roman" w:hAnsi="Times New Roman" w:cs="Times New Roman"/>
          <w:i/>
          <w:iCs/>
          <w:sz w:val="24"/>
          <w:szCs w:val="24"/>
        </w:rPr>
        <w:t>P</w:t>
      </w:r>
      <w:r w:rsidRPr="0021416C">
        <w:rPr>
          <w:rFonts w:ascii="Times New Roman" w:hAnsi="Times New Roman" w:cs="Times New Roman"/>
          <w:sz w:val="24"/>
          <w:szCs w:val="24"/>
        </w:rPr>
        <w:t xml:space="preserve"> &lt; 0.01; ***, </w:t>
      </w:r>
      <w:r w:rsidRPr="0021416C">
        <w:rPr>
          <w:rFonts w:ascii="Times New Roman" w:hAnsi="Times New Roman" w:cs="Times New Roman"/>
          <w:i/>
          <w:iCs/>
          <w:sz w:val="24"/>
          <w:szCs w:val="24"/>
        </w:rPr>
        <w:t>P</w:t>
      </w:r>
      <w:r w:rsidRPr="0021416C">
        <w:rPr>
          <w:rFonts w:ascii="Times New Roman" w:hAnsi="Times New Roman" w:cs="Times New Roman"/>
          <w:sz w:val="24"/>
          <w:szCs w:val="24"/>
        </w:rPr>
        <w:t xml:space="preserve"> &lt; 0.001; ****, </w:t>
      </w:r>
      <w:r w:rsidRPr="0021416C">
        <w:rPr>
          <w:rFonts w:ascii="Times New Roman" w:hAnsi="Times New Roman" w:cs="Times New Roman"/>
          <w:i/>
          <w:iCs/>
          <w:sz w:val="24"/>
          <w:szCs w:val="24"/>
        </w:rPr>
        <w:t>P</w:t>
      </w:r>
      <w:r w:rsidRPr="0021416C">
        <w:rPr>
          <w:rFonts w:ascii="Times New Roman" w:hAnsi="Times New Roman" w:cs="Times New Roman"/>
          <w:sz w:val="24"/>
          <w:szCs w:val="24"/>
        </w:rPr>
        <w:t xml:space="preserve"> &lt; 0.0001; ns, not significant; Ordinary one-</w:t>
      </w:r>
      <w:r w:rsidRPr="0021416C">
        <w:rPr>
          <w:rFonts w:ascii="Times New Roman" w:hAnsi="Times New Roman" w:cs="Times New Roman" w:hint="eastAsia"/>
          <w:sz w:val="24"/>
          <w:szCs w:val="24"/>
        </w:rPr>
        <w:t>way ANOVA). (D) Western blot analysis of the cGAS-STING signaling pathway in tumor cells.</w:t>
      </w:r>
    </w:p>
    <w:p w14:paraId="02EC0CF5" w14:textId="77777777" w:rsidR="009E1F78" w:rsidRPr="0021416C" w:rsidRDefault="00000000">
      <w:pPr>
        <w:spacing w:line="360" w:lineRule="auto"/>
        <w:rPr>
          <w:rFonts w:ascii="Times New Roman" w:hAnsi="Times New Roman" w:cs="Times New Roman"/>
          <w:sz w:val="24"/>
          <w:szCs w:val="24"/>
        </w:rPr>
      </w:pPr>
      <w:r w:rsidRPr="0021416C">
        <w:rPr>
          <w:rFonts w:ascii="Times New Roman" w:hAnsi="Times New Roman" w:cs="Times New Roman"/>
          <w:noProof/>
          <w:sz w:val="24"/>
          <w:szCs w:val="24"/>
        </w:rPr>
        <w:drawing>
          <wp:inline distT="0" distB="0" distL="0" distR="0" wp14:anchorId="06EE4FF2" wp14:editId="7F7DA1FF">
            <wp:extent cx="5399405" cy="1438275"/>
            <wp:effectExtent l="0" t="0" r="0" b="0"/>
            <wp:docPr id="167816556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165560" name="图片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5400000" cy="1438325"/>
                    </a:xfrm>
                    <a:prstGeom prst="rect">
                      <a:avLst/>
                    </a:prstGeom>
                    <a:noFill/>
                  </pic:spPr>
                </pic:pic>
              </a:graphicData>
            </a:graphic>
          </wp:inline>
        </w:drawing>
      </w:r>
    </w:p>
    <w:p w14:paraId="34B9D6AA" w14:textId="07ED7B63" w:rsidR="009E1F78" w:rsidRPr="0021416C" w:rsidRDefault="00000000">
      <w:pPr>
        <w:adjustRightInd w:val="0"/>
        <w:spacing w:line="360" w:lineRule="auto"/>
        <w:contextualSpacing/>
        <w:rPr>
          <w:rFonts w:ascii="Times New Roman" w:hAnsi="Times New Roman" w:cs="Times New Roman"/>
          <w:sz w:val="24"/>
          <w:szCs w:val="24"/>
        </w:rPr>
      </w:pPr>
      <w:r w:rsidRPr="0021416C">
        <w:rPr>
          <w:rFonts w:ascii="Times New Roman" w:hAnsi="Times New Roman" w:cs="Times New Roman"/>
          <w:b/>
          <w:bCs/>
          <w:sz w:val="24"/>
          <w:szCs w:val="28"/>
        </w:rPr>
        <w:t>Figure S</w:t>
      </w:r>
      <w:r w:rsidRPr="0021416C">
        <w:rPr>
          <w:rFonts w:ascii="Times New Roman" w:hAnsi="Times New Roman" w:cs="Times New Roman" w:hint="eastAsia"/>
          <w:b/>
          <w:bCs/>
          <w:sz w:val="24"/>
          <w:szCs w:val="28"/>
        </w:rPr>
        <w:t>5.</w:t>
      </w:r>
      <w:r w:rsidRPr="0021416C">
        <w:rPr>
          <w:rFonts w:ascii="Times New Roman" w:hAnsi="Times New Roman" w:cs="Times New Roman"/>
          <w:sz w:val="24"/>
          <w:szCs w:val="28"/>
        </w:rPr>
        <w:t xml:space="preserve"> </w:t>
      </w:r>
      <w:r w:rsidRPr="0021416C">
        <w:rPr>
          <w:rFonts w:ascii="Times New Roman" w:hAnsi="Times New Roman" w:cs="Times New Roman" w:hint="eastAsia"/>
          <w:sz w:val="24"/>
          <w:szCs w:val="24"/>
        </w:rPr>
        <w:t xml:space="preserve">(A) </w:t>
      </w:r>
      <w:r w:rsidRPr="0021416C">
        <w:rPr>
          <w:rFonts w:ascii="Times New Roman" w:hAnsi="Times New Roman" w:cs="Times New Roman"/>
          <w:sz w:val="24"/>
          <w:szCs w:val="24"/>
        </w:rPr>
        <w:t>Intracellular and (</w:t>
      </w:r>
      <w:r w:rsidRPr="0021416C">
        <w:rPr>
          <w:rFonts w:ascii="Times New Roman" w:hAnsi="Times New Roman" w:cs="Times New Roman" w:hint="eastAsia"/>
          <w:sz w:val="24"/>
          <w:szCs w:val="24"/>
        </w:rPr>
        <w:t>B</w:t>
      </w:r>
      <w:r w:rsidRPr="0021416C">
        <w:rPr>
          <w:rFonts w:ascii="Times New Roman" w:hAnsi="Times New Roman" w:cs="Times New Roman"/>
          <w:sz w:val="24"/>
          <w:szCs w:val="24"/>
        </w:rPr>
        <w:t>)</w:t>
      </w:r>
      <w:r w:rsidRPr="0021416C">
        <w:rPr>
          <w:rFonts w:ascii="Times New Roman" w:hAnsi="Times New Roman" w:cs="Times New Roman" w:hint="eastAsia"/>
          <w:sz w:val="24"/>
          <w:szCs w:val="24"/>
        </w:rPr>
        <w:t xml:space="preserve"> </w:t>
      </w:r>
      <w:r w:rsidRPr="0021416C">
        <w:rPr>
          <w:rFonts w:ascii="Times New Roman" w:hAnsi="Times New Roman" w:cs="Times New Roman"/>
          <w:sz w:val="24"/>
          <w:szCs w:val="24"/>
        </w:rPr>
        <w:t xml:space="preserve">extracellular ATP levels in CT26 cells after </w:t>
      </w:r>
      <w:r w:rsidRPr="0021416C">
        <w:rPr>
          <w:rFonts w:ascii="Times New Roman" w:hAnsi="Times New Roman" w:cs="Times New Roman" w:hint="eastAsia"/>
          <w:sz w:val="24"/>
          <w:szCs w:val="24"/>
        </w:rPr>
        <w:t xml:space="preserve">BRM and JSH23 </w:t>
      </w:r>
      <w:r w:rsidRPr="0021416C">
        <w:rPr>
          <w:rFonts w:ascii="Times New Roman" w:hAnsi="Times New Roman" w:cs="Times New Roman"/>
          <w:sz w:val="24"/>
          <w:szCs w:val="24"/>
        </w:rPr>
        <w:t>treatments</w:t>
      </w:r>
      <w:r w:rsidRPr="00AB1DD3">
        <w:rPr>
          <w:rFonts w:ascii="Times New Roman" w:hAnsi="Times New Roman" w:cs="Times New Roman" w:hint="eastAsia"/>
          <w:sz w:val="24"/>
          <w:szCs w:val="24"/>
        </w:rPr>
        <w:t xml:space="preserve"> (</w:t>
      </w:r>
      <w:r w:rsidRPr="00AB1DD3">
        <w:rPr>
          <w:rFonts w:ascii="Times New Roman" w:hAnsi="Times New Roman" w:cs="Times New Roman"/>
          <w:i/>
          <w:iCs/>
          <w:sz w:val="24"/>
          <w:szCs w:val="24"/>
        </w:rPr>
        <w:t>n</w:t>
      </w:r>
      <w:r w:rsidRPr="00AB1DD3">
        <w:rPr>
          <w:rFonts w:ascii="Times New Roman" w:hAnsi="Times New Roman" w:cs="Times New Roman"/>
          <w:sz w:val="24"/>
          <w:szCs w:val="24"/>
        </w:rPr>
        <w:t xml:space="preserve"> = </w:t>
      </w:r>
      <w:r w:rsidRPr="00AB1DD3">
        <w:rPr>
          <w:rFonts w:ascii="Times New Roman" w:hAnsi="Times New Roman" w:cs="Times New Roman" w:hint="eastAsia"/>
          <w:sz w:val="24"/>
          <w:szCs w:val="24"/>
        </w:rPr>
        <w:t>3)</w:t>
      </w:r>
      <w:r w:rsidRPr="0021416C">
        <w:rPr>
          <w:rFonts w:ascii="Times New Roman" w:hAnsi="Times New Roman" w:cs="Times New Roman" w:hint="eastAsia"/>
          <w:sz w:val="24"/>
          <w:szCs w:val="24"/>
        </w:rPr>
        <w:t xml:space="preserve">. </w:t>
      </w:r>
      <w:r w:rsidRPr="0021416C">
        <w:rPr>
          <w:rFonts w:ascii="Times New Roman" w:hAnsi="Times New Roman" w:cs="Times New Roman"/>
          <w:sz w:val="24"/>
          <w:szCs w:val="24"/>
        </w:rPr>
        <w:t>(</w:t>
      </w:r>
      <w:r w:rsidRPr="0021416C">
        <w:rPr>
          <w:rFonts w:ascii="Times New Roman" w:hAnsi="Times New Roman" w:cs="Times New Roman" w:hint="eastAsia"/>
          <w:sz w:val="24"/>
          <w:szCs w:val="24"/>
        </w:rPr>
        <w:t>C</w:t>
      </w:r>
      <w:r w:rsidRPr="0021416C">
        <w:rPr>
          <w:rFonts w:ascii="Times New Roman" w:hAnsi="Times New Roman" w:cs="Times New Roman"/>
          <w:sz w:val="24"/>
          <w:szCs w:val="24"/>
        </w:rPr>
        <w:t>)</w:t>
      </w:r>
      <w:r w:rsidRPr="0021416C">
        <w:rPr>
          <w:rFonts w:ascii="Times New Roman" w:hAnsi="Times New Roman" w:cs="Times New Roman" w:hint="eastAsia"/>
          <w:sz w:val="24"/>
          <w:szCs w:val="24"/>
        </w:rPr>
        <w:t xml:space="preserve"> </w:t>
      </w:r>
      <w:r w:rsidRPr="0021416C">
        <w:rPr>
          <w:rFonts w:ascii="Times New Roman" w:hAnsi="Times New Roman" w:cs="Times New Roman"/>
          <w:sz w:val="24"/>
          <w:szCs w:val="24"/>
        </w:rPr>
        <w:t xml:space="preserve">ELISA results of </w:t>
      </w:r>
      <w:r w:rsidRPr="0021416C">
        <w:rPr>
          <w:rFonts w:ascii="Times New Roman" w:hAnsi="Times New Roman" w:cs="Times New Roman" w:hint="eastAsia"/>
          <w:sz w:val="24"/>
          <w:szCs w:val="24"/>
        </w:rPr>
        <w:t>I</w:t>
      </w:r>
      <w:r w:rsidRPr="0021416C">
        <w:rPr>
          <w:rFonts w:ascii="Times New Roman" w:hAnsi="Times New Roman" w:cs="Times New Roman"/>
          <w:sz w:val="24"/>
          <w:szCs w:val="24"/>
        </w:rPr>
        <w:t>FN-γ levels in the supernatant of bone marrow-derived DCs incubated with pretreated CT26 cells</w:t>
      </w:r>
      <w:r w:rsidRPr="0021416C">
        <w:rPr>
          <w:rFonts w:ascii="Times New Roman" w:hAnsi="Times New Roman" w:cs="Times New Roman" w:hint="eastAsia"/>
          <w:sz w:val="24"/>
          <w:szCs w:val="24"/>
        </w:rPr>
        <w:t>.</w:t>
      </w:r>
      <w:r w:rsidRPr="0021416C">
        <w:rPr>
          <w:rFonts w:ascii="Times New Roman" w:hAnsi="Times New Roman" w:cs="Times New Roman"/>
          <w:sz w:val="24"/>
          <w:szCs w:val="24"/>
        </w:rPr>
        <w:t xml:space="preserve"> (*, </w:t>
      </w:r>
      <w:r w:rsidRPr="0021416C">
        <w:rPr>
          <w:rFonts w:ascii="Times New Roman" w:hAnsi="Times New Roman" w:cs="Times New Roman"/>
          <w:i/>
          <w:sz w:val="24"/>
          <w:szCs w:val="24"/>
        </w:rPr>
        <w:t>P</w:t>
      </w:r>
      <w:r w:rsidRPr="0021416C">
        <w:rPr>
          <w:rFonts w:ascii="Times New Roman" w:hAnsi="Times New Roman" w:cs="Times New Roman"/>
          <w:sz w:val="24"/>
          <w:szCs w:val="24"/>
        </w:rPr>
        <w:t xml:space="preserve"> &lt; 0.05; **, </w:t>
      </w:r>
      <w:r w:rsidRPr="0021416C">
        <w:rPr>
          <w:rFonts w:ascii="Times New Roman" w:hAnsi="Times New Roman" w:cs="Times New Roman"/>
          <w:i/>
          <w:sz w:val="24"/>
          <w:szCs w:val="24"/>
        </w:rPr>
        <w:t>P</w:t>
      </w:r>
      <w:r w:rsidRPr="0021416C">
        <w:rPr>
          <w:rFonts w:ascii="Times New Roman" w:hAnsi="Times New Roman" w:cs="Times New Roman"/>
          <w:sz w:val="24"/>
          <w:szCs w:val="24"/>
        </w:rPr>
        <w:t xml:space="preserve"> &lt; 0.01; ***, </w:t>
      </w:r>
      <w:r w:rsidRPr="0021416C">
        <w:rPr>
          <w:rFonts w:ascii="Times New Roman" w:hAnsi="Times New Roman" w:cs="Times New Roman"/>
          <w:i/>
          <w:sz w:val="24"/>
          <w:szCs w:val="24"/>
        </w:rPr>
        <w:t>P</w:t>
      </w:r>
      <w:r w:rsidRPr="0021416C">
        <w:rPr>
          <w:rFonts w:ascii="Times New Roman" w:hAnsi="Times New Roman" w:cs="Times New Roman"/>
          <w:sz w:val="24"/>
          <w:szCs w:val="24"/>
        </w:rPr>
        <w:t xml:space="preserve"> &lt; 0.001; ****, </w:t>
      </w:r>
      <w:r w:rsidRPr="0021416C">
        <w:rPr>
          <w:rFonts w:ascii="Times New Roman" w:hAnsi="Times New Roman" w:cs="Times New Roman"/>
          <w:i/>
          <w:sz w:val="24"/>
          <w:szCs w:val="24"/>
        </w:rPr>
        <w:t>P</w:t>
      </w:r>
      <w:r w:rsidRPr="0021416C">
        <w:rPr>
          <w:rFonts w:ascii="Times New Roman" w:hAnsi="Times New Roman" w:cs="Times New Roman"/>
          <w:sz w:val="24"/>
          <w:szCs w:val="24"/>
        </w:rPr>
        <w:t xml:space="preserve"> &lt; 0.0001; ns, not significant; Ordinary one-way ANOVA).</w:t>
      </w:r>
    </w:p>
    <w:p w14:paraId="586D126C" w14:textId="77777777" w:rsidR="009E1F78" w:rsidRPr="0021416C" w:rsidRDefault="009E1F78">
      <w:pPr>
        <w:spacing w:line="360" w:lineRule="auto"/>
        <w:rPr>
          <w:rFonts w:ascii="Times New Roman" w:hAnsi="Times New Roman" w:cs="Times New Roman"/>
          <w:sz w:val="24"/>
          <w:szCs w:val="24"/>
        </w:rPr>
      </w:pPr>
    </w:p>
    <w:p w14:paraId="6B68A1D5" w14:textId="77777777" w:rsidR="009E1F78" w:rsidRPr="0021416C" w:rsidRDefault="00000000">
      <w:pPr>
        <w:spacing w:line="360" w:lineRule="auto"/>
        <w:rPr>
          <w:rFonts w:ascii="Times New Roman" w:hAnsi="Times New Roman" w:cs="Times New Roman"/>
          <w:sz w:val="24"/>
          <w:szCs w:val="24"/>
        </w:rPr>
      </w:pPr>
      <w:r w:rsidRPr="0021416C">
        <w:rPr>
          <w:rFonts w:ascii="Times New Roman" w:hAnsi="Times New Roman" w:cs="Times New Roman"/>
          <w:noProof/>
          <w:sz w:val="24"/>
          <w:szCs w:val="24"/>
        </w:rPr>
        <w:lastRenderedPageBreak/>
        <w:drawing>
          <wp:inline distT="0" distB="0" distL="0" distR="0" wp14:anchorId="11BC9E7D" wp14:editId="0C18D5CA">
            <wp:extent cx="5399405" cy="6198870"/>
            <wp:effectExtent l="0" t="0" r="0" b="0"/>
            <wp:docPr id="114991632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9916323" name="图片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5400000" cy="6199113"/>
                    </a:xfrm>
                    <a:prstGeom prst="rect">
                      <a:avLst/>
                    </a:prstGeom>
                    <a:noFill/>
                  </pic:spPr>
                </pic:pic>
              </a:graphicData>
            </a:graphic>
          </wp:inline>
        </w:drawing>
      </w:r>
    </w:p>
    <w:p w14:paraId="55E18A54" w14:textId="032BF633" w:rsidR="009E1F78" w:rsidRPr="002B0182" w:rsidRDefault="00000000" w:rsidP="002B0182">
      <w:pPr>
        <w:spacing w:line="360" w:lineRule="auto"/>
        <w:rPr>
          <w:rFonts w:ascii="Times New Roman" w:hAnsi="Times New Roman" w:cs="Times New Roman"/>
          <w:sz w:val="24"/>
          <w:szCs w:val="28"/>
        </w:rPr>
      </w:pPr>
      <w:r w:rsidRPr="0021416C">
        <w:rPr>
          <w:rFonts w:ascii="Times New Roman" w:hAnsi="Times New Roman" w:cs="Times New Roman"/>
          <w:b/>
          <w:bCs/>
          <w:sz w:val="24"/>
          <w:szCs w:val="28"/>
        </w:rPr>
        <w:t>Figure S6</w:t>
      </w:r>
      <w:r w:rsidRPr="0021416C">
        <w:rPr>
          <w:rFonts w:ascii="Times New Roman" w:hAnsi="Times New Roman" w:cs="Times New Roman" w:hint="eastAsia"/>
          <w:b/>
          <w:bCs/>
          <w:sz w:val="24"/>
          <w:szCs w:val="28"/>
        </w:rPr>
        <w:t>.</w:t>
      </w:r>
      <w:r w:rsidRPr="0021416C">
        <w:rPr>
          <w:rFonts w:ascii="Times New Roman" w:hAnsi="Times New Roman" w:cs="Times New Roman"/>
          <w:sz w:val="24"/>
          <w:szCs w:val="28"/>
        </w:rPr>
        <w:t xml:space="preserve"> (A) Images of bioluminescence (Luc) for tumor and fluorescence (Fluo) for DiR in CT26-Luc tumor-bearing mice after intraperitoneal treatment with BRM nanoparticles -DiR at different time points. (B) </w:t>
      </w:r>
      <w:r w:rsidRPr="0021416C">
        <w:rPr>
          <w:rFonts w:ascii="Times New Roman" w:hAnsi="Times New Roman" w:cs="Times New Roman" w:hint="eastAsia"/>
          <w:sz w:val="24"/>
          <w:szCs w:val="28"/>
        </w:rPr>
        <w:t xml:space="preserve">Dynamic changes in body weight of mice during the treatment period. (C) </w:t>
      </w:r>
      <w:r w:rsidRPr="0021416C">
        <w:rPr>
          <w:rFonts w:ascii="Times New Roman" w:hAnsi="Times New Roman" w:cs="Times New Roman"/>
          <w:sz w:val="24"/>
          <w:szCs w:val="28"/>
        </w:rPr>
        <w:t>Evaluation of the hemocompatibility of BRM nanoparticals. Concentration-dependent hemolytic activity of BRM nanoparticles on murine erythrocytes. The positive control (ddH₂O) induced complete hemolysis, whereas the negative control (PBS) resulted in negligible hemolysis. Values represent the mean ± SD from three independent experiments (</w:t>
      </w:r>
      <w:r w:rsidRPr="0021416C">
        <w:rPr>
          <w:rFonts w:ascii="Times New Roman" w:hAnsi="Times New Roman" w:cs="Times New Roman"/>
          <w:i/>
          <w:iCs/>
          <w:sz w:val="24"/>
          <w:szCs w:val="28"/>
        </w:rPr>
        <w:t>n</w:t>
      </w:r>
      <w:r w:rsidRPr="0021416C">
        <w:rPr>
          <w:rFonts w:ascii="Times New Roman" w:hAnsi="Times New Roman" w:cs="Times New Roman" w:hint="eastAsia"/>
          <w:i/>
          <w:iCs/>
          <w:sz w:val="24"/>
          <w:szCs w:val="28"/>
        </w:rPr>
        <w:t xml:space="preserve"> </w:t>
      </w:r>
      <w:r w:rsidRPr="0021416C">
        <w:rPr>
          <w:rFonts w:ascii="Times New Roman" w:hAnsi="Times New Roman" w:cs="Times New Roman"/>
          <w:sz w:val="24"/>
          <w:szCs w:val="28"/>
        </w:rPr>
        <w:t>=</w:t>
      </w:r>
      <w:r w:rsidRPr="0021416C">
        <w:rPr>
          <w:rFonts w:ascii="Times New Roman" w:hAnsi="Times New Roman" w:cs="Times New Roman" w:hint="eastAsia"/>
          <w:sz w:val="24"/>
          <w:szCs w:val="28"/>
        </w:rPr>
        <w:t xml:space="preserve"> </w:t>
      </w:r>
      <w:r w:rsidRPr="0021416C">
        <w:rPr>
          <w:rFonts w:ascii="Times New Roman" w:hAnsi="Times New Roman" w:cs="Times New Roman"/>
          <w:sz w:val="24"/>
          <w:szCs w:val="28"/>
        </w:rPr>
        <w:t>3).</w:t>
      </w:r>
      <w:r w:rsidRPr="0021416C">
        <w:rPr>
          <w:rFonts w:ascii="Times New Roman" w:hAnsi="Times New Roman" w:cs="Times New Roman" w:hint="eastAsia"/>
          <w:sz w:val="24"/>
          <w:szCs w:val="28"/>
        </w:rPr>
        <w:t xml:space="preserve"> </w:t>
      </w:r>
      <w:r w:rsidRPr="0021416C">
        <w:rPr>
          <w:rFonts w:ascii="Times New Roman" w:hAnsi="Times New Roman" w:cs="Times New Roman"/>
          <w:sz w:val="24"/>
          <w:szCs w:val="28"/>
        </w:rPr>
        <w:t>(</w:t>
      </w:r>
      <w:r w:rsidRPr="0021416C">
        <w:rPr>
          <w:rFonts w:ascii="Times New Roman" w:hAnsi="Times New Roman" w:cs="Times New Roman" w:hint="eastAsia"/>
          <w:sz w:val="24"/>
          <w:szCs w:val="28"/>
        </w:rPr>
        <w:t>D</w:t>
      </w:r>
      <w:r w:rsidRPr="0021416C">
        <w:rPr>
          <w:rFonts w:ascii="Times New Roman" w:hAnsi="Times New Roman" w:cs="Times New Roman"/>
          <w:sz w:val="24"/>
          <w:szCs w:val="28"/>
        </w:rPr>
        <w:t>)</w:t>
      </w:r>
      <w:r w:rsidR="002B0182">
        <w:rPr>
          <w:rFonts w:ascii="Times New Roman" w:hAnsi="Times New Roman" w:cs="Times New Roman" w:hint="eastAsia"/>
          <w:sz w:val="24"/>
          <w:szCs w:val="28"/>
        </w:rPr>
        <w:t xml:space="preserve"> </w:t>
      </w:r>
      <w:r w:rsidRPr="0021416C">
        <w:rPr>
          <w:rFonts w:ascii="Times New Roman" w:hAnsi="Times New Roman" w:cs="Times New Roman"/>
          <w:sz w:val="24"/>
          <w:szCs w:val="28"/>
        </w:rPr>
        <w:t xml:space="preserve">H&amp;E staining images </w:t>
      </w:r>
      <w:r w:rsidRPr="0021416C">
        <w:rPr>
          <w:rFonts w:ascii="Times New Roman" w:hAnsi="Times New Roman" w:cs="Times New Roman"/>
          <w:sz w:val="24"/>
          <w:szCs w:val="28"/>
        </w:rPr>
        <w:lastRenderedPageBreak/>
        <w:t>of the main organs of mice with different treatment</w:t>
      </w:r>
      <w:r w:rsidRPr="0021416C">
        <w:rPr>
          <w:rFonts w:ascii="Times New Roman" w:hAnsi="Times New Roman" w:cs="Times New Roman"/>
          <w:sz w:val="24"/>
          <w:szCs w:val="24"/>
        </w:rPr>
        <w:t>s (</w:t>
      </w:r>
      <w:r w:rsidRPr="0021416C">
        <w:rPr>
          <w:rFonts w:ascii="Times New Roman" w:hAnsi="Times New Roman" w:cs="Times New Roman"/>
          <w:bCs/>
          <w:sz w:val="24"/>
          <w:szCs w:val="24"/>
        </w:rPr>
        <w:t>scale bars = 100 µm</w:t>
      </w:r>
      <w:r w:rsidRPr="0021416C">
        <w:rPr>
          <w:rFonts w:ascii="Times New Roman" w:hAnsi="Times New Roman" w:cs="Times New Roman"/>
          <w:sz w:val="24"/>
          <w:szCs w:val="24"/>
        </w:rPr>
        <w:t xml:space="preserve">). </w:t>
      </w:r>
      <w:r w:rsidRPr="0021416C">
        <w:rPr>
          <w:rFonts w:ascii="Times New Roman" w:hAnsi="Times New Roman" w:cs="Times New Roman"/>
          <w:sz w:val="24"/>
          <w:szCs w:val="28"/>
        </w:rPr>
        <w:t>(</w:t>
      </w:r>
      <w:r w:rsidRPr="0021416C">
        <w:rPr>
          <w:rFonts w:ascii="Times New Roman" w:hAnsi="Times New Roman" w:cs="Times New Roman" w:hint="eastAsia"/>
          <w:sz w:val="24"/>
          <w:szCs w:val="28"/>
        </w:rPr>
        <w:t>E</w:t>
      </w:r>
      <w:r w:rsidRPr="0021416C">
        <w:rPr>
          <w:rFonts w:ascii="Times New Roman" w:hAnsi="Times New Roman" w:cs="Times New Roman"/>
          <w:sz w:val="24"/>
          <w:szCs w:val="28"/>
        </w:rPr>
        <w:t xml:space="preserve">) </w:t>
      </w:r>
      <w:r w:rsidRPr="0021416C">
        <w:rPr>
          <w:rFonts w:ascii="Times New Roman" w:hAnsi="Times New Roman" w:cs="Times New Roman"/>
          <w:sz w:val="24"/>
          <w:szCs w:val="24"/>
        </w:rPr>
        <w:t>Key pharmacokinetic parameters of Rhein and Mn</w:t>
      </w:r>
      <w:r w:rsidRPr="0021416C">
        <w:rPr>
          <w:rFonts w:ascii="Times New Roman" w:hAnsi="Times New Roman" w:cs="Times New Roman"/>
          <w:sz w:val="24"/>
          <w:szCs w:val="24"/>
          <w:vertAlign w:val="superscript"/>
        </w:rPr>
        <w:t>2+</w:t>
      </w:r>
      <w:r w:rsidRPr="0021416C">
        <w:rPr>
          <w:rFonts w:ascii="Times New Roman" w:hAnsi="Times New Roman" w:cs="Times New Roman"/>
          <w:sz w:val="24"/>
          <w:szCs w:val="24"/>
        </w:rPr>
        <w:t xml:space="preserve"> in SD rats after a single intraperitoneal injection of BRM nanoparticles at a dose of 30 mg/kg (</w:t>
      </w:r>
      <w:r w:rsidRPr="003001C0">
        <w:rPr>
          <w:rFonts w:ascii="Times New Roman" w:hAnsi="Times New Roman" w:cs="Times New Roman"/>
          <w:i/>
          <w:iCs/>
          <w:sz w:val="24"/>
          <w:szCs w:val="24"/>
        </w:rPr>
        <w:t>n</w:t>
      </w:r>
      <w:r w:rsidRPr="0021416C">
        <w:rPr>
          <w:rFonts w:ascii="Times New Roman" w:hAnsi="Times New Roman" w:cs="Times New Roman" w:hint="eastAsia"/>
          <w:i/>
          <w:iCs/>
          <w:sz w:val="24"/>
          <w:szCs w:val="24"/>
        </w:rPr>
        <w:t xml:space="preserve"> </w:t>
      </w:r>
      <w:r w:rsidRPr="0021416C">
        <w:rPr>
          <w:rFonts w:ascii="Times New Roman" w:hAnsi="Times New Roman" w:cs="Times New Roman"/>
          <w:sz w:val="24"/>
          <w:szCs w:val="24"/>
        </w:rPr>
        <w:t>=</w:t>
      </w:r>
      <w:r w:rsidRPr="0021416C">
        <w:rPr>
          <w:rFonts w:ascii="Times New Roman" w:hAnsi="Times New Roman" w:cs="Times New Roman" w:hint="eastAsia"/>
          <w:sz w:val="24"/>
          <w:szCs w:val="24"/>
        </w:rPr>
        <w:t xml:space="preserve"> </w:t>
      </w:r>
      <w:r w:rsidRPr="0021416C">
        <w:rPr>
          <w:rFonts w:ascii="Times New Roman" w:hAnsi="Times New Roman" w:cs="Times New Roman"/>
          <w:sz w:val="24"/>
          <w:szCs w:val="24"/>
        </w:rPr>
        <w:t>3, data are presented as mean values).</w:t>
      </w:r>
    </w:p>
    <w:p w14:paraId="0C0DAFBB" w14:textId="5AF12017" w:rsidR="003001C0" w:rsidRPr="0021416C" w:rsidRDefault="00DB36E1">
      <w:pPr>
        <w:spacing w:line="360" w:lineRule="auto"/>
        <w:rPr>
          <w:rFonts w:ascii="Times New Roman" w:hAnsi="Times New Roman" w:cs="Times New Roman"/>
        </w:rPr>
      </w:pPr>
      <w:r>
        <w:rPr>
          <w:rFonts w:ascii="Times New Roman" w:hAnsi="Times New Roman" w:cs="Times New Roman"/>
          <w:noProof/>
        </w:rPr>
        <w:drawing>
          <wp:inline distT="0" distB="0" distL="0" distR="0" wp14:anchorId="4A76B4A1" wp14:editId="3C8AEB37">
            <wp:extent cx="5400000" cy="1427332"/>
            <wp:effectExtent l="0" t="0" r="0" b="1905"/>
            <wp:docPr id="42857847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00000" cy="1427332"/>
                    </a:xfrm>
                    <a:prstGeom prst="rect">
                      <a:avLst/>
                    </a:prstGeom>
                    <a:noFill/>
                  </pic:spPr>
                </pic:pic>
              </a:graphicData>
            </a:graphic>
          </wp:inline>
        </w:drawing>
      </w:r>
    </w:p>
    <w:p w14:paraId="1FCD2BCB" w14:textId="0C9A8842" w:rsidR="009E1F78" w:rsidRPr="0021416C" w:rsidRDefault="00000000">
      <w:pPr>
        <w:spacing w:line="360" w:lineRule="auto"/>
        <w:rPr>
          <w:rFonts w:ascii="Times New Roman" w:hAnsi="Times New Roman" w:cs="Times New Roman"/>
          <w:sz w:val="24"/>
          <w:szCs w:val="28"/>
        </w:rPr>
      </w:pPr>
      <w:r w:rsidRPr="0021416C">
        <w:rPr>
          <w:rFonts w:ascii="Times New Roman" w:hAnsi="Times New Roman" w:cs="Times New Roman"/>
          <w:b/>
          <w:bCs/>
          <w:sz w:val="24"/>
          <w:szCs w:val="28"/>
        </w:rPr>
        <w:t>Figure S</w:t>
      </w:r>
      <w:r w:rsidRPr="0021416C">
        <w:rPr>
          <w:rFonts w:ascii="Times New Roman" w:hAnsi="Times New Roman" w:cs="Times New Roman" w:hint="eastAsia"/>
          <w:b/>
          <w:bCs/>
          <w:sz w:val="24"/>
          <w:szCs w:val="28"/>
        </w:rPr>
        <w:t>7.</w:t>
      </w:r>
      <w:r w:rsidRPr="0021416C">
        <w:rPr>
          <w:rFonts w:ascii="Times New Roman" w:hAnsi="Times New Roman" w:cs="Times New Roman"/>
          <w:sz w:val="24"/>
          <w:szCs w:val="28"/>
        </w:rPr>
        <w:t xml:space="preserve"> (A)</w:t>
      </w:r>
      <w:r w:rsidRPr="0021416C">
        <w:rPr>
          <w:rFonts w:ascii="Times New Roman" w:hAnsi="Times New Roman" w:cs="Times New Roman" w:hint="eastAsia"/>
          <w:sz w:val="24"/>
          <w:szCs w:val="28"/>
        </w:rPr>
        <w:t xml:space="preserve"> Immunofluorescent images of tumor tissue stained with </w:t>
      </w:r>
      <w:r w:rsidR="009B4D14">
        <w:rPr>
          <w:rFonts w:ascii="Times New Roman" w:hAnsi="Times New Roman" w:cs="Times New Roman" w:hint="eastAsia"/>
          <w:sz w:val="24"/>
          <w:szCs w:val="24"/>
        </w:rPr>
        <w:t>p65</w:t>
      </w:r>
      <w:r w:rsidRPr="0021416C">
        <w:rPr>
          <w:rFonts w:ascii="Times New Roman" w:hAnsi="Times New Roman" w:cs="Times New Roman" w:hint="eastAsia"/>
          <w:sz w:val="24"/>
          <w:szCs w:val="24"/>
        </w:rPr>
        <w:t xml:space="preserve"> (green) and DAPI (blue)</w:t>
      </w:r>
      <w:r w:rsidRPr="0021416C">
        <w:rPr>
          <w:rFonts w:ascii="Times New Roman" w:hAnsi="Times New Roman" w:cs="Times New Roman" w:hint="eastAsia"/>
          <w:sz w:val="24"/>
          <w:szCs w:val="28"/>
        </w:rPr>
        <w:t xml:space="preserve"> (scale bar = 2</w:t>
      </w:r>
      <w:r w:rsidRPr="0021416C">
        <w:rPr>
          <w:rFonts w:ascii="Times New Roman" w:hAnsi="Times New Roman" w:cs="Times New Roman"/>
          <w:sz w:val="24"/>
          <w:szCs w:val="28"/>
        </w:rPr>
        <w:t>0 μm</w:t>
      </w:r>
      <w:r w:rsidRPr="0021416C">
        <w:rPr>
          <w:rFonts w:ascii="Times New Roman" w:hAnsi="Times New Roman" w:cs="Times New Roman" w:hint="eastAsia"/>
          <w:sz w:val="24"/>
          <w:szCs w:val="28"/>
        </w:rPr>
        <w:t>)</w:t>
      </w:r>
      <w:r w:rsidRPr="0021416C">
        <w:rPr>
          <w:rFonts w:ascii="Times New Roman" w:hAnsi="Times New Roman" w:cs="Times New Roman"/>
          <w:sz w:val="24"/>
          <w:szCs w:val="28"/>
        </w:rPr>
        <w:t>.</w:t>
      </w:r>
    </w:p>
    <w:p w14:paraId="1D15DE5E" w14:textId="77777777" w:rsidR="009E1F78" w:rsidRPr="0021416C" w:rsidRDefault="009E1F78">
      <w:pPr>
        <w:widowControl/>
        <w:jc w:val="left"/>
        <w:rPr>
          <w:rFonts w:ascii="Times New Roman" w:hAnsi="Times New Roman" w:cs="Times New Roman"/>
        </w:rPr>
      </w:pPr>
    </w:p>
    <w:sectPr w:rsidR="009E1F78" w:rsidRPr="0021416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FE2C43" w14:textId="77777777" w:rsidR="0062521D" w:rsidRDefault="0062521D" w:rsidP="00CD6E8D">
      <w:pPr>
        <w:rPr>
          <w:rFonts w:hint="eastAsia"/>
        </w:rPr>
      </w:pPr>
      <w:r>
        <w:separator/>
      </w:r>
    </w:p>
  </w:endnote>
  <w:endnote w:type="continuationSeparator" w:id="0">
    <w:p w14:paraId="49CDFE79" w14:textId="77777777" w:rsidR="0062521D" w:rsidRDefault="0062521D" w:rsidP="00CD6E8D">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MS Mincho">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微软雅黑">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C78E50" w14:textId="77777777" w:rsidR="0062521D" w:rsidRDefault="0062521D" w:rsidP="00CD6E8D">
      <w:pPr>
        <w:rPr>
          <w:rFonts w:hint="eastAsia"/>
        </w:rPr>
      </w:pPr>
      <w:r>
        <w:separator/>
      </w:r>
    </w:p>
  </w:footnote>
  <w:footnote w:type="continuationSeparator" w:id="0">
    <w:p w14:paraId="6962F334" w14:textId="77777777" w:rsidR="0062521D" w:rsidRDefault="0062521D" w:rsidP="00CD6E8D">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690B"/>
    <w:rsid w:val="0000732B"/>
    <w:rsid w:val="000313ED"/>
    <w:rsid w:val="0003456B"/>
    <w:rsid w:val="00053C1E"/>
    <w:rsid w:val="00062DB0"/>
    <w:rsid w:val="00086A3A"/>
    <w:rsid w:val="00097E7C"/>
    <w:rsid w:val="000C6737"/>
    <w:rsid w:val="000F55DF"/>
    <w:rsid w:val="000F68B4"/>
    <w:rsid w:val="00114C64"/>
    <w:rsid w:val="001936B8"/>
    <w:rsid w:val="001C3E37"/>
    <w:rsid w:val="0021416C"/>
    <w:rsid w:val="00214873"/>
    <w:rsid w:val="002541F0"/>
    <w:rsid w:val="00295C45"/>
    <w:rsid w:val="00296657"/>
    <w:rsid w:val="002A0DE2"/>
    <w:rsid w:val="002B0182"/>
    <w:rsid w:val="002C69B7"/>
    <w:rsid w:val="002D5208"/>
    <w:rsid w:val="002D62D3"/>
    <w:rsid w:val="002F18CE"/>
    <w:rsid w:val="003001C0"/>
    <w:rsid w:val="00303779"/>
    <w:rsid w:val="0034198D"/>
    <w:rsid w:val="003437A9"/>
    <w:rsid w:val="003629F9"/>
    <w:rsid w:val="00362A57"/>
    <w:rsid w:val="00387E1D"/>
    <w:rsid w:val="00394D8B"/>
    <w:rsid w:val="003A01C0"/>
    <w:rsid w:val="003B384B"/>
    <w:rsid w:val="003D66C2"/>
    <w:rsid w:val="004413E2"/>
    <w:rsid w:val="004461EA"/>
    <w:rsid w:val="00461E53"/>
    <w:rsid w:val="00462C8C"/>
    <w:rsid w:val="004679BE"/>
    <w:rsid w:val="00470077"/>
    <w:rsid w:val="004817DE"/>
    <w:rsid w:val="004831FA"/>
    <w:rsid w:val="00483B87"/>
    <w:rsid w:val="004E0C7B"/>
    <w:rsid w:val="004E560C"/>
    <w:rsid w:val="00511213"/>
    <w:rsid w:val="00546028"/>
    <w:rsid w:val="005622F4"/>
    <w:rsid w:val="0057755D"/>
    <w:rsid w:val="005973B7"/>
    <w:rsid w:val="005C26FA"/>
    <w:rsid w:val="005C2CD3"/>
    <w:rsid w:val="005D1E03"/>
    <w:rsid w:val="005F5D33"/>
    <w:rsid w:val="0062521D"/>
    <w:rsid w:val="00637EC7"/>
    <w:rsid w:val="00646A84"/>
    <w:rsid w:val="00651A14"/>
    <w:rsid w:val="006642E5"/>
    <w:rsid w:val="00673145"/>
    <w:rsid w:val="006817A0"/>
    <w:rsid w:val="00693768"/>
    <w:rsid w:val="006B6F07"/>
    <w:rsid w:val="006E38BB"/>
    <w:rsid w:val="00703045"/>
    <w:rsid w:val="007058A7"/>
    <w:rsid w:val="007236B8"/>
    <w:rsid w:val="0074283E"/>
    <w:rsid w:val="007528F3"/>
    <w:rsid w:val="0077128A"/>
    <w:rsid w:val="007729DA"/>
    <w:rsid w:val="0079249D"/>
    <w:rsid w:val="00797C98"/>
    <w:rsid w:val="007B188C"/>
    <w:rsid w:val="007D0C77"/>
    <w:rsid w:val="007E65A3"/>
    <w:rsid w:val="00866D6B"/>
    <w:rsid w:val="008777A9"/>
    <w:rsid w:val="00881CC0"/>
    <w:rsid w:val="008B4518"/>
    <w:rsid w:val="008C7D38"/>
    <w:rsid w:val="008F1375"/>
    <w:rsid w:val="00900FCB"/>
    <w:rsid w:val="009226A8"/>
    <w:rsid w:val="00926E6A"/>
    <w:rsid w:val="009606BC"/>
    <w:rsid w:val="009720E4"/>
    <w:rsid w:val="00972A51"/>
    <w:rsid w:val="00991606"/>
    <w:rsid w:val="009B2ADF"/>
    <w:rsid w:val="009B4D14"/>
    <w:rsid w:val="009C0B85"/>
    <w:rsid w:val="009D136E"/>
    <w:rsid w:val="009D1DF4"/>
    <w:rsid w:val="009D63E9"/>
    <w:rsid w:val="009E1F78"/>
    <w:rsid w:val="009F3403"/>
    <w:rsid w:val="00A05244"/>
    <w:rsid w:val="00A41E40"/>
    <w:rsid w:val="00A45877"/>
    <w:rsid w:val="00A47685"/>
    <w:rsid w:val="00A64BD8"/>
    <w:rsid w:val="00A905C0"/>
    <w:rsid w:val="00AB1DD3"/>
    <w:rsid w:val="00AB5953"/>
    <w:rsid w:val="00AD1F69"/>
    <w:rsid w:val="00B02660"/>
    <w:rsid w:val="00B02C1F"/>
    <w:rsid w:val="00B04841"/>
    <w:rsid w:val="00B27C07"/>
    <w:rsid w:val="00B3690B"/>
    <w:rsid w:val="00B6666F"/>
    <w:rsid w:val="00B72C48"/>
    <w:rsid w:val="00B7383B"/>
    <w:rsid w:val="00B81E24"/>
    <w:rsid w:val="00B83B16"/>
    <w:rsid w:val="00B86A6C"/>
    <w:rsid w:val="00BB6113"/>
    <w:rsid w:val="00BC15C9"/>
    <w:rsid w:val="00BD585E"/>
    <w:rsid w:val="00C052D7"/>
    <w:rsid w:val="00C308C8"/>
    <w:rsid w:val="00C46857"/>
    <w:rsid w:val="00C610EE"/>
    <w:rsid w:val="00C87090"/>
    <w:rsid w:val="00C969F5"/>
    <w:rsid w:val="00CA513F"/>
    <w:rsid w:val="00CC7737"/>
    <w:rsid w:val="00CC7964"/>
    <w:rsid w:val="00CD6E8D"/>
    <w:rsid w:val="00CE1324"/>
    <w:rsid w:val="00CF0F3A"/>
    <w:rsid w:val="00CF579F"/>
    <w:rsid w:val="00D165FD"/>
    <w:rsid w:val="00D46DF5"/>
    <w:rsid w:val="00D565CB"/>
    <w:rsid w:val="00D6758D"/>
    <w:rsid w:val="00D9351E"/>
    <w:rsid w:val="00DA05E1"/>
    <w:rsid w:val="00DA1504"/>
    <w:rsid w:val="00DA23E8"/>
    <w:rsid w:val="00DB36E1"/>
    <w:rsid w:val="00DC4004"/>
    <w:rsid w:val="00DE0E1B"/>
    <w:rsid w:val="00DE5DB5"/>
    <w:rsid w:val="00DF119E"/>
    <w:rsid w:val="00E15B1E"/>
    <w:rsid w:val="00E16699"/>
    <w:rsid w:val="00E31837"/>
    <w:rsid w:val="00E54439"/>
    <w:rsid w:val="00EB01AA"/>
    <w:rsid w:val="00EB12EA"/>
    <w:rsid w:val="00EB3B94"/>
    <w:rsid w:val="00EC33C9"/>
    <w:rsid w:val="00ED0903"/>
    <w:rsid w:val="00EF3386"/>
    <w:rsid w:val="00F12261"/>
    <w:rsid w:val="00F42835"/>
    <w:rsid w:val="00F4756B"/>
    <w:rsid w:val="00F56434"/>
    <w:rsid w:val="00F654CE"/>
    <w:rsid w:val="00F73FC7"/>
    <w:rsid w:val="00FD74B3"/>
    <w:rsid w:val="2DAB3BD8"/>
    <w:rsid w:val="582C74E5"/>
    <w:rsid w:val="65893C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6AEE3008"/>
  <w15:docId w15:val="{EE4FE88F-CB45-4A1F-BB0E-3085E2036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1">
    <w:name w:val="heading 1"/>
    <w:basedOn w:val="a"/>
    <w:next w:val="a"/>
    <w:link w:val="10"/>
    <w:uiPriority w:val="9"/>
    <w:qFormat/>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0"/>
    <w:uiPriority w:val="9"/>
    <w:semiHidden/>
    <w:unhideWhenUsed/>
    <w:qFormat/>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pPr>
      <w:jc w:val="left"/>
    </w:p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tabs>
        <w:tab w:val="center" w:pos="4153"/>
        <w:tab w:val="right" w:pos="8306"/>
      </w:tabs>
      <w:snapToGrid w:val="0"/>
      <w:jc w:val="center"/>
    </w:pPr>
    <w:rPr>
      <w:sz w:val="18"/>
      <w:szCs w:val="18"/>
    </w:rPr>
  </w:style>
  <w:style w:type="paragraph" w:styleId="a9">
    <w:name w:val="Subtitle"/>
    <w:basedOn w:val="a"/>
    <w:next w:val="a"/>
    <w:link w:val="aa"/>
    <w:uiPriority w:val="11"/>
    <w:qFormat/>
    <w:pPr>
      <w:spacing w:after="160"/>
      <w:jc w:val="center"/>
    </w:pPr>
    <w:rPr>
      <w:rFonts w:asciiTheme="majorHAnsi" w:eastAsiaTheme="majorEastAsia" w:hAnsiTheme="majorHAnsi" w:cstheme="majorBidi"/>
      <w:color w:val="595959" w:themeColor="text1" w:themeTint="A6"/>
      <w:spacing w:val="15"/>
      <w:sz w:val="28"/>
      <w:szCs w:val="28"/>
    </w:rPr>
  </w:style>
  <w:style w:type="paragraph" w:styleId="ab">
    <w:name w:val="Normal (Web)"/>
    <w:basedOn w:val="a"/>
    <w:uiPriority w:val="99"/>
    <w:unhideWhenUsed/>
    <w:pPr>
      <w:widowControl/>
      <w:spacing w:before="100" w:beforeAutospacing="1" w:after="100" w:afterAutospacing="1"/>
      <w:jc w:val="left"/>
    </w:pPr>
    <w:rPr>
      <w:rFonts w:ascii="宋体" w:eastAsia="宋体" w:hAnsi="宋体" w:cs="宋体"/>
      <w:kern w:val="0"/>
      <w:sz w:val="24"/>
      <w:szCs w:val="24"/>
    </w:rPr>
  </w:style>
  <w:style w:type="paragraph" w:styleId="ac">
    <w:name w:val="Title"/>
    <w:basedOn w:val="a"/>
    <w:next w:val="a"/>
    <w:link w:val="ad"/>
    <w:uiPriority w:val="10"/>
    <w:qFormat/>
    <w:pPr>
      <w:spacing w:after="80"/>
      <w:contextualSpacing/>
      <w:jc w:val="center"/>
    </w:pPr>
    <w:rPr>
      <w:rFonts w:asciiTheme="majorHAnsi" w:eastAsiaTheme="majorEastAsia" w:hAnsiTheme="majorHAnsi" w:cstheme="majorBidi"/>
      <w:spacing w:val="-10"/>
      <w:kern w:val="28"/>
      <w:sz w:val="56"/>
      <w:szCs w:val="56"/>
    </w:rPr>
  </w:style>
  <w:style w:type="character" w:styleId="ae">
    <w:name w:val="annotation reference"/>
    <w:basedOn w:val="a0"/>
    <w:uiPriority w:val="99"/>
    <w:semiHidden/>
    <w:unhideWhenUsed/>
    <w:qFormat/>
    <w:rPr>
      <w:sz w:val="21"/>
      <w:szCs w:val="21"/>
    </w:rPr>
  </w:style>
  <w:style w:type="character" w:customStyle="1" w:styleId="10">
    <w:name w:val="标题 1 字符"/>
    <w:basedOn w:val="a0"/>
    <w:link w:val="1"/>
    <w:uiPriority w:val="9"/>
    <w:qFormat/>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qFormat/>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qFormat/>
    <w:rPr>
      <w:rFonts w:cstheme="majorBidi"/>
      <w:color w:val="0F4761" w:themeColor="accent1" w:themeShade="BF"/>
      <w:sz w:val="28"/>
      <w:szCs w:val="28"/>
    </w:rPr>
  </w:style>
  <w:style w:type="character" w:customStyle="1" w:styleId="50">
    <w:name w:val="标题 5 字符"/>
    <w:basedOn w:val="a0"/>
    <w:link w:val="5"/>
    <w:uiPriority w:val="9"/>
    <w:semiHidden/>
    <w:qFormat/>
    <w:rPr>
      <w:rFonts w:cstheme="majorBidi"/>
      <w:color w:val="0F4761" w:themeColor="accent1" w:themeShade="BF"/>
      <w:sz w:val="24"/>
      <w:szCs w:val="24"/>
    </w:rPr>
  </w:style>
  <w:style w:type="character" w:customStyle="1" w:styleId="60">
    <w:name w:val="标题 6 字符"/>
    <w:basedOn w:val="a0"/>
    <w:link w:val="6"/>
    <w:uiPriority w:val="9"/>
    <w:semiHidden/>
    <w:qFormat/>
    <w:rPr>
      <w:rFonts w:cstheme="majorBidi"/>
      <w:b/>
      <w:bCs/>
      <w:color w:val="0F4761" w:themeColor="accent1" w:themeShade="BF"/>
    </w:rPr>
  </w:style>
  <w:style w:type="character" w:customStyle="1" w:styleId="70">
    <w:name w:val="标题 7 字符"/>
    <w:basedOn w:val="a0"/>
    <w:link w:val="7"/>
    <w:uiPriority w:val="9"/>
    <w:semiHidden/>
    <w:qFormat/>
    <w:rPr>
      <w:rFonts w:cstheme="majorBidi"/>
      <w:b/>
      <w:bCs/>
      <w:color w:val="595959" w:themeColor="text1" w:themeTint="A6"/>
    </w:rPr>
  </w:style>
  <w:style w:type="character" w:customStyle="1" w:styleId="80">
    <w:name w:val="标题 8 字符"/>
    <w:basedOn w:val="a0"/>
    <w:link w:val="8"/>
    <w:uiPriority w:val="9"/>
    <w:semiHidden/>
    <w:qFormat/>
    <w:rPr>
      <w:rFonts w:cstheme="majorBidi"/>
      <w:color w:val="595959" w:themeColor="text1" w:themeTint="A6"/>
    </w:rPr>
  </w:style>
  <w:style w:type="character" w:customStyle="1" w:styleId="90">
    <w:name w:val="标题 9 字符"/>
    <w:basedOn w:val="a0"/>
    <w:link w:val="9"/>
    <w:uiPriority w:val="9"/>
    <w:semiHidden/>
    <w:qFormat/>
    <w:rPr>
      <w:rFonts w:eastAsiaTheme="majorEastAsia" w:cstheme="majorBidi"/>
      <w:color w:val="595959" w:themeColor="text1" w:themeTint="A6"/>
    </w:rPr>
  </w:style>
  <w:style w:type="character" w:customStyle="1" w:styleId="ad">
    <w:name w:val="标题 字符"/>
    <w:basedOn w:val="a0"/>
    <w:link w:val="ac"/>
    <w:uiPriority w:val="10"/>
    <w:qFormat/>
    <w:rPr>
      <w:rFonts w:asciiTheme="majorHAnsi" w:eastAsiaTheme="majorEastAsia" w:hAnsiTheme="majorHAnsi" w:cstheme="majorBidi"/>
      <w:spacing w:val="-10"/>
      <w:kern w:val="28"/>
      <w:sz w:val="56"/>
      <w:szCs w:val="56"/>
    </w:rPr>
  </w:style>
  <w:style w:type="character" w:customStyle="1" w:styleId="aa">
    <w:name w:val="副标题 字符"/>
    <w:basedOn w:val="a0"/>
    <w:link w:val="a9"/>
    <w:uiPriority w:val="11"/>
    <w:qFormat/>
    <w:rPr>
      <w:rFonts w:asciiTheme="majorHAnsi" w:eastAsiaTheme="majorEastAsia" w:hAnsiTheme="majorHAnsi" w:cstheme="majorBidi"/>
      <w:color w:val="595959" w:themeColor="text1" w:themeTint="A6"/>
      <w:spacing w:val="15"/>
      <w:sz w:val="28"/>
      <w:szCs w:val="28"/>
    </w:rPr>
  </w:style>
  <w:style w:type="paragraph" w:styleId="af">
    <w:name w:val="Quote"/>
    <w:basedOn w:val="a"/>
    <w:next w:val="a"/>
    <w:link w:val="af0"/>
    <w:uiPriority w:val="29"/>
    <w:qFormat/>
    <w:pPr>
      <w:spacing w:before="160" w:after="160"/>
      <w:jc w:val="center"/>
    </w:pPr>
    <w:rPr>
      <w:i/>
      <w:iCs/>
      <w:color w:val="404040" w:themeColor="text1" w:themeTint="BF"/>
    </w:rPr>
  </w:style>
  <w:style w:type="character" w:customStyle="1" w:styleId="af0">
    <w:name w:val="引用 字符"/>
    <w:basedOn w:val="a0"/>
    <w:link w:val="af"/>
    <w:uiPriority w:val="29"/>
    <w:qFormat/>
    <w:rPr>
      <w:i/>
      <w:iCs/>
      <w:color w:val="404040" w:themeColor="text1" w:themeTint="BF"/>
    </w:rPr>
  </w:style>
  <w:style w:type="paragraph" w:styleId="af1">
    <w:name w:val="List Paragraph"/>
    <w:basedOn w:val="a"/>
    <w:uiPriority w:val="34"/>
    <w:qFormat/>
    <w:pPr>
      <w:ind w:left="720"/>
      <w:contextualSpacing/>
    </w:pPr>
  </w:style>
  <w:style w:type="character" w:customStyle="1" w:styleId="11">
    <w:name w:val="明显强调1"/>
    <w:basedOn w:val="a0"/>
    <w:uiPriority w:val="21"/>
    <w:qFormat/>
    <w:rPr>
      <w:i/>
      <w:iCs/>
      <w:color w:val="0F4761" w:themeColor="accent1" w:themeShade="BF"/>
    </w:rPr>
  </w:style>
  <w:style w:type="paragraph" w:styleId="af2">
    <w:name w:val="Intense Quote"/>
    <w:basedOn w:val="a"/>
    <w:next w:val="a"/>
    <w:link w:val="af3"/>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f3">
    <w:name w:val="明显引用 字符"/>
    <w:basedOn w:val="a0"/>
    <w:link w:val="af2"/>
    <w:uiPriority w:val="30"/>
    <w:qFormat/>
    <w:rPr>
      <w:i/>
      <w:iCs/>
      <w:color w:val="0F4761" w:themeColor="accent1" w:themeShade="BF"/>
    </w:rPr>
  </w:style>
  <w:style w:type="character" w:customStyle="1" w:styleId="12">
    <w:name w:val="明显参考1"/>
    <w:basedOn w:val="a0"/>
    <w:uiPriority w:val="32"/>
    <w:qFormat/>
    <w:rPr>
      <w:b/>
      <w:bCs/>
      <w:smallCaps/>
      <w:color w:val="0F4761" w:themeColor="accent1" w:themeShade="BF"/>
      <w:spacing w:val="5"/>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paragraph" w:customStyle="1" w:styleId="13">
    <w:name w:val="修订1"/>
    <w:hidden/>
    <w:uiPriority w:val="99"/>
    <w:unhideWhenUsed/>
    <w:qFormat/>
    <w:rPr>
      <w:kern w:val="2"/>
      <w:sz w:val="21"/>
      <w:szCs w:val="22"/>
    </w:rPr>
  </w:style>
  <w:style w:type="paragraph" w:styleId="af4">
    <w:name w:val="Revision"/>
    <w:hidden/>
    <w:uiPriority w:val="99"/>
    <w:unhideWhenUsed/>
    <w:rsid w:val="00CD6E8D"/>
    <w:rPr>
      <w:kern w:val="2"/>
      <w:sz w:val="21"/>
      <w:szCs w:val="22"/>
    </w:rPr>
  </w:style>
  <w:style w:type="paragraph" w:styleId="af5">
    <w:name w:val="annotation subject"/>
    <w:basedOn w:val="a3"/>
    <w:next w:val="a3"/>
    <w:link w:val="af6"/>
    <w:uiPriority w:val="99"/>
    <w:semiHidden/>
    <w:unhideWhenUsed/>
    <w:rsid w:val="00C308C8"/>
    <w:rPr>
      <w:b/>
      <w:bCs/>
    </w:rPr>
  </w:style>
  <w:style w:type="character" w:customStyle="1" w:styleId="a4">
    <w:name w:val="批注文字 字符"/>
    <w:basedOn w:val="a0"/>
    <w:link w:val="a3"/>
    <w:uiPriority w:val="99"/>
    <w:rsid w:val="00C308C8"/>
    <w:rPr>
      <w:kern w:val="2"/>
      <w:sz w:val="21"/>
      <w:szCs w:val="22"/>
    </w:rPr>
  </w:style>
  <w:style w:type="character" w:customStyle="1" w:styleId="af6">
    <w:name w:val="批注主题 字符"/>
    <w:basedOn w:val="a4"/>
    <w:link w:val="af5"/>
    <w:uiPriority w:val="99"/>
    <w:semiHidden/>
    <w:rsid w:val="00C308C8"/>
    <w:rPr>
      <w:b/>
      <w:bCs/>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74</TotalTime>
  <Pages>19</Pages>
  <Words>4559</Words>
  <Characters>26084</Characters>
  <Application>Microsoft Office Word</Application>
  <DocSecurity>0</DocSecurity>
  <Lines>442</Lines>
  <Paragraphs>58</Paragraphs>
  <ScaleCrop>false</ScaleCrop>
  <Company/>
  <LinksUpToDate>false</LinksUpToDate>
  <CharactersWithSpaces>30585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映飞 闻</dc:creator>
  <cp:lastModifiedBy>映飞 闻</cp:lastModifiedBy>
  <cp:revision>29</cp:revision>
  <dcterms:created xsi:type="dcterms:W3CDTF">2026-04-11T16:23:00Z</dcterms:created>
  <dcterms:modified xsi:type="dcterms:W3CDTF">2026-04-12T09:19:00Z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e4db3dd6-50d5-432f-9ee4-7f46d26c2ed8</vt:lpwstr>
  </property>
  <property fmtid="{D5CDD505-2E9C-101B-9397-08002B2CF9AE}" pid="3" name="KSOTemplateDocerSaveRecord">
    <vt:lpwstr>eyJoZGlkIjoiODk4ZTFiZGI4ODljYzU0OTQ5MTRhYjRlMGFiMzI3MzgiLCJ1c2VySWQiOiIzMzQ0Njc4NzEifQ==</vt:lpwstr>
  </property>
  <property fmtid="{D5CDD505-2E9C-101B-9397-08002B2CF9AE}" pid="4" name="KSOProductBuildVer">
    <vt:lpwstr>2052-12.1.0.25225</vt:lpwstr>
  </property>
  <property fmtid="{D5CDD505-2E9C-101B-9397-08002B2CF9AE}" pid="5" name="ICV">
    <vt:lpwstr>E6846C359C48428AB7D862D802B736D2_12</vt:lpwstr>
  </property>
</Properties>
</file>