
<file path=[Content_Types].xml><?xml version="1.0" encoding="utf-8"?>
<Types xmlns="http://schemas.openxmlformats.org/package/2006/content-types">
  <Default Extension="png" ContentType="image/png"/>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4FC8E">
      <w:pPr>
        <w:spacing w:line="480" w:lineRule="auto"/>
        <w:rPr>
          <w:rFonts w:ascii="Times New Roman" w:hAnsi="Times New Roman"/>
          <w:b/>
          <w:bCs/>
          <w:color w:val="000000"/>
          <w:sz w:val="24"/>
        </w:rPr>
      </w:pPr>
      <w:r>
        <w:rPr>
          <w:rFonts w:hint="eastAsia" w:ascii="Times New Roman" w:hAnsi="Times New Roman"/>
          <w:b/>
          <w:bCs/>
          <w:color w:val="000000"/>
          <w:sz w:val="24"/>
        </w:rPr>
        <w:t>1 Supplementary experimental methods</w:t>
      </w:r>
    </w:p>
    <w:p w14:paraId="28E9E386">
      <w:pPr>
        <w:spacing w:line="480" w:lineRule="auto"/>
        <w:rPr>
          <w:color w:val="000000"/>
        </w:rPr>
      </w:pPr>
    </w:p>
    <w:p w14:paraId="2FCA62F9">
      <w:pPr>
        <w:spacing w:line="480" w:lineRule="auto"/>
        <w:rPr>
          <w:rFonts w:ascii="Times New Roman" w:hAnsi="Times New Roman"/>
          <w:b/>
          <w:bCs/>
          <w:color w:val="000000"/>
          <w:sz w:val="24"/>
        </w:rPr>
      </w:pPr>
      <w:r>
        <w:rPr>
          <w:rFonts w:ascii="Times New Roman" w:hAnsi="Times New Roman"/>
          <w:b/>
          <w:bCs/>
          <w:color w:val="000000"/>
          <w:sz w:val="24"/>
        </w:rPr>
        <w:t>1.1 LC–MS Operating Procedure</w:t>
      </w:r>
    </w:p>
    <w:p w14:paraId="0243B564">
      <w:pPr>
        <w:spacing w:line="480" w:lineRule="auto"/>
        <w:ind w:firstLine="480" w:firstLineChars="200"/>
        <w:rPr>
          <w:rFonts w:ascii="Times New Roman" w:hAnsi="Times New Roman"/>
          <w:color w:val="000000"/>
          <w:sz w:val="24"/>
        </w:rPr>
      </w:pPr>
      <w:r>
        <w:rPr>
          <w:rFonts w:ascii="Times New Roman" w:hAnsi="Times New Roman"/>
          <w:color w:val="000000"/>
          <w:sz w:val="24"/>
        </w:rPr>
        <w:t>The LC–MS analysis was performed using an ultra-high-performance liquid chromatography system coupled to a Q Exactive quadrupole Orbitrap mass spectrometer (Thermo Fisher Scientific; Shanghai Majorbio Bio-Pharm Technology Co., Ltd.). Briefly, 200 μL of liquid sample was transferred into a 1.5 mL centrifuge tube, followed by the addition of 800 μL of extraction solvent (acetonitrile:methanol = 1:1, v/v) containing four internal standards, including L-2-chlorophenylalanine (0.02 mg/mL). The mixture was vortexed for 30 s and then subjected to ultrasonication at 5 °C for 30 min (40 kHz). Samples were incubated at −20 °C for 30 min and subsequently centrifuged at 13,000 × g for 15 min at 4 °C. The supernatant was collected and dried under a gentle stream of nitrogen.</w:t>
      </w:r>
      <w:r>
        <w:rPr>
          <w:rFonts w:hint="eastAsia" w:ascii="Times New Roman" w:hAnsi="Times New Roman"/>
          <w:color w:val="000000"/>
          <w:sz w:val="24"/>
        </w:rPr>
        <w:t xml:space="preserve"> </w:t>
      </w:r>
      <w:r>
        <w:rPr>
          <w:rFonts w:ascii="Times New Roman" w:hAnsi="Times New Roman"/>
          <w:color w:val="000000"/>
          <w:sz w:val="24"/>
        </w:rPr>
        <w:t>The residue was reconstituted in 180 μL of reconstitution solution (acetonitrile:water = 1:1, v/v), followed by ultrasonication at 5 °C for 5 min (40 kHz). After centrifugation at 13,000 × g for 10 min at 4 °C, the supernatant was transferred to autosampler vials with inserts for LC–MS analysis. An aliquot of 3 μL was injected and separated on a BEH C18 column (100 mm × 2.1 mm i.d., 1.7 μm) prior to mass spectrometric detection.</w:t>
      </w:r>
      <w:r>
        <w:rPr>
          <w:rFonts w:hint="eastAsia" w:ascii="Times New Roman" w:hAnsi="Times New Roman"/>
          <w:color w:val="000000"/>
          <w:sz w:val="24"/>
        </w:rPr>
        <w:t xml:space="preserve"> </w:t>
      </w:r>
      <w:r>
        <w:rPr>
          <w:rFonts w:ascii="Times New Roman" w:hAnsi="Times New Roman"/>
          <w:color w:val="000000"/>
          <w:sz w:val="24"/>
        </w:rPr>
        <w:t>Mobile phase A consisted of 2% acetonitrile in water containing 0.1% formic acid, and mobile phase B consisted of acetonitrile containing 0.1% formic acid. The flow rate was set at 0.40 mL/min, and the column temperature was maintained at 40 °C.</w:t>
      </w:r>
      <w:r>
        <w:rPr>
          <w:rFonts w:hint="eastAsia" w:ascii="Times New Roman" w:hAnsi="Times New Roman"/>
          <w:color w:val="000000"/>
          <w:sz w:val="24"/>
        </w:rPr>
        <w:t xml:space="preserve"> </w:t>
      </w:r>
      <w:r>
        <w:rPr>
          <w:rFonts w:ascii="Times New Roman" w:hAnsi="Times New Roman"/>
          <w:color w:val="000000"/>
          <w:sz w:val="24"/>
        </w:rPr>
        <w:t>Mass spectrometric data were acquired in both positive and negative ion modes over a mass range of m/z 70–1050. The spray voltage was set to 3500 V in positive mode and −3000 V in negative mode. The sheath gas flow was 50 psi, and the auxiliary gas flow was 13 psi. The ion source temperature was maintained at 450 °C. Stepped normalised collision energies (NCE) of 20, 40, and 60 were applied. The MS1 and MS2 resolutions were set to 70,000 and 17,500, respectively.</w:t>
      </w:r>
    </w:p>
    <w:p w14:paraId="7A926304">
      <w:pPr>
        <w:spacing w:line="480" w:lineRule="auto"/>
        <w:rPr>
          <w:b/>
          <w:bCs/>
          <w:color w:val="000000"/>
          <w:kern w:val="0"/>
          <w:sz w:val="24"/>
          <w:lang w:bidi="ar"/>
        </w:rPr>
      </w:pPr>
    </w:p>
    <w:p w14:paraId="5CED784E">
      <w:pPr>
        <w:spacing w:line="480" w:lineRule="auto"/>
        <w:rPr>
          <w:rFonts w:ascii="Times New Roman" w:hAnsi="Times New Roman"/>
          <w:b/>
          <w:bCs/>
          <w:color w:val="000000"/>
          <w:sz w:val="24"/>
        </w:rPr>
      </w:pPr>
      <w:r>
        <w:rPr>
          <w:rFonts w:ascii="Times New Roman" w:hAnsi="Times New Roman"/>
          <w:b/>
          <w:bCs/>
          <w:color w:val="000000"/>
          <w:sz w:val="24"/>
        </w:rPr>
        <w:t>1.2 Transwell Assay</w:t>
      </w:r>
    </w:p>
    <w:p w14:paraId="1D2D2FD0">
      <w:pPr>
        <w:spacing w:line="480" w:lineRule="auto"/>
        <w:ind w:firstLine="480" w:firstLineChars="200"/>
        <w:rPr>
          <w:rFonts w:ascii="Times New Roman" w:hAnsi="Times New Roman"/>
          <w:color w:val="000000"/>
          <w:sz w:val="24"/>
        </w:rPr>
      </w:pPr>
      <w:r>
        <w:rPr>
          <w:rFonts w:ascii="Times New Roman" w:hAnsi="Times New Roman"/>
          <w:color w:val="000000"/>
          <w:sz w:val="24"/>
        </w:rPr>
        <w:t>A Transwell migration assay was performed to evaluate the effects of TNVs on the migratory capacity of MC3T3-E1 cells. MC3T3-E1 cells were suspended in serum-free medium and seeded into the upper chambers of Transwell inserts at a density of 2 × 10⁴ cells per well. The lower chambers were filled with serum-free α-MEM medium (Gibco, USA) supplemented with different concentrations of TNVs (10, 20, and 30 μg/mL). After incubation at 37 °C in a humidified atmosphere containing 5% CO₂ for 48 h, the inserts were removed and gently washed three times with PBS. Cells were then fixed with 4% paraformaldehyde for 15 min and stained with 0.1% crystal violet for 20 min, followed by thorough rinsing with PBS to remove excess dye. Non-migrated cells on the upper surface of the membrane were carefully removed using a cotton swab. Migrated cells on the lower surface of the membrane were imaged using an optical microscope, and quantitative analysis was performed by counting the cells using ImageJ software. All experiments were conducted independently in triplicate.</w:t>
      </w:r>
    </w:p>
    <w:p w14:paraId="6990127B">
      <w:pPr>
        <w:spacing w:line="480" w:lineRule="auto"/>
        <w:rPr>
          <w:rFonts w:ascii="Times New Roman" w:hAnsi="Times New Roman"/>
          <w:color w:val="000000"/>
          <w:sz w:val="24"/>
        </w:rPr>
      </w:pPr>
    </w:p>
    <w:p w14:paraId="5721E34E">
      <w:pPr>
        <w:spacing w:line="480" w:lineRule="auto"/>
        <w:rPr>
          <w:rFonts w:ascii="Times New Roman" w:hAnsi="Times New Roman"/>
          <w:b/>
          <w:bCs/>
          <w:color w:val="000000"/>
          <w:sz w:val="24"/>
        </w:rPr>
      </w:pPr>
      <w:r>
        <w:rPr>
          <w:rFonts w:hint="eastAsia" w:ascii="Times New Roman" w:hAnsi="Times New Roman"/>
          <w:b/>
          <w:bCs/>
          <w:color w:val="000000"/>
          <w:sz w:val="24"/>
        </w:rPr>
        <w:t>2 Supplementary experimental results</w:t>
      </w:r>
    </w:p>
    <w:p w14:paraId="4B24A950">
      <w:pPr>
        <w:spacing w:line="480" w:lineRule="auto"/>
        <w:rPr>
          <w:rFonts w:ascii="Times New Roman" w:hAnsi="Times New Roman"/>
          <w:b/>
          <w:bCs/>
          <w:color w:val="000000"/>
          <w:sz w:val="24"/>
        </w:rPr>
      </w:pPr>
    </w:p>
    <w:p w14:paraId="25BBCCEA">
      <w:pPr>
        <w:spacing w:line="480" w:lineRule="auto"/>
        <w:rPr>
          <w:rFonts w:ascii="Times New Roman" w:hAnsi="Times New Roman"/>
          <w:b/>
          <w:bCs/>
          <w:color w:val="000000"/>
          <w:sz w:val="24"/>
        </w:rPr>
      </w:pPr>
    </w:p>
    <w:p w14:paraId="0F192A45">
      <w:pPr>
        <w:spacing w:line="480" w:lineRule="auto"/>
        <w:rPr>
          <w:rFonts w:ascii="Times New Roman" w:hAnsi="Times New Roman"/>
          <w:b/>
          <w:bCs/>
          <w:color w:val="000000"/>
          <w:sz w:val="24"/>
        </w:rPr>
      </w:pPr>
    </w:p>
    <w:p w14:paraId="1D3055FC">
      <w:pPr>
        <w:pStyle w:val="6"/>
        <w:widowControl/>
        <w:rPr>
          <w:rStyle w:val="9"/>
          <w:rFonts w:ascii="Times New Roman" w:hAnsi="Times New Roman"/>
          <w:color w:val="000000"/>
        </w:rPr>
      </w:pPr>
      <w:r>
        <w:drawing>
          <wp:inline distT="0" distB="0" distL="114300" distR="114300">
            <wp:extent cx="5270500" cy="2842260"/>
            <wp:effectExtent l="0" t="0" r="6350" b="5715"/>
            <wp:docPr id="2" name="图片 1" descr="standard 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standard curve"/>
                    <pic:cNvPicPr>
                      <a:picLocks noChangeAspect="1"/>
                    </pic:cNvPicPr>
                  </pic:nvPicPr>
                  <pic:blipFill>
                    <a:blip r:embed="rId4"/>
                    <a:stretch>
                      <a:fillRect/>
                    </a:stretch>
                  </pic:blipFill>
                  <pic:spPr>
                    <a:xfrm>
                      <a:off x="0" y="0"/>
                      <a:ext cx="5270500" cy="2842260"/>
                    </a:xfrm>
                    <a:prstGeom prst="rect">
                      <a:avLst/>
                    </a:prstGeom>
                  </pic:spPr>
                </pic:pic>
              </a:graphicData>
            </a:graphic>
          </wp:inline>
        </w:drawing>
      </w:r>
    </w:p>
    <w:p w14:paraId="625F5AF1">
      <w:pPr>
        <w:spacing w:line="480" w:lineRule="auto"/>
        <w:rPr>
          <w:rStyle w:val="9"/>
          <w:rFonts w:ascii="Times New Roman" w:hAnsi="Times New Roman"/>
          <w:b w:val="0"/>
          <w:color w:val="000000"/>
          <w:sz w:val="24"/>
        </w:rPr>
      </w:pPr>
      <w:r>
        <w:rPr>
          <w:rFonts w:ascii="Times New Roman" w:hAnsi="Times New Roman"/>
          <w:b/>
          <w:bCs/>
          <w:color w:val="000000" w:themeColor="text1"/>
          <w:sz w:val="24"/>
          <w14:textFill>
            <w14:solidFill>
              <w14:schemeClr w14:val="tx1"/>
            </w14:solidFill>
          </w14:textFill>
        </w:rPr>
        <w:t>Fig. S</w:t>
      </w:r>
      <w:r>
        <w:rPr>
          <w:rFonts w:hint="eastAsia" w:ascii="Times New Roman" w:hAnsi="Times New Roman"/>
          <w:b/>
          <w:bCs/>
          <w:color w:val="000000" w:themeColor="text1"/>
          <w:sz w:val="24"/>
          <w14:textFill>
            <w14:solidFill>
              <w14:schemeClr w14:val="tx1"/>
            </w14:solidFill>
          </w14:textFill>
        </w:rPr>
        <w:t>1</w:t>
      </w:r>
      <w:r>
        <w:rPr>
          <w:rFonts w:ascii="Times New Roman" w:hAnsi="Times New Roman"/>
          <w:b/>
          <w:bCs/>
          <w:color w:val="000000" w:themeColor="text1"/>
          <w:sz w:val="24"/>
          <w14:textFill>
            <w14:solidFill>
              <w14:schemeClr w14:val="tx1"/>
            </w14:solidFill>
          </w14:textFill>
        </w:rPr>
        <w:t xml:space="preserve"> Calibration Curve of </w:t>
      </w:r>
      <w:r>
        <w:rPr>
          <w:rFonts w:ascii="Times New Roman" w:hAnsi="Times New Roman"/>
          <w:b/>
          <w:bCs/>
          <w:color w:val="000000"/>
          <w:sz w:val="24"/>
        </w:rPr>
        <w:t>Curcumin Measured at 425 nm by UV–Visible Spectrophotometry.</w:t>
      </w:r>
      <w:r>
        <w:rPr>
          <w:rFonts w:hint="eastAsia" w:ascii="Times New Roman" w:hAnsi="Times New Roman"/>
          <w:b/>
          <w:bCs/>
          <w:color w:val="000000"/>
          <w:sz w:val="24"/>
        </w:rPr>
        <w:t xml:space="preserve"> </w:t>
      </w:r>
      <w:r>
        <w:rPr>
          <w:rFonts w:ascii="Times New Roman" w:hAnsi="Times New Roman"/>
          <w:color w:val="000000"/>
          <w:sz w:val="24"/>
        </w:rPr>
        <w:t>Each data point represents the mean value of six replicates. The regression equation was y = 0.0616x + 0.1421 (R² = 0.9986).</w:t>
      </w:r>
    </w:p>
    <w:p w14:paraId="7F30CACE">
      <w:pPr>
        <w:pStyle w:val="6"/>
        <w:widowControl/>
        <w:rPr>
          <w:rStyle w:val="9"/>
          <w:rFonts w:ascii="Times New Roman" w:hAnsi="Times New Roman"/>
        </w:rPr>
      </w:pPr>
    </w:p>
    <w:p w14:paraId="064D7C8B">
      <w:pPr>
        <w:pStyle w:val="6"/>
        <w:widowControl/>
        <w:rPr>
          <w:rStyle w:val="9"/>
          <w:rFonts w:ascii="Times New Roman" w:hAnsi="Times New Roman"/>
        </w:rPr>
      </w:pPr>
    </w:p>
    <w:p w14:paraId="1B53CE90">
      <w:pPr>
        <w:pStyle w:val="6"/>
        <w:widowControl/>
        <w:rPr>
          <w:rStyle w:val="9"/>
          <w:rFonts w:ascii="Times New Roman" w:hAnsi="Times New Roman"/>
        </w:rPr>
      </w:pPr>
    </w:p>
    <w:p w14:paraId="15EB7EF3">
      <w:pPr>
        <w:pStyle w:val="6"/>
        <w:widowControl/>
        <w:rPr>
          <w:rStyle w:val="9"/>
          <w:rFonts w:ascii="Times New Roman" w:hAnsi="Times New Roman"/>
        </w:rPr>
      </w:pPr>
    </w:p>
    <w:p w14:paraId="5D0F9432">
      <w:pPr>
        <w:pStyle w:val="6"/>
        <w:widowControl/>
        <w:rPr>
          <w:rStyle w:val="9"/>
          <w:rFonts w:ascii="Times New Roman" w:hAnsi="Times New Roman"/>
        </w:rPr>
      </w:pPr>
    </w:p>
    <w:p w14:paraId="73876977">
      <w:pPr>
        <w:pStyle w:val="6"/>
        <w:widowControl/>
        <w:rPr>
          <w:rStyle w:val="9"/>
          <w:rFonts w:ascii="Times New Roman" w:hAnsi="Times New Roman"/>
        </w:rPr>
      </w:pPr>
    </w:p>
    <w:p w14:paraId="0AE5672F">
      <w:pPr>
        <w:pStyle w:val="6"/>
        <w:widowControl/>
        <w:rPr>
          <w:rStyle w:val="9"/>
          <w:rFonts w:ascii="Times New Roman" w:hAnsi="Times New Roman"/>
        </w:rPr>
      </w:pPr>
    </w:p>
    <w:p w14:paraId="58FE4116">
      <w:pPr>
        <w:pStyle w:val="6"/>
        <w:widowControl/>
        <w:rPr>
          <w:rStyle w:val="9"/>
          <w:rFonts w:ascii="Times New Roman" w:hAnsi="Times New Roman"/>
        </w:rPr>
      </w:pPr>
    </w:p>
    <w:p w14:paraId="0DE13953">
      <w:pPr>
        <w:spacing w:line="480" w:lineRule="auto"/>
        <w:rPr>
          <w:rFonts w:ascii="Times New Roman" w:hAnsi="Times New Roman"/>
          <w:sz w:val="24"/>
        </w:rPr>
      </w:pPr>
      <w:r>
        <w:rPr>
          <w:rFonts w:ascii="Times New Roman" w:hAnsi="Times New Roman"/>
          <w:b/>
          <w:bCs/>
          <w:color w:val="000000" w:themeColor="text1"/>
          <w:sz w:val="24"/>
          <w14:textFill>
            <w14:solidFill>
              <w14:schemeClr w14:val="tx1"/>
            </w14:solidFill>
          </w14:textFill>
        </w:rPr>
        <w:t>Table S</w:t>
      </w:r>
      <w:r>
        <w:rPr>
          <w:rFonts w:hint="eastAsia" w:ascii="Times New Roman" w:hAnsi="Times New Roman"/>
          <w:b/>
          <w:bCs/>
          <w:color w:val="000000" w:themeColor="text1"/>
          <w:sz w:val="24"/>
          <w14:textFill>
            <w14:solidFill>
              <w14:schemeClr w14:val="tx1"/>
            </w14:solidFill>
          </w14:textFill>
        </w:rPr>
        <w:t xml:space="preserve">1 </w:t>
      </w:r>
      <w:r>
        <w:rPr>
          <w:rFonts w:ascii="Times New Roman" w:hAnsi="Times New Roman"/>
          <w:b/>
          <w:bCs/>
          <w:color w:val="000000" w:themeColor="text1"/>
          <w:sz w:val="24"/>
          <w14:textFill>
            <w14:solidFill>
              <w14:schemeClr w14:val="tx1"/>
            </w14:solidFill>
          </w14:textFill>
        </w:rPr>
        <w:t>Prim</w:t>
      </w:r>
      <w:r>
        <w:rPr>
          <w:rFonts w:ascii="Times New Roman" w:hAnsi="Times New Roman"/>
          <w:b/>
          <w:bCs/>
          <w:sz w:val="24"/>
        </w:rPr>
        <w:t>er Sequences Used for Real-Time Quantitative PCR (RT-qPCR).</w:t>
      </w:r>
      <w:r>
        <w:rPr>
          <w:rFonts w:ascii="Times New Roman" w:hAnsi="Times New Roman"/>
          <w:b/>
          <w:bCs/>
          <w:sz w:val="24"/>
        </w:rPr>
        <w:br w:type="textWrapping"/>
      </w:r>
      <w:r>
        <w:rPr>
          <w:rFonts w:ascii="Times New Roman" w:hAnsi="Times New Roman"/>
          <w:sz w:val="24"/>
        </w:rPr>
        <w:t>This table lists the target genes, corresponding gene IDs, forward and reverse primer sequences (5′–3′), and expected amplicon sizes used for RT-qPCR analysis.</w:t>
      </w:r>
    </w:p>
    <w:tbl>
      <w:tblPr>
        <w:tblStyle w:val="7"/>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26"/>
        <w:gridCol w:w="1559"/>
        <w:gridCol w:w="3402"/>
        <w:gridCol w:w="2035"/>
      </w:tblGrid>
      <w:tr w14:paraId="4883325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tcBorders>
              <w:bottom w:val="single" w:color="auto" w:sz="4" w:space="0"/>
            </w:tcBorders>
          </w:tcPr>
          <w:p w14:paraId="1460DBA1">
            <w:pPr>
              <w:jc w:val="left"/>
              <w:rPr>
                <w:b/>
                <w:bCs/>
              </w:rPr>
            </w:pPr>
            <w:r>
              <w:rPr>
                <w:rFonts w:hint="eastAsia"/>
                <w:b/>
                <w:bCs/>
              </w:rPr>
              <w:t>Target genes</w:t>
            </w:r>
          </w:p>
        </w:tc>
        <w:tc>
          <w:tcPr>
            <w:tcW w:w="1559" w:type="dxa"/>
            <w:tcBorders>
              <w:bottom w:val="single" w:color="auto" w:sz="4" w:space="0"/>
            </w:tcBorders>
          </w:tcPr>
          <w:p w14:paraId="62D664FC">
            <w:pPr>
              <w:jc w:val="center"/>
              <w:rPr>
                <w:b/>
                <w:bCs/>
              </w:rPr>
            </w:pPr>
            <w:r>
              <w:rPr>
                <w:rFonts w:hint="eastAsia"/>
                <w:b/>
                <w:bCs/>
              </w:rPr>
              <w:t>ID</w:t>
            </w:r>
          </w:p>
        </w:tc>
        <w:tc>
          <w:tcPr>
            <w:tcW w:w="3402" w:type="dxa"/>
            <w:tcBorders>
              <w:bottom w:val="single" w:color="auto" w:sz="4" w:space="0"/>
            </w:tcBorders>
          </w:tcPr>
          <w:p w14:paraId="55ED0BE9">
            <w:pPr>
              <w:jc w:val="center"/>
              <w:rPr>
                <w:b/>
                <w:bCs/>
              </w:rPr>
            </w:pPr>
            <w:r>
              <w:rPr>
                <w:rFonts w:hint="eastAsia"/>
                <w:b/>
                <w:bCs/>
              </w:rPr>
              <w:t>Forward primer sequence (5'-3')</w:t>
            </w:r>
          </w:p>
          <w:p w14:paraId="01EEC6DC">
            <w:pPr>
              <w:jc w:val="center"/>
              <w:rPr>
                <w:b/>
                <w:bCs/>
              </w:rPr>
            </w:pPr>
            <w:r>
              <w:rPr>
                <w:rFonts w:hint="eastAsia"/>
                <w:b/>
                <w:bCs/>
              </w:rPr>
              <w:t>Reverse primer sequence (5'-3')</w:t>
            </w:r>
          </w:p>
        </w:tc>
        <w:tc>
          <w:tcPr>
            <w:tcW w:w="2035" w:type="dxa"/>
            <w:tcBorders>
              <w:bottom w:val="single" w:color="auto" w:sz="4" w:space="0"/>
            </w:tcBorders>
          </w:tcPr>
          <w:p w14:paraId="404F97E6">
            <w:pPr>
              <w:jc w:val="center"/>
              <w:rPr>
                <w:b/>
                <w:bCs/>
              </w:rPr>
            </w:pPr>
            <w:r>
              <w:rPr>
                <w:rFonts w:hint="eastAsia"/>
                <w:b/>
                <w:bCs/>
              </w:rPr>
              <w:t>Product size(bp)</w:t>
            </w:r>
          </w:p>
        </w:tc>
      </w:tr>
      <w:tr w14:paraId="5DC3904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Merge w:val="restart"/>
            <w:tcBorders>
              <w:top w:val="single" w:color="auto" w:sz="4" w:space="0"/>
            </w:tcBorders>
          </w:tcPr>
          <w:p w14:paraId="6C2E1D26">
            <w:pPr>
              <w:jc w:val="left"/>
            </w:pPr>
            <w:r>
              <w:rPr>
                <w:rFonts w:hint="eastAsia"/>
              </w:rPr>
              <w:t>GAPDH</w:t>
            </w:r>
          </w:p>
        </w:tc>
        <w:tc>
          <w:tcPr>
            <w:tcW w:w="1559" w:type="dxa"/>
            <w:vMerge w:val="restart"/>
            <w:tcBorders>
              <w:top w:val="single" w:color="auto" w:sz="4" w:space="0"/>
            </w:tcBorders>
          </w:tcPr>
          <w:p w14:paraId="40211ED6">
            <w:pPr>
              <w:jc w:val="center"/>
            </w:pPr>
            <w:r>
              <w:rPr>
                <w:rFonts w:hint="eastAsia"/>
              </w:rPr>
              <w:t>14433</w:t>
            </w:r>
          </w:p>
        </w:tc>
        <w:tc>
          <w:tcPr>
            <w:tcW w:w="3402" w:type="dxa"/>
            <w:tcBorders>
              <w:top w:val="single" w:color="auto" w:sz="4" w:space="0"/>
            </w:tcBorders>
          </w:tcPr>
          <w:p w14:paraId="51A8BE19">
            <w:pPr>
              <w:jc w:val="center"/>
            </w:pPr>
            <w:r>
              <w:rPr>
                <w:rFonts w:hint="eastAsia"/>
              </w:rPr>
              <w:t>GCACCGTCAAGGCTGAGAAC</w:t>
            </w:r>
          </w:p>
        </w:tc>
        <w:tc>
          <w:tcPr>
            <w:tcW w:w="2035" w:type="dxa"/>
            <w:tcBorders>
              <w:top w:val="single" w:color="auto" w:sz="4" w:space="0"/>
            </w:tcBorders>
          </w:tcPr>
          <w:p w14:paraId="5191B46D">
            <w:pPr>
              <w:jc w:val="center"/>
            </w:pPr>
            <w:r>
              <w:rPr>
                <w:rFonts w:hint="eastAsia"/>
              </w:rPr>
              <w:t>20</w:t>
            </w:r>
          </w:p>
        </w:tc>
      </w:tr>
      <w:tr w14:paraId="1110795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Merge w:val="continue"/>
          </w:tcPr>
          <w:p w14:paraId="328346CB">
            <w:pPr>
              <w:jc w:val="left"/>
            </w:pPr>
          </w:p>
        </w:tc>
        <w:tc>
          <w:tcPr>
            <w:tcW w:w="1559" w:type="dxa"/>
            <w:vMerge w:val="continue"/>
          </w:tcPr>
          <w:p w14:paraId="713FA067">
            <w:pPr>
              <w:jc w:val="center"/>
            </w:pPr>
          </w:p>
        </w:tc>
        <w:tc>
          <w:tcPr>
            <w:tcW w:w="3402" w:type="dxa"/>
          </w:tcPr>
          <w:p w14:paraId="30F97446">
            <w:pPr>
              <w:jc w:val="center"/>
            </w:pPr>
            <w:r>
              <w:rPr>
                <w:rFonts w:hint="eastAsia"/>
              </w:rPr>
              <w:t>TGGTGAAGACGCCAGTGGA</w:t>
            </w:r>
          </w:p>
        </w:tc>
        <w:tc>
          <w:tcPr>
            <w:tcW w:w="2035" w:type="dxa"/>
          </w:tcPr>
          <w:p w14:paraId="6CEE67C9">
            <w:pPr>
              <w:jc w:val="center"/>
            </w:pPr>
            <w:r>
              <w:rPr>
                <w:rFonts w:hint="eastAsia"/>
              </w:rPr>
              <w:t>19</w:t>
            </w:r>
          </w:p>
        </w:tc>
      </w:tr>
      <w:tr w14:paraId="264CA89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Merge w:val="restart"/>
          </w:tcPr>
          <w:p w14:paraId="400CBBA1">
            <w:pPr>
              <w:jc w:val="left"/>
            </w:pPr>
            <w:r>
              <w:rPr>
                <w:rFonts w:hint="eastAsia"/>
              </w:rPr>
              <w:t>IL-1β</w:t>
            </w:r>
          </w:p>
        </w:tc>
        <w:tc>
          <w:tcPr>
            <w:tcW w:w="1559" w:type="dxa"/>
            <w:vMerge w:val="restart"/>
          </w:tcPr>
          <w:p w14:paraId="4386D6F8">
            <w:pPr>
              <w:jc w:val="center"/>
            </w:pPr>
            <w:r>
              <w:rPr>
                <w:rFonts w:hint="eastAsia"/>
              </w:rPr>
              <w:t>16176</w:t>
            </w:r>
          </w:p>
        </w:tc>
        <w:tc>
          <w:tcPr>
            <w:tcW w:w="3402" w:type="dxa"/>
          </w:tcPr>
          <w:p w14:paraId="26F1CCE0">
            <w:pPr>
              <w:jc w:val="center"/>
            </w:pPr>
            <w:r>
              <w:rPr>
                <w:rFonts w:hint="eastAsia"/>
              </w:rPr>
              <w:t>TTGAAGTTGACGGACCCCA</w:t>
            </w:r>
          </w:p>
        </w:tc>
        <w:tc>
          <w:tcPr>
            <w:tcW w:w="2035" w:type="dxa"/>
          </w:tcPr>
          <w:p w14:paraId="254D6C9E">
            <w:pPr>
              <w:jc w:val="center"/>
            </w:pPr>
            <w:r>
              <w:rPr>
                <w:rFonts w:hint="eastAsia"/>
              </w:rPr>
              <w:t>19</w:t>
            </w:r>
          </w:p>
        </w:tc>
      </w:tr>
      <w:tr w14:paraId="340E75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Merge w:val="continue"/>
          </w:tcPr>
          <w:p w14:paraId="65EB7ADF">
            <w:pPr>
              <w:jc w:val="left"/>
            </w:pPr>
          </w:p>
        </w:tc>
        <w:tc>
          <w:tcPr>
            <w:tcW w:w="1559" w:type="dxa"/>
            <w:vMerge w:val="continue"/>
          </w:tcPr>
          <w:p w14:paraId="15D59FB2">
            <w:pPr>
              <w:jc w:val="center"/>
            </w:pPr>
          </w:p>
        </w:tc>
        <w:tc>
          <w:tcPr>
            <w:tcW w:w="3402" w:type="dxa"/>
          </w:tcPr>
          <w:p w14:paraId="3F5C2B9B">
            <w:pPr>
              <w:jc w:val="center"/>
            </w:pPr>
            <w:r>
              <w:rPr>
                <w:rFonts w:hint="eastAsia"/>
              </w:rPr>
              <w:t>GAGTGATACTGCCTGCCTGAAG</w:t>
            </w:r>
          </w:p>
        </w:tc>
        <w:tc>
          <w:tcPr>
            <w:tcW w:w="2035" w:type="dxa"/>
          </w:tcPr>
          <w:p w14:paraId="4E01BF23">
            <w:pPr>
              <w:jc w:val="center"/>
            </w:pPr>
            <w:r>
              <w:rPr>
                <w:rFonts w:hint="eastAsia"/>
              </w:rPr>
              <w:t>22</w:t>
            </w:r>
          </w:p>
        </w:tc>
      </w:tr>
      <w:tr w14:paraId="73427FA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Merge w:val="restart"/>
          </w:tcPr>
          <w:p w14:paraId="29C97238">
            <w:pPr>
              <w:jc w:val="left"/>
            </w:pPr>
            <w:r>
              <w:rPr>
                <w:rFonts w:hint="eastAsia"/>
              </w:rPr>
              <w:t>IL-6</w:t>
            </w:r>
          </w:p>
        </w:tc>
        <w:tc>
          <w:tcPr>
            <w:tcW w:w="1559" w:type="dxa"/>
            <w:vMerge w:val="restart"/>
          </w:tcPr>
          <w:p w14:paraId="302F8BC9">
            <w:pPr>
              <w:jc w:val="center"/>
            </w:pPr>
            <w:r>
              <w:rPr>
                <w:rFonts w:hint="eastAsia"/>
              </w:rPr>
              <w:t>16193</w:t>
            </w:r>
          </w:p>
        </w:tc>
        <w:tc>
          <w:tcPr>
            <w:tcW w:w="3402" w:type="dxa"/>
          </w:tcPr>
          <w:p w14:paraId="2B1275C3">
            <w:pPr>
              <w:jc w:val="center"/>
            </w:pPr>
            <w:r>
              <w:rPr>
                <w:rFonts w:hint="eastAsia"/>
              </w:rPr>
              <w:t>GTTCTCTGGGAAATCGTGGA</w:t>
            </w:r>
          </w:p>
        </w:tc>
        <w:tc>
          <w:tcPr>
            <w:tcW w:w="2035" w:type="dxa"/>
          </w:tcPr>
          <w:p w14:paraId="7E3C8836">
            <w:pPr>
              <w:jc w:val="center"/>
            </w:pPr>
            <w:r>
              <w:rPr>
                <w:rFonts w:hint="eastAsia"/>
              </w:rPr>
              <w:t>20</w:t>
            </w:r>
          </w:p>
        </w:tc>
      </w:tr>
      <w:tr w14:paraId="13A7242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Merge w:val="continue"/>
          </w:tcPr>
          <w:p w14:paraId="5928AD4B">
            <w:pPr>
              <w:jc w:val="left"/>
            </w:pPr>
          </w:p>
        </w:tc>
        <w:tc>
          <w:tcPr>
            <w:tcW w:w="1559" w:type="dxa"/>
            <w:vMerge w:val="continue"/>
          </w:tcPr>
          <w:p w14:paraId="088CFEED">
            <w:pPr>
              <w:jc w:val="center"/>
            </w:pPr>
          </w:p>
        </w:tc>
        <w:tc>
          <w:tcPr>
            <w:tcW w:w="3402" w:type="dxa"/>
          </w:tcPr>
          <w:p w14:paraId="241C740F">
            <w:pPr>
              <w:jc w:val="center"/>
            </w:pPr>
            <w:r>
              <w:rPr>
                <w:rFonts w:hint="eastAsia"/>
              </w:rPr>
              <w:t>TGTACTCCAGGTAGCTATGG</w:t>
            </w:r>
          </w:p>
        </w:tc>
        <w:tc>
          <w:tcPr>
            <w:tcW w:w="2035" w:type="dxa"/>
          </w:tcPr>
          <w:p w14:paraId="729D327F">
            <w:pPr>
              <w:jc w:val="center"/>
            </w:pPr>
            <w:r>
              <w:rPr>
                <w:rFonts w:hint="eastAsia"/>
              </w:rPr>
              <w:t>20</w:t>
            </w:r>
          </w:p>
        </w:tc>
      </w:tr>
      <w:tr w14:paraId="4001BCF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Merge w:val="restart"/>
          </w:tcPr>
          <w:p w14:paraId="0E23BDE0">
            <w:pPr>
              <w:jc w:val="left"/>
            </w:pPr>
            <w:r>
              <w:rPr>
                <w:rFonts w:hint="eastAsia"/>
              </w:rPr>
              <w:t>TNFa</w:t>
            </w:r>
          </w:p>
        </w:tc>
        <w:tc>
          <w:tcPr>
            <w:tcW w:w="1559" w:type="dxa"/>
            <w:vMerge w:val="restart"/>
          </w:tcPr>
          <w:p w14:paraId="0C37E098">
            <w:pPr>
              <w:jc w:val="center"/>
            </w:pPr>
            <w:r>
              <w:rPr>
                <w:rFonts w:hint="eastAsia"/>
              </w:rPr>
              <w:t>21926</w:t>
            </w:r>
          </w:p>
        </w:tc>
        <w:tc>
          <w:tcPr>
            <w:tcW w:w="3402" w:type="dxa"/>
          </w:tcPr>
          <w:p w14:paraId="56AFCCC2">
            <w:pPr>
              <w:jc w:val="center"/>
            </w:pPr>
            <w:r>
              <w:rPr>
                <w:rFonts w:hint="eastAsia"/>
              </w:rPr>
              <w:t>CCAAATGGCCTCCCTCTCAT</w:t>
            </w:r>
          </w:p>
        </w:tc>
        <w:tc>
          <w:tcPr>
            <w:tcW w:w="2035" w:type="dxa"/>
          </w:tcPr>
          <w:p w14:paraId="314F0864">
            <w:pPr>
              <w:jc w:val="center"/>
            </w:pPr>
            <w:r>
              <w:rPr>
                <w:rFonts w:hint="eastAsia"/>
              </w:rPr>
              <w:t>20</w:t>
            </w:r>
          </w:p>
        </w:tc>
      </w:tr>
      <w:tr w14:paraId="0C76686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Merge w:val="continue"/>
          </w:tcPr>
          <w:p w14:paraId="1DBB4B5D">
            <w:pPr>
              <w:jc w:val="left"/>
            </w:pPr>
          </w:p>
        </w:tc>
        <w:tc>
          <w:tcPr>
            <w:tcW w:w="1559" w:type="dxa"/>
            <w:vMerge w:val="continue"/>
          </w:tcPr>
          <w:p w14:paraId="3546FD63">
            <w:pPr>
              <w:jc w:val="center"/>
            </w:pPr>
          </w:p>
        </w:tc>
        <w:tc>
          <w:tcPr>
            <w:tcW w:w="3402" w:type="dxa"/>
          </w:tcPr>
          <w:p w14:paraId="7F738731">
            <w:pPr>
              <w:jc w:val="center"/>
            </w:pPr>
            <w:r>
              <w:rPr>
                <w:rFonts w:hint="eastAsia"/>
              </w:rPr>
              <w:t>TGGTGGTTTGCTACGACGTG</w:t>
            </w:r>
          </w:p>
        </w:tc>
        <w:tc>
          <w:tcPr>
            <w:tcW w:w="2035" w:type="dxa"/>
          </w:tcPr>
          <w:p w14:paraId="0E1666E7">
            <w:pPr>
              <w:jc w:val="center"/>
            </w:pPr>
            <w:r>
              <w:rPr>
                <w:rFonts w:hint="eastAsia"/>
              </w:rPr>
              <w:t>20</w:t>
            </w:r>
          </w:p>
        </w:tc>
      </w:tr>
      <w:tr w14:paraId="4095CE5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Merge w:val="restart"/>
          </w:tcPr>
          <w:p w14:paraId="358F67D8">
            <w:pPr>
              <w:jc w:val="left"/>
            </w:pPr>
            <w:r>
              <w:rPr>
                <w:rFonts w:hint="eastAsia"/>
              </w:rPr>
              <w:t>PAD4</w:t>
            </w:r>
          </w:p>
        </w:tc>
        <w:tc>
          <w:tcPr>
            <w:tcW w:w="1559" w:type="dxa"/>
            <w:vMerge w:val="restart"/>
          </w:tcPr>
          <w:p w14:paraId="598FA70E">
            <w:pPr>
              <w:jc w:val="center"/>
            </w:pPr>
            <w:r>
              <w:rPr>
                <w:rFonts w:hint="eastAsia"/>
              </w:rPr>
              <w:t>18602</w:t>
            </w:r>
          </w:p>
        </w:tc>
        <w:tc>
          <w:tcPr>
            <w:tcW w:w="3402" w:type="dxa"/>
          </w:tcPr>
          <w:p w14:paraId="770898E7">
            <w:pPr>
              <w:jc w:val="center"/>
            </w:pPr>
            <w:r>
              <w:rPr>
                <w:rFonts w:hint="eastAsia"/>
              </w:rPr>
              <w:t>CGTGAGGCTCTTCTCCGATT</w:t>
            </w:r>
          </w:p>
        </w:tc>
        <w:tc>
          <w:tcPr>
            <w:tcW w:w="2035" w:type="dxa"/>
          </w:tcPr>
          <w:p w14:paraId="1FDEC770">
            <w:pPr>
              <w:jc w:val="center"/>
            </w:pPr>
            <w:r>
              <w:rPr>
                <w:rFonts w:hint="eastAsia"/>
              </w:rPr>
              <w:t>20</w:t>
            </w:r>
          </w:p>
        </w:tc>
      </w:tr>
      <w:tr w14:paraId="552D45F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Merge w:val="continue"/>
          </w:tcPr>
          <w:p w14:paraId="4E1A5B84">
            <w:pPr>
              <w:jc w:val="left"/>
            </w:pPr>
          </w:p>
        </w:tc>
        <w:tc>
          <w:tcPr>
            <w:tcW w:w="1559" w:type="dxa"/>
            <w:vMerge w:val="continue"/>
          </w:tcPr>
          <w:p w14:paraId="6435A45A">
            <w:pPr>
              <w:jc w:val="center"/>
            </w:pPr>
          </w:p>
        </w:tc>
        <w:tc>
          <w:tcPr>
            <w:tcW w:w="3402" w:type="dxa"/>
          </w:tcPr>
          <w:p w14:paraId="78EF02E2">
            <w:pPr>
              <w:jc w:val="center"/>
            </w:pPr>
            <w:r>
              <w:rPr>
                <w:rFonts w:hint="eastAsia"/>
              </w:rPr>
              <w:t>GCTCTCCACATAGGCATTCTG</w:t>
            </w:r>
          </w:p>
        </w:tc>
        <w:tc>
          <w:tcPr>
            <w:tcW w:w="2035" w:type="dxa"/>
          </w:tcPr>
          <w:p w14:paraId="044E916A">
            <w:pPr>
              <w:jc w:val="center"/>
            </w:pPr>
            <w:r>
              <w:rPr>
                <w:rFonts w:hint="eastAsia"/>
              </w:rPr>
              <w:t>21</w:t>
            </w:r>
          </w:p>
        </w:tc>
      </w:tr>
      <w:tr w14:paraId="48B67C8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Merge w:val="restart"/>
          </w:tcPr>
          <w:p w14:paraId="44E28A0C">
            <w:pPr>
              <w:jc w:val="left"/>
            </w:pPr>
            <w:r>
              <w:rPr>
                <w:rFonts w:hint="eastAsia"/>
              </w:rPr>
              <w:t>ELANE</w:t>
            </w:r>
          </w:p>
        </w:tc>
        <w:tc>
          <w:tcPr>
            <w:tcW w:w="1559" w:type="dxa"/>
            <w:vMerge w:val="restart"/>
          </w:tcPr>
          <w:p w14:paraId="41D6BC5C">
            <w:pPr>
              <w:jc w:val="center"/>
            </w:pPr>
            <w:r>
              <w:rPr>
                <w:rFonts w:hint="eastAsia"/>
              </w:rPr>
              <w:t>50701</w:t>
            </w:r>
          </w:p>
        </w:tc>
        <w:tc>
          <w:tcPr>
            <w:tcW w:w="3402" w:type="dxa"/>
          </w:tcPr>
          <w:p w14:paraId="6604F2A1">
            <w:pPr>
              <w:jc w:val="center"/>
            </w:pPr>
            <w:r>
              <w:rPr>
                <w:rFonts w:hint="eastAsia"/>
              </w:rPr>
              <w:t>GGATCTTCGAGAATGGCTTTG</w:t>
            </w:r>
          </w:p>
        </w:tc>
        <w:tc>
          <w:tcPr>
            <w:tcW w:w="2035" w:type="dxa"/>
          </w:tcPr>
          <w:p w14:paraId="66DD0931">
            <w:pPr>
              <w:jc w:val="center"/>
            </w:pPr>
            <w:r>
              <w:rPr>
                <w:rFonts w:hint="eastAsia"/>
              </w:rPr>
              <w:t>21</w:t>
            </w:r>
          </w:p>
        </w:tc>
      </w:tr>
      <w:tr w14:paraId="4C6EE07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Merge w:val="continue"/>
          </w:tcPr>
          <w:p w14:paraId="1BD55909">
            <w:pPr>
              <w:jc w:val="left"/>
            </w:pPr>
          </w:p>
        </w:tc>
        <w:tc>
          <w:tcPr>
            <w:tcW w:w="1559" w:type="dxa"/>
            <w:vMerge w:val="continue"/>
          </w:tcPr>
          <w:p w14:paraId="62C57500">
            <w:pPr>
              <w:jc w:val="center"/>
            </w:pPr>
          </w:p>
        </w:tc>
        <w:tc>
          <w:tcPr>
            <w:tcW w:w="3402" w:type="dxa"/>
          </w:tcPr>
          <w:p w14:paraId="4C266CD2">
            <w:pPr>
              <w:jc w:val="center"/>
            </w:pPr>
            <w:r>
              <w:rPr>
                <w:rFonts w:hint="eastAsia"/>
              </w:rPr>
              <w:t>GCACGTTGGCGTTAATGGT</w:t>
            </w:r>
          </w:p>
        </w:tc>
        <w:tc>
          <w:tcPr>
            <w:tcW w:w="2035" w:type="dxa"/>
          </w:tcPr>
          <w:p w14:paraId="79299CBC">
            <w:pPr>
              <w:jc w:val="center"/>
            </w:pPr>
            <w:r>
              <w:rPr>
                <w:rFonts w:hint="eastAsia"/>
              </w:rPr>
              <w:t>19</w:t>
            </w:r>
          </w:p>
        </w:tc>
      </w:tr>
      <w:tr w14:paraId="2EF0EEF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Merge w:val="restart"/>
          </w:tcPr>
          <w:p w14:paraId="54A52A8A">
            <w:pPr>
              <w:jc w:val="left"/>
            </w:pPr>
            <w:r>
              <w:rPr>
                <w:rFonts w:hint="eastAsia"/>
              </w:rPr>
              <w:t>MPO</w:t>
            </w:r>
          </w:p>
        </w:tc>
        <w:tc>
          <w:tcPr>
            <w:tcW w:w="1559" w:type="dxa"/>
            <w:vMerge w:val="restart"/>
          </w:tcPr>
          <w:p w14:paraId="5F5DC1A7">
            <w:pPr>
              <w:jc w:val="center"/>
            </w:pPr>
            <w:r>
              <w:rPr>
                <w:rFonts w:hint="eastAsia"/>
              </w:rPr>
              <w:t>17523</w:t>
            </w:r>
          </w:p>
        </w:tc>
        <w:tc>
          <w:tcPr>
            <w:tcW w:w="3402" w:type="dxa"/>
          </w:tcPr>
          <w:p w14:paraId="2ADB157C">
            <w:pPr>
              <w:jc w:val="center"/>
            </w:pPr>
            <w:r>
              <w:rPr>
                <w:rFonts w:hint="eastAsia"/>
              </w:rPr>
              <w:t>ATGCCCACCGAATGACAAG</w:t>
            </w:r>
          </w:p>
        </w:tc>
        <w:tc>
          <w:tcPr>
            <w:tcW w:w="2035" w:type="dxa"/>
          </w:tcPr>
          <w:p w14:paraId="31D40C84">
            <w:pPr>
              <w:jc w:val="center"/>
            </w:pPr>
            <w:r>
              <w:rPr>
                <w:rFonts w:hint="eastAsia"/>
              </w:rPr>
              <w:t>19</w:t>
            </w:r>
          </w:p>
        </w:tc>
      </w:tr>
      <w:tr w14:paraId="4700A85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Merge w:val="continue"/>
          </w:tcPr>
          <w:p w14:paraId="6C0C0006">
            <w:pPr>
              <w:jc w:val="left"/>
            </w:pPr>
          </w:p>
        </w:tc>
        <w:tc>
          <w:tcPr>
            <w:tcW w:w="1559" w:type="dxa"/>
            <w:vMerge w:val="continue"/>
          </w:tcPr>
          <w:p w14:paraId="2369C9E9">
            <w:pPr>
              <w:jc w:val="center"/>
            </w:pPr>
          </w:p>
        </w:tc>
        <w:tc>
          <w:tcPr>
            <w:tcW w:w="3402" w:type="dxa"/>
          </w:tcPr>
          <w:p w14:paraId="2C73C07E">
            <w:pPr>
              <w:jc w:val="center"/>
            </w:pPr>
            <w:r>
              <w:rPr>
                <w:rFonts w:hint="eastAsia"/>
              </w:rPr>
              <w:t>GACGCCATCTTCATACTCTGC</w:t>
            </w:r>
          </w:p>
        </w:tc>
        <w:tc>
          <w:tcPr>
            <w:tcW w:w="2035" w:type="dxa"/>
          </w:tcPr>
          <w:p w14:paraId="6FAC7B3C">
            <w:pPr>
              <w:jc w:val="center"/>
            </w:pPr>
            <w:r>
              <w:rPr>
                <w:rFonts w:hint="eastAsia"/>
              </w:rPr>
              <w:t>21</w:t>
            </w:r>
          </w:p>
        </w:tc>
      </w:tr>
      <w:tr w14:paraId="2BE7A11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Merge w:val="restart"/>
          </w:tcPr>
          <w:p w14:paraId="7F4772C3">
            <w:pPr>
              <w:jc w:val="left"/>
            </w:pPr>
            <w:r>
              <w:rPr>
                <w:rFonts w:hint="eastAsia"/>
              </w:rPr>
              <w:t>Ctsg</w:t>
            </w:r>
          </w:p>
        </w:tc>
        <w:tc>
          <w:tcPr>
            <w:tcW w:w="1559" w:type="dxa"/>
            <w:vMerge w:val="restart"/>
          </w:tcPr>
          <w:p w14:paraId="730A9C85">
            <w:pPr>
              <w:jc w:val="center"/>
            </w:pPr>
            <w:r>
              <w:rPr>
                <w:rFonts w:hint="eastAsia"/>
              </w:rPr>
              <w:t>13035</w:t>
            </w:r>
          </w:p>
        </w:tc>
        <w:tc>
          <w:tcPr>
            <w:tcW w:w="3402" w:type="dxa"/>
          </w:tcPr>
          <w:p w14:paraId="792399EB">
            <w:pPr>
              <w:jc w:val="center"/>
            </w:pPr>
            <w:r>
              <w:rPr>
                <w:rFonts w:hint="eastAsia"/>
              </w:rPr>
              <w:t>CCCTGGTATGTAGCAATGTGG</w:t>
            </w:r>
          </w:p>
        </w:tc>
        <w:tc>
          <w:tcPr>
            <w:tcW w:w="2035" w:type="dxa"/>
          </w:tcPr>
          <w:p w14:paraId="65D4B319">
            <w:pPr>
              <w:jc w:val="center"/>
            </w:pPr>
            <w:r>
              <w:rPr>
                <w:rFonts w:hint="eastAsia"/>
              </w:rPr>
              <w:t>21</w:t>
            </w:r>
          </w:p>
        </w:tc>
      </w:tr>
      <w:tr w14:paraId="2F4EEAE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526" w:type="dxa"/>
            <w:vMerge w:val="continue"/>
          </w:tcPr>
          <w:p w14:paraId="701CF056">
            <w:pPr>
              <w:jc w:val="left"/>
            </w:pPr>
          </w:p>
        </w:tc>
        <w:tc>
          <w:tcPr>
            <w:tcW w:w="1559" w:type="dxa"/>
            <w:vMerge w:val="continue"/>
          </w:tcPr>
          <w:p w14:paraId="213CF76C">
            <w:pPr>
              <w:jc w:val="center"/>
            </w:pPr>
          </w:p>
        </w:tc>
        <w:tc>
          <w:tcPr>
            <w:tcW w:w="3402" w:type="dxa"/>
          </w:tcPr>
          <w:p w14:paraId="3AECBE88">
            <w:pPr>
              <w:jc w:val="center"/>
            </w:pPr>
            <w:r>
              <w:rPr>
                <w:rFonts w:hint="eastAsia"/>
              </w:rPr>
              <w:t>TATCTTGGTGCAAAGCGTCTC</w:t>
            </w:r>
          </w:p>
        </w:tc>
        <w:tc>
          <w:tcPr>
            <w:tcW w:w="2035" w:type="dxa"/>
          </w:tcPr>
          <w:p w14:paraId="27562825">
            <w:pPr>
              <w:jc w:val="center"/>
            </w:pPr>
            <w:r>
              <w:rPr>
                <w:rFonts w:hint="eastAsia"/>
              </w:rPr>
              <w:t>21</w:t>
            </w:r>
          </w:p>
        </w:tc>
      </w:tr>
    </w:tbl>
    <w:p w14:paraId="0195B8F8">
      <w:pPr>
        <w:pStyle w:val="6"/>
        <w:widowControl/>
        <w:rPr>
          <w:rStyle w:val="9"/>
          <w:rFonts w:ascii="Times New Roman" w:hAnsi="Times New Roman"/>
        </w:rPr>
      </w:pPr>
    </w:p>
    <w:p w14:paraId="67E5C5E7">
      <w:pPr>
        <w:pStyle w:val="6"/>
        <w:widowControl/>
        <w:rPr>
          <w:rStyle w:val="9"/>
          <w:rFonts w:ascii="Times New Roman" w:hAnsi="Times New Roman"/>
        </w:rPr>
      </w:pPr>
    </w:p>
    <w:p w14:paraId="4A042C9D">
      <w:pPr>
        <w:spacing w:line="480" w:lineRule="auto"/>
        <w:rPr>
          <w:rFonts w:ascii="Times New Roman" w:hAnsi="Times New Roman"/>
          <w:b/>
          <w:bCs/>
          <w:color w:val="000000"/>
          <w:sz w:val="24"/>
        </w:rPr>
      </w:pPr>
    </w:p>
    <w:p w14:paraId="4A1A1362">
      <w:pPr>
        <w:rPr>
          <w:rFonts w:cs="Calibri"/>
          <w:b/>
          <w:bCs/>
          <w:color w:val="000000"/>
        </w:rPr>
      </w:pPr>
      <w:r>
        <w:rPr>
          <w:rFonts w:hint="eastAsia" w:cs="Calibri"/>
          <w:b/>
          <w:bCs/>
          <w:color w:val="000000"/>
        </w:rPr>
        <w:drawing>
          <wp:inline distT="0" distB="0" distL="114300" distR="114300">
            <wp:extent cx="5269230" cy="6350635"/>
            <wp:effectExtent l="0" t="0" r="7620" b="2540"/>
            <wp:docPr id="12" name="图片 12" descr="幻灯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幻灯片1"/>
                    <pic:cNvPicPr>
                      <a:picLocks noChangeAspect="1"/>
                    </pic:cNvPicPr>
                  </pic:nvPicPr>
                  <pic:blipFill>
                    <a:blip r:embed="rId5"/>
                    <a:stretch>
                      <a:fillRect/>
                    </a:stretch>
                  </pic:blipFill>
                  <pic:spPr>
                    <a:xfrm>
                      <a:off x="0" y="0"/>
                      <a:ext cx="5269230" cy="6350635"/>
                    </a:xfrm>
                    <a:prstGeom prst="rect">
                      <a:avLst/>
                    </a:prstGeom>
                  </pic:spPr>
                </pic:pic>
              </a:graphicData>
            </a:graphic>
          </wp:inline>
        </w:drawing>
      </w:r>
    </w:p>
    <w:p w14:paraId="65666D97">
      <w:pPr>
        <w:spacing w:line="480" w:lineRule="auto"/>
        <w:rPr>
          <w:rFonts w:ascii="Times New Roman" w:hAnsi="Times New Roman"/>
          <w:color w:val="000000"/>
          <w:sz w:val="24"/>
        </w:rPr>
      </w:pPr>
      <w:r>
        <w:rPr>
          <w:rFonts w:ascii="Times New Roman" w:hAnsi="Times New Roman"/>
          <w:b/>
          <w:bCs/>
          <w:color w:val="000000" w:themeColor="text1"/>
          <w:sz w:val="24"/>
          <w14:textFill>
            <w14:solidFill>
              <w14:schemeClr w14:val="tx1"/>
            </w14:solidFill>
          </w14:textFill>
        </w:rPr>
        <w:t>Fig. S</w:t>
      </w:r>
      <w:r>
        <w:rPr>
          <w:rFonts w:hint="eastAsia" w:ascii="Times New Roman" w:hAnsi="Times New Roman"/>
          <w:b/>
          <w:bCs/>
          <w:color w:val="000000" w:themeColor="text1"/>
          <w:sz w:val="24"/>
          <w14:textFill>
            <w14:solidFill>
              <w14:schemeClr w14:val="tx1"/>
            </w14:solidFill>
          </w14:textFill>
        </w:rPr>
        <w:t>2</w:t>
      </w:r>
      <w:r>
        <w:rPr>
          <w:rFonts w:ascii="Times New Roman" w:hAnsi="Times New Roman"/>
          <w:b/>
          <w:bCs/>
          <w:color w:val="000000" w:themeColor="text1"/>
          <w:sz w:val="24"/>
          <w14:textFill>
            <w14:solidFill>
              <w14:schemeClr w14:val="tx1"/>
            </w14:solidFill>
          </w14:textFill>
        </w:rPr>
        <w:t xml:space="preserve"> Qua</w:t>
      </w:r>
      <w:r>
        <w:rPr>
          <w:rFonts w:ascii="Times New Roman" w:hAnsi="Times New Roman"/>
          <w:b/>
          <w:bCs/>
          <w:color w:val="000000"/>
          <w:sz w:val="24"/>
        </w:rPr>
        <w:t>lity control, dimensionality reduction, and cell type annotation of single-cell RNA-seq data.</w:t>
      </w:r>
      <w:r>
        <w:rPr>
          <w:rFonts w:hint="eastAsia" w:ascii="Times New Roman" w:hAnsi="Times New Roman"/>
          <w:b/>
          <w:bCs/>
          <w:color w:val="000000"/>
          <w:sz w:val="24"/>
        </w:rPr>
        <w:t xml:space="preserve"> </w:t>
      </w:r>
      <w:r>
        <w:rPr>
          <w:rFonts w:ascii="Times New Roman" w:hAnsi="Times New Roman"/>
          <w:color w:val="000000"/>
          <w:sz w:val="24"/>
        </w:rPr>
        <w:t>(A) Violin plots showing the distributions of the number of detected genes per cell (nFeature_RNA), total UMI counts per cell (nCount_RNA), and the percentage of mitochondrial gene expression (percent.mt) for each sample prior to quality control filtering.</w:t>
      </w:r>
      <w:r>
        <w:rPr>
          <w:rFonts w:hint="eastAsia" w:ascii="Times New Roman" w:hAnsi="Times New Roman"/>
          <w:color w:val="000000"/>
          <w:sz w:val="24"/>
        </w:rPr>
        <w:t xml:space="preserve"> </w:t>
      </w:r>
      <w:r>
        <w:rPr>
          <w:rFonts w:ascii="Times New Roman" w:hAnsi="Times New Roman"/>
          <w:color w:val="000000"/>
          <w:sz w:val="24"/>
        </w:rPr>
        <w:t>(B) Violin plots showing nFeature_RNA, nCount_RNA, and percent.mt for each sample after quality control filtering, indicating improved data quality and reduced technical noise.</w:t>
      </w:r>
      <w:r>
        <w:rPr>
          <w:rFonts w:hint="eastAsia" w:ascii="Times New Roman" w:hAnsi="Times New Roman"/>
          <w:color w:val="000000"/>
          <w:sz w:val="24"/>
        </w:rPr>
        <w:t xml:space="preserve"> </w:t>
      </w:r>
      <w:r>
        <w:rPr>
          <w:rFonts w:ascii="Times New Roman" w:hAnsi="Times New Roman"/>
          <w:color w:val="000000"/>
          <w:sz w:val="24"/>
        </w:rPr>
        <w:t>(C) Identification of highly variable genes across all cells. The plot displays average gene expression versus dispersion, with highly variable genes highlighted in red and non-variable genes shown in black.</w:t>
      </w:r>
      <w:r>
        <w:rPr>
          <w:rFonts w:hint="eastAsia" w:ascii="Times New Roman" w:hAnsi="Times New Roman"/>
          <w:color w:val="000000"/>
          <w:sz w:val="24"/>
        </w:rPr>
        <w:t xml:space="preserve"> </w:t>
      </w:r>
      <w:r>
        <w:rPr>
          <w:rFonts w:ascii="Times New Roman" w:hAnsi="Times New Roman"/>
          <w:color w:val="000000"/>
          <w:sz w:val="24"/>
        </w:rPr>
        <w:t>(D) Principal component analysis (PCA) of the integrated dataset based on highly variable genes, with cells coloured by sample identity.</w:t>
      </w:r>
      <w:r>
        <w:rPr>
          <w:rFonts w:hint="eastAsia" w:ascii="Times New Roman" w:hAnsi="Times New Roman"/>
          <w:color w:val="000000"/>
          <w:sz w:val="24"/>
        </w:rPr>
        <w:t xml:space="preserve"> </w:t>
      </w:r>
      <w:r>
        <w:rPr>
          <w:rFonts w:ascii="Times New Roman" w:hAnsi="Times New Roman"/>
          <w:color w:val="000000"/>
          <w:sz w:val="24"/>
        </w:rPr>
        <w:t>(E) Elbow plot showing the standard deviation of each principal component (PC), used to determine the number of PCs retained for downstream analyses.</w:t>
      </w:r>
      <w:r>
        <w:rPr>
          <w:rFonts w:hint="eastAsia" w:ascii="Times New Roman" w:hAnsi="Times New Roman"/>
          <w:color w:val="000000"/>
          <w:sz w:val="24"/>
        </w:rPr>
        <w:t xml:space="preserve"> </w:t>
      </w:r>
      <w:r>
        <w:rPr>
          <w:rFonts w:ascii="Times New Roman" w:hAnsi="Times New Roman"/>
          <w:color w:val="000000"/>
          <w:sz w:val="24"/>
        </w:rPr>
        <w:t>(F–H) Uniform Manifold Approximation and Projection (UMAP) visualisation of the integrated single-cell dataset. Cells are coloured by inferred cell type annotations, including T cells, neutrophils, plasma cells, NK cells, endothelial cells, fibroblasts, epithelial cells, dendritic cells, pericytes, mast cells, and macrophages. Comparable clustering patterns across panels indicate stable and robust cell type identification.</w:t>
      </w:r>
    </w:p>
    <w:p w14:paraId="258735A4">
      <w:pPr>
        <w:spacing w:line="360" w:lineRule="auto"/>
        <w:rPr>
          <w:rFonts w:ascii="Times New Roman" w:hAnsi="Times New Roman"/>
          <w:color w:val="000000"/>
          <w:sz w:val="24"/>
        </w:rPr>
      </w:pPr>
    </w:p>
    <w:p w14:paraId="4F218AC0">
      <w:pPr>
        <w:rPr>
          <w:rFonts w:ascii="Times New Roman" w:hAnsi="Times New Roman"/>
          <w:color w:val="000000"/>
          <w:sz w:val="20"/>
          <w:szCs w:val="20"/>
        </w:rPr>
      </w:pPr>
    </w:p>
    <w:p w14:paraId="54D4CE1A">
      <w:pPr>
        <w:rPr>
          <w:rFonts w:ascii="Times New Roman" w:hAnsi="Times New Roman"/>
          <w:color w:val="000000"/>
          <w:sz w:val="20"/>
          <w:szCs w:val="20"/>
        </w:rPr>
      </w:pPr>
    </w:p>
    <w:p w14:paraId="02F399EF">
      <w:pPr>
        <w:rPr>
          <w:rFonts w:ascii="Times New Roman" w:hAnsi="Times New Roman"/>
          <w:color w:val="000000"/>
          <w:sz w:val="20"/>
          <w:szCs w:val="20"/>
        </w:rPr>
      </w:pPr>
      <w:r>
        <w:rPr>
          <w:rFonts w:hint="eastAsia" w:ascii="Times New Roman" w:hAnsi="Times New Roman"/>
          <w:color w:val="000000"/>
          <w:sz w:val="20"/>
          <w:szCs w:val="20"/>
        </w:rPr>
        <w:drawing>
          <wp:inline distT="0" distB="0" distL="114300" distR="114300">
            <wp:extent cx="5269230" cy="6921500"/>
            <wp:effectExtent l="0" t="0" r="7620" b="3175"/>
            <wp:docPr id="13" name="图片 13" descr="幻灯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幻灯片2"/>
                    <pic:cNvPicPr>
                      <a:picLocks noChangeAspect="1"/>
                    </pic:cNvPicPr>
                  </pic:nvPicPr>
                  <pic:blipFill>
                    <a:blip r:embed="rId6"/>
                    <a:stretch>
                      <a:fillRect/>
                    </a:stretch>
                  </pic:blipFill>
                  <pic:spPr>
                    <a:xfrm>
                      <a:off x="0" y="0"/>
                      <a:ext cx="5269230" cy="6921500"/>
                    </a:xfrm>
                    <a:prstGeom prst="rect">
                      <a:avLst/>
                    </a:prstGeom>
                  </pic:spPr>
                </pic:pic>
              </a:graphicData>
            </a:graphic>
          </wp:inline>
        </w:drawing>
      </w:r>
    </w:p>
    <w:p w14:paraId="56651B2C">
      <w:pPr>
        <w:spacing w:line="480" w:lineRule="auto"/>
        <w:rPr>
          <w:rFonts w:ascii="Times New Roman" w:hAnsi="Times New Roman"/>
          <w:bCs/>
          <w:color w:val="000000"/>
          <w:sz w:val="24"/>
        </w:rPr>
      </w:pPr>
      <w:r>
        <w:rPr>
          <w:rFonts w:ascii="Times New Roman" w:hAnsi="Times New Roman"/>
          <w:b/>
          <w:color w:val="000000" w:themeColor="text1"/>
          <w:sz w:val="24"/>
          <w14:textFill>
            <w14:solidFill>
              <w14:schemeClr w14:val="tx1"/>
            </w14:solidFill>
          </w14:textFill>
        </w:rPr>
        <w:t>Fig. S</w:t>
      </w:r>
      <w:r>
        <w:rPr>
          <w:rFonts w:hint="eastAsia" w:ascii="Times New Roman" w:hAnsi="Times New Roman"/>
          <w:b/>
          <w:color w:val="000000" w:themeColor="text1"/>
          <w:sz w:val="24"/>
          <w14:textFill>
            <w14:solidFill>
              <w14:schemeClr w14:val="tx1"/>
            </w14:solidFill>
          </w14:textFill>
        </w:rPr>
        <w:t>3</w:t>
      </w:r>
      <w:r>
        <w:rPr>
          <w:rFonts w:ascii="Times New Roman" w:hAnsi="Times New Roman"/>
          <w:b/>
          <w:color w:val="000000" w:themeColor="text1"/>
          <w:sz w:val="24"/>
          <w14:textFill>
            <w14:solidFill>
              <w14:schemeClr w14:val="tx1"/>
            </w14:solidFill>
          </w14:textFill>
        </w:rPr>
        <w:t xml:space="preserve"> LC–</w:t>
      </w:r>
      <w:r>
        <w:rPr>
          <w:rFonts w:ascii="Times New Roman" w:hAnsi="Times New Roman"/>
          <w:b/>
          <w:color w:val="000000"/>
          <w:sz w:val="24"/>
        </w:rPr>
        <w:t>MS/MS Analysis and Compound Identification.</w:t>
      </w:r>
      <w:r>
        <w:rPr>
          <w:rFonts w:hint="eastAsia" w:ascii="Times New Roman" w:hAnsi="Times New Roman"/>
          <w:bCs/>
          <w:color w:val="000000"/>
          <w:sz w:val="24"/>
        </w:rPr>
        <w:t xml:space="preserve"> </w:t>
      </w:r>
      <w:r>
        <w:rPr>
          <w:rFonts w:ascii="Times New Roman" w:hAnsi="Times New Roman"/>
          <w:bCs/>
          <w:color w:val="000000"/>
          <w:sz w:val="24"/>
        </w:rPr>
        <w:t>(A) Total ion chromatogram (TIC) of the analysed sample, showing the overall chromatographic profile across the retention time range</w:t>
      </w:r>
      <w:r>
        <w:rPr>
          <w:rFonts w:hint="eastAsia" w:ascii="Times New Roman" w:hAnsi="Times New Roman"/>
          <w:bCs/>
          <w:color w:val="000000"/>
          <w:sz w:val="24"/>
        </w:rPr>
        <w:t xml:space="preserve">. </w:t>
      </w:r>
      <w:r>
        <w:rPr>
          <w:rFonts w:ascii="Times New Roman" w:hAnsi="Times New Roman"/>
          <w:bCs/>
          <w:color w:val="000000"/>
          <w:sz w:val="24"/>
        </w:rPr>
        <w:t>(B) MS/MS fragmentation spectrum of (R)-ar-turmerone detected at m/z 217.1576. The dashed box highlights the precursor ion region used for compound identification.</w:t>
      </w:r>
      <w:r>
        <w:rPr>
          <w:rFonts w:hint="eastAsia" w:ascii="Times New Roman" w:hAnsi="Times New Roman"/>
          <w:bCs/>
          <w:color w:val="000000"/>
          <w:sz w:val="24"/>
        </w:rPr>
        <w:t xml:space="preserve"> </w:t>
      </w:r>
      <w:r>
        <w:rPr>
          <w:rFonts w:ascii="Times New Roman" w:hAnsi="Times New Roman"/>
          <w:bCs/>
          <w:color w:val="000000"/>
          <w:sz w:val="24"/>
        </w:rPr>
        <w:t>(C) MS/MS fragmentation spectrum of curcumenol detected at m/z 235.1680. The dashed box indicates the precursor ion signal.</w:t>
      </w:r>
      <w:r>
        <w:rPr>
          <w:rFonts w:hint="eastAsia" w:ascii="Times New Roman" w:hAnsi="Times New Roman"/>
          <w:bCs/>
          <w:color w:val="000000"/>
          <w:sz w:val="24"/>
        </w:rPr>
        <w:t xml:space="preserve"> </w:t>
      </w:r>
      <w:r>
        <w:rPr>
          <w:rFonts w:ascii="Times New Roman" w:hAnsi="Times New Roman"/>
          <w:bCs/>
          <w:color w:val="000000"/>
          <w:sz w:val="24"/>
        </w:rPr>
        <w:t>(D) MS/MS fragmentation spectrum of curcumin detected at m/z 369.1313, with the precursor ion highlighted by the dashed box.</w:t>
      </w:r>
    </w:p>
    <w:p w14:paraId="7FD04D69">
      <w:pPr>
        <w:rPr>
          <w:rStyle w:val="9"/>
          <w:rFonts w:ascii="Times New Roman" w:hAnsi="Times New Roman"/>
          <w:b w:val="0"/>
          <w:bCs/>
          <w:color w:val="000000"/>
          <w:sz w:val="24"/>
        </w:rPr>
      </w:pPr>
    </w:p>
    <w:p w14:paraId="7536B199">
      <w:pPr>
        <w:rPr>
          <w:rStyle w:val="9"/>
          <w:rFonts w:ascii="Times New Roman" w:hAnsi="Times New Roman"/>
          <w:b w:val="0"/>
          <w:bCs/>
          <w:color w:val="000000"/>
          <w:sz w:val="24"/>
        </w:rPr>
      </w:pPr>
    </w:p>
    <w:p w14:paraId="4E482F8B">
      <w:pPr>
        <w:rPr>
          <w:rStyle w:val="9"/>
          <w:rFonts w:ascii="Times New Roman" w:hAnsi="Times New Roman"/>
          <w:b w:val="0"/>
          <w:bCs/>
          <w:color w:val="000000"/>
          <w:sz w:val="24"/>
        </w:rPr>
      </w:pPr>
    </w:p>
    <w:p w14:paraId="4254D62A">
      <w:pPr>
        <w:rPr>
          <w:rStyle w:val="9"/>
          <w:rFonts w:ascii="Times New Roman" w:hAnsi="Times New Roman"/>
          <w:b w:val="0"/>
          <w:bCs/>
          <w:color w:val="000000"/>
          <w:sz w:val="24"/>
        </w:rPr>
      </w:pPr>
    </w:p>
    <w:p w14:paraId="4BA8EDF6">
      <w:pPr>
        <w:rPr>
          <w:rStyle w:val="9"/>
          <w:rFonts w:ascii="Times New Roman" w:hAnsi="Times New Roman"/>
          <w:b w:val="0"/>
          <w:bCs/>
          <w:color w:val="000000"/>
          <w:sz w:val="24"/>
        </w:rPr>
      </w:pPr>
    </w:p>
    <w:p w14:paraId="2ABDD501">
      <w:pPr>
        <w:rPr>
          <w:rStyle w:val="9"/>
          <w:rFonts w:ascii="Times New Roman" w:hAnsi="Times New Roman"/>
          <w:b w:val="0"/>
          <w:bCs/>
          <w:color w:val="000000"/>
          <w:sz w:val="24"/>
        </w:rPr>
      </w:pPr>
    </w:p>
    <w:p w14:paraId="4FA14AA6">
      <w:pPr>
        <w:rPr>
          <w:rStyle w:val="9"/>
          <w:rFonts w:ascii="Times New Roman" w:hAnsi="Times New Roman"/>
          <w:b w:val="0"/>
          <w:bCs/>
          <w:color w:val="000000"/>
          <w:sz w:val="24"/>
        </w:rPr>
      </w:pPr>
    </w:p>
    <w:p w14:paraId="79B9A07D">
      <w:pPr>
        <w:rPr>
          <w:rStyle w:val="9"/>
          <w:rFonts w:ascii="Times New Roman" w:hAnsi="Times New Roman"/>
          <w:b w:val="0"/>
          <w:bCs/>
          <w:color w:val="000000"/>
          <w:sz w:val="24"/>
        </w:rPr>
      </w:pPr>
    </w:p>
    <w:p w14:paraId="614EC19C">
      <w:pPr>
        <w:rPr>
          <w:rStyle w:val="9"/>
          <w:rFonts w:ascii="Times New Roman" w:hAnsi="Times New Roman"/>
          <w:b w:val="0"/>
          <w:bCs/>
          <w:color w:val="000000"/>
          <w:sz w:val="24"/>
        </w:rPr>
      </w:pPr>
    </w:p>
    <w:p w14:paraId="25667496">
      <w:pPr>
        <w:rPr>
          <w:rStyle w:val="9"/>
          <w:rFonts w:ascii="Times New Roman" w:hAnsi="Times New Roman"/>
          <w:b w:val="0"/>
          <w:bCs/>
          <w:color w:val="000000"/>
          <w:sz w:val="24"/>
        </w:rPr>
      </w:pPr>
    </w:p>
    <w:p w14:paraId="66935C15">
      <w:pPr>
        <w:rPr>
          <w:rStyle w:val="9"/>
          <w:rFonts w:ascii="Times New Roman" w:hAnsi="Times New Roman"/>
          <w:b w:val="0"/>
          <w:bCs/>
          <w:color w:val="000000"/>
          <w:sz w:val="24"/>
        </w:rPr>
      </w:pPr>
    </w:p>
    <w:p w14:paraId="3E40774F">
      <w:pPr>
        <w:rPr>
          <w:rStyle w:val="9"/>
          <w:rFonts w:ascii="Times New Roman" w:hAnsi="Times New Roman"/>
          <w:b w:val="0"/>
          <w:bCs/>
          <w:color w:val="000000"/>
          <w:sz w:val="24"/>
        </w:rPr>
      </w:pPr>
    </w:p>
    <w:p w14:paraId="4A2DD7D5">
      <w:pPr>
        <w:rPr>
          <w:rStyle w:val="9"/>
          <w:rFonts w:ascii="Times New Roman" w:hAnsi="Times New Roman"/>
          <w:b w:val="0"/>
          <w:bCs/>
          <w:color w:val="000000"/>
          <w:sz w:val="24"/>
        </w:rPr>
      </w:pPr>
    </w:p>
    <w:p w14:paraId="5BBDE0D1">
      <w:pPr>
        <w:rPr>
          <w:rStyle w:val="9"/>
          <w:rFonts w:ascii="Times New Roman" w:hAnsi="Times New Roman"/>
          <w:b w:val="0"/>
          <w:bCs/>
          <w:color w:val="000000"/>
          <w:sz w:val="24"/>
        </w:rPr>
      </w:pPr>
    </w:p>
    <w:p w14:paraId="1E6694FC">
      <w:pPr>
        <w:rPr>
          <w:rStyle w:val="9"/>
          <w:rFonts w:ascii="Times New Roman" w:hAnsi="Times New Roman"/>
          <w:b w:val="0"/>
          <w:bCs/>
          <w:color w:val="000000"/>
          <w:sz w:val="24"/>
        </w:rPr>
      </w:pPr>
    </w:p>
    <w:p w14:paraId="606E3FF7">
      <w:pPr>
        <w:rPr>
          <w:rStyle w:val="9"/>
          <w:rFonts w:ascii="Times New Roman" w:hAnsi="Times New Roman"/>
          <w:b w:val="0"/>
          <w:bCs/>
          <w:color w:val="000000"/>
          <w:sz w:val="24"/>
        </w:rPr>
      </w:pPr>
    </w:p>
    <w:p w14:paraId="0098DE52">
      <w:pPr>
        <w:rPr>
          <w:rStyle w:val="9"/>
          <w:rFonts w:ascii="Times New Roman" w:hAnsi="Times New Roman"/>
          <w:b w:val="0"/>
          <w:bCs/>
          <w:color w:val="000000"/>
          <w:sz w:val="24"/>
        </w:rPr>
      </w:pPr>
    </w:p>
    <w:p w14:paraId="03959F5F">
      <w:pPr>
        <w:rPr>
          <w:rStyle w:val="9"/>
          <w:rFonts w:ascii="Times New Roman" w:hAnsi="Times New Roman"/>
          <w:b w:val="0"/>
          <w:bCs/>
          <w:color w:val="000000"/>
          <w:sz w:val="24"/>
        </w:rPr>
      </w:pPr>
    </w:p>
    <w:p w14:paraId="1E0FC01A">
      <w:pPr>
        <w:rPr>
          <w:rStyle w:val="9"/>
          <w:rFonts w:ascii="Times New Roman" w:hAnsi="Times New Roman"/>
          <w:b w:val="0"/>
          <w:bCs/>
          <w:color w:val="000000"/>
          <w:sz w:val="24"/>
        </w:rPr>
      </w:pPr>
    </w:p>
    <w:p w14:paraId="5D497A72">
      <w:pPr>
        <w:rPr>
          <w:rStyle w:val="9"/>
          <w:rFonts w:ascii="Times New Roman" w:hAnsi="Times New Roman"/>
          <w:b w:val="0"/>
          <w:bCs/>
          <w:color w:val="000000"/>
          <w:sz w:val="24"/>
        </w:rPr>
      </w:pPr>
    </w:p>
    <w:p w14:paraId="66EB4F86">
      <w:pPr>
        <w:rPr>
          <w:rStyle w:val="9"/>
          <w:rFonts w:ascii="Times New Roman" w:hAnsi="Times New Roman"/>
          <w:b w:val="0"/>
          <w:bCs/>
          <w:color w:val="000000"/>
          <w:sz w:val="24"/>
        </w:rPr>
      </w:pPr>
    </w:p>
    <w:p w14:paraId="6C56C39C">
      <w:pPr>
        <w:rPr>
          <w:rStyle w:val="9"/>
          <w:rFonts w:ascii="Times New Roman" w:hAnsi="Times New Roman"/>
          <w:b w:val="0"/>
          <w:bCs/>
          <w:color w:val="000000"/>
          <w:sz w:val="24"/>
        </w:rPr>
      </w:pPr>
    </w:p>
    <w:p w14:paraId="579B2225">
      <w:pPr>
        <w:rPr>
          <w:rStyle w:val="9"/>
          <w:rFonts w:ascii="Times New Roman" w:hAnsi="Times New Roman"/>
          <w:b w:val="0"/>
          <w:bCs/>
          <w:color w:val="000000"/>
          <w:sz w:val="24"/>
        </w:rPr>
      </w:pPr>
    </w:p>
    <w:p w14:paraId="7579C3A0">
      <w:pPr>
        <w:rPr>
          <w:rStyle w:val="9"/>
          <w:rFonts w:ascii="Times New Roman" w:hAnsi="Times New Roman"/>
          <w:b w:val="0"/>
          <w:bCs/>
          <w:color w:val="000000"/>
          <w:sz w:val="24"/>
        </w:rPr>
      </w:pPr>
    </w:p>
    <w:p w14:paraId="5B52B753">
      <w:pPr>
        <w:rPr>
          <w:rStyle w:val="9"/>
          <w:rFonts w:ascii="Times New Roman" w:hAnsi="Times New Roman"/>
          <w:b w:val="0"/>
          <w:bCs/>
          <w:color w:val="000000"/>
          <w:sz w:val="24"/>
        </w:rPr>
      </w:pPr>
    </w:p>
    <w:p w14:paraId="0F4FE211">
      <w:pPr>
        <w:rPr>
          <w:rStyle w:val="9"/>
          <w:rFonts w:ascii="Times New Roman" w:hAnsi="Times New Roman"/>
          <w:b w:val="0"/>
          <w:bCs/>
          <w:color w:val="000000"/>
          <w:sz w:val="24"/>
        </w:rPr>
      </w:pPr>
    </w:p>
    <w:p w14:paraId="06A063C5">
      <w:pPr>
        <w:rPr>
          <w:rStyle w:val="9"/>
          <w:rFonts w:ascii="Times New Roman" w:hAnsi="Times New Roman"/>
          <w:b w:val="0"/>
          <w:bCs/>
          <w:color w:val="000000"/>
          <w:sz w:val="24"/>
        </w:rPr>
      </w:pPr>
    </w:p>
    <w:p w14:paraId="52203BE1">
      <w:pPr>
        <w:rPr>
          <w:rStyle w:val="9"/>
          <w:rFonts w:ascii="Times New Roman" w:hAnsi="Times New Roman"/>
          <w:b w:val="0"/>
          <w:bCs/>
          <w:color w:val="000000"/>
          <w:sz w:val="24"/>
        </w:rPr>
      </w:pPr>
    </w:p>
    <w:p w14:paraId="39A6133C">
      <w:pPr>
        <w:rPr>
          <w:rStyle w:val="9"/>
          <w:rFonts w:ascii="Times New Roman" w:hAnsi="Times New Roman"/>
          <w:b w:val="0"/>
          <w:bCs/>
          <w:color w:val="000000"/>
          <w:sz w:val="24"/>
        </w:rPr>
      </w:pPr>
    </w:p>
    <w:p w14:paraId="333CBF3D">
      <w:pPr>
        <w:rPr>
          <w:rStyle w:val="9"/>
          <w:rFonts w:ascii="Times New Roman" w:hAnsi="Times New Roman"/>
          <w:b w:val="0"/>
          <w:bCs/>
          <w:color w:val="000000"/>
          <w:sz w:val="24"/>
        </w:rPr>
      </w:pPr>
    </w:p>
    <w:p w14:paraId="3C8143DA">
      <w:pPr>
        <w:rPr>
          <w:rStyle w:val="9"/>
          <w:rFonts w:ascii="Times New Roman" w:hAnsi="Times New Roman"/>
          <w:b w:val="0"/>
          <w:bCs/>
          <w:color w:val="000000"/>
          <w:sz w:val="24"/>
        </w:rPr>
      </w:pPr>
    </w:p>
    <w:p w14:paraId="4614E0FB">
      <w:pPr>
        <w:rPr>
          <w:rStyle w:val="9"/>
          <w:rFonts w:ascii="Times New Roman" w:hAnsi="Times New Roman"/>
          <w:b w:val="0"/>
          <w:bCs/>
          <w:color w:val="000000"/>
          <w:sz w:val="24"/>
        </w:rPr>
      </w:pPr>
    </w:p>
    <w:p w14:paraId="2A07CE68">
      <w:pPr>
        <w:rPr>
          <w:rStyle w:val="9"/>
          <w:rFonts w:ascii="Times New Roman" w:hAnsi="Times New Roman"/>
          <w:b w:val="0"/>
          <w:bCs/>
          <w:color w:val="000000"/>
          <w:sz w:val="24"/>
        </w:rPr>
      </w:pPr>
    </w:p>
    <w:p w14:paraId="088641BA">
      <w:pPr>
        <w:rPr>
          <w:rStyle w:val="9"/>
          <w:rFonts w:ascii="Times New Roman" w:hAnsi="Times New Roman"/>
          <w:b w:val="0"/>
          <w:bCs/>
          <w:color w:val="000000"/>
          <w:sz w:val="24"/>
        </w:rPr>
      </w:pPr>
    </w:p>
    <w:p w14:paraId="21943D29">
      <w:pPr>
        <w:rPr>
          <w:rStyle w:val="9"/>
          <w:rFonts w:ascii="Times New Roman" w:hAnsi="Times New Roman"/>
          <w:b w:val="0"/>
          <w:bCs/>
          <w:color w:val="000000"/>
          <w:sz w:val="24"/>
        </w:rPr>
      </w:pPr>
    </w:p>
    <w:p w14:paraId="4EFB1766">
      <w:pPr>
        <w:rPr>
          <w:rStyle w:val="9"/>
          <w:rFonts w:ascii="Times New Roman" w:hAnsi="Times New Roman"/>
          <w:b w:val="0"/>
          <w:bCs/>
          <w:color w:val="000000"/>
          <w:sz w:val="24"/>
        </w:rPr>
      </w:pPr>
    </w:p>
    <w:p w14:paraId="11BD852A">
      <w:pPr>
        <w:rPr>
          <w:rStyle w:val="9"/>
          <w:rFonts w:ascii="Times New Roman" w:hAnsi="Times New Roman"/>
          <w:b w:val="0"/>
          <w:bCs/>
          <w:color w:val="000000"/>
          <w:sz w:val="24"/>
        </w:rPr>
      </w:pPr>
    </w:p>
    <w:p w14:paraId="2EAA5F52">
      <w:pPr>
        <w:rPr>
          <w:rStyle w:val="9"/>
          <w:rFonts w:ascii="Times New Roman" w:hAnsi="Times New Roman"/>
          <w:b w:val="0"/>
          <w:bCs/>
          <w:color w:val="000000"/>
          <w:sz w:val="24"/>
        </w:rPr>
      </w:pPr>
    </w:p>
    <w:p w14:paraId="59179611">
      <w:pPr>
        <w:spacing w:line="480" w:lineRule="auto"/>
        <w:rPr>
          <w:rFonts w:ascii="Times New Roman" w:hAnsi="Times New Roman"/>
          <w:color w:val="000000"/>
          <w:sz w:val="24"/>
        </w:rPr>
      </w:pPr>
      <w:r>
        <w:rPr>
          <w:rFonts w:ascii="Times New Roman" w:hAnsi="Times New Roman"/>
          <w:b/>
          <w:bCs/>
          <w:color w:val="000000" w:themeColor="text1"/>
          <w:sz w:val="24"/>
          <w14:textFill>
            <w14:solidFill>
              <w14:schemeClr w14:val="tx1"/>
            </w14:solidFill>
          </w14:textFill>
        </w:rPr>
        <w:t>Table S</w:t>
      </w:r>
      <w:r>
        <w:rPr>
          <w:rFonts w:hint="eastAsia" w:ascii="Times New Roman" w:hAnsi="Times New Roman"/>
          <w:b/>
          <w:bCs/>
          <w:color w:val="000000" w:themeColor="text1"/>
          <w:sz w:val="24"/>
          <w14:textFill>
            <w14:solidFill>
              <w14:schemeClr w14:val="tx1"/>
            </w14:solidFill>
          </w14:textFill>
        </w:rPr>
        <w:t>2</w:t>
      </w:r>
      <w:r>
        <w:rPr>
          <w:rFonts w:ascii="Times New Roman" w:hAnsi="Times New Roman"/>
          <w:b/>
          <w:bCs/>
          <w:color w:val="000000" w:themeColor="text1"/>
          <w:sz w:val="24"/>
          <w14:textFill>
            <w14:solidFill>
              <w14:schemeClr w14:val="tx1"/>
            </w14:solidFill>
          </w14:textFill>
        </w:rPr>
        <w:t xml:space="preserve"> Mole</w:t>
      </w:r>
      <w:r>
        <w:rPr>
          <w:rFonts w:ascii="Times New Roman" w:hAnsi="Times New Roman"/>
          <w:b/>
          <w:bCs/>
          <w:color w:val="000000"/>
          <w:sz w:val="24"/>
        </w:rPr>
        <w:t>cular Docking Results of Curcumenol, (R)-ar-Turmerone, and Curcumin with PAD4, ELANE, and MPO.</w:t>
      </w:r>
      <w:r>
        <w:rPr>
          <w:rFonts w:hint="eastAsia" w:ascii="Times New Roman" w:hAnsi="Times New Roman"/>
          <w:b/>
          <w:bCs/>
          <w:color w:val="000000"/>
          <w:sz w:val="24"/>
        </w:rPr>
        <w:t xml:space="preserve"> </w:t>
      </w:r>
      <w:r>
        <w:rPr>
          <w:rFonts w:ascii="Times New Roman" w:hAnsi="Times New Roman"/>
          <w:color w:val="000000"/>
          <w:sz w:val="24"/>
        </w:rPr>
        <w:t>This table summarises the predicted binding energies, hydrogen bond interactions (including interacting residues and bond lengths), and hydrophobic interactions between each compound and the target proteins. Protein identifiers are provided as PDB and UniProt accession numbers. Binding energies are reported in kcal/mol.</w:t>
      </w:r>
    </w:p>
    <w:tbl>
      <w:tblPr>
        <w:tblStyle w:val="7"/>
        <w:tblW w:w="50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77"/>
        <w:gridCol w:w="1186"/>
        <w:gridCol w:w="1278"/>
        <w:gridCol w:w="1529"/>
        <w:gridCol w:w="1585"/>
        <w:gridCol w:w="2067"/>
      </w:tblGrid>
      <w:tr w14:paraId="4F49065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767" w:hRule="atLeast"/>
        </w:trPr>
        <w:tc>
          <w:tcPr>
            <w:tcW w:w="514" w:type="pct"/>
            <w:tcBorders>
              <w:bottom w:val="single" w:color="auto" w:sz="4" w:space="0"/>
            </w:tcBorders>
            <w:tcMar>
              <w:left w:w="108" w:type="dxa"/>
              <w:right w:w="108" w:type="dxa"/>
            </w:tcMar>
          </w:tcPr>
          <w:p w14:paraId="78E4FCBD">
            <w:pPr>
              <w:jc w:val="left"/>
              <w:rPr>
                <w:b/>
                <w:bCs/>
                <w:color w:val="000000"/>
              </w:rPr>
            </w:pPr>
            <w:r>
              <w:rPr>
                <w:b/>
                <w:bCs/>
                <w:color w:val="000000"/>
              </w:rPr>
              <w:t>Protein</w:t>
            </w:r>
          </w:p>
        </w:tc>
        <w:tc>
          <w:tcPr>
            <w:tcW w:w="696" w:type="pct"/>
            <w:tcBorders>
              <w:bottom w:val="single" w:color="auto" w:sz="4" w:space="0"/>
            </w:tcBorders>
            <w:tcMar>
              <w:left w:w="108" w:type="dxa"/>
              <w:right w:w="108" w:type="dxa"/>
            </w:tcMar>
          </w:tcPr>
          <w:p w14:paraId="03C0D474">
            <w:pPr>
              <w:jc w:val="left"/>
              <w:rPr>
                <w:b/>
                <w:bCs/>
                <w:color w:val="000000"/>
              </w:rPr>
            </w:pPr>
            <w:r>
              <w:rPr>
                <w:b/>
                <w:bCs/>
                <w:color w:val="000000"/>
              </w:rPr>
              <w:t>PDB/</w:t>
            </w:r>
          </w:p>
          <w:p w14:paraId="17A307F0">
            <w:pPr>
              <w:jc w:val="left"/>
              <w:rPr>
                <w:b/>
                <w:bCs/>
                <w:color w:val="000000"/>
              </w:rPr>
            </w:pPr>
            <w:r>
              <w:rPr>
                <w:b/>
                <w:bCs/>
                <w:color w:val="000000"/>
              </w:rPr>
              <w:t>UniProt ID</w:t>
            </w:r>
          </w:p>
        </w:tc>
        <w:tc>
          <w:tcPr>
            <w:tcW w:w="750" w:type="pct"/>
            <w:tcBorders>
              <w:bottom w:val="single" w:color="auto" w:sz="4" w:space="0"/>
            </w:tcBorders>
            <w:tcMar>
              <w:left w:w="108" w:type="dxa"/>
              <w:right w:w="108" w:type="dxa"/>
            </w:tcMar>
          </w:tcPr>
          <w:p w14:paraId="64743297">
            <w:pPr>
              <w:jc w:val="left"/>
              <w:rPr>
                <w:b/>
                <w:bCs/>
                <w:color w:val="000000"/>
              </w:rPr>
            </w:pPr>
            <w:r>
              <w:rPr>
                <w:b/>
                <w:bCs/>
                <w:color w:val="000000"/>
              </w:rPr>
              <w:t>Compound</w:t>
            </w:r>
          </w:p>
        </w:tc>
        <w:tc>
          <w:tcPr>
            <w:tcW w:w="896" w:type="pct"/>
            <w:tcBorders>
              <w:bottom w:val="single" w:color="auto" w:sz="4" w:space="0"/>
            </w:tcBorders>
            <w:tcMar>
              <w:left w:w="108" w:type="dxa"/>
              <w:right w:w="108" w:type="dxa"/>
            </w:tcMar>
          </w:tcPr>
          <w:p w14:paraId="58C5B1BB">
            <w:pPr>
              <w:jc w:val="left"/>
              <w:rPr>
                <w:b/>
                <w:bCs/>
                <w:color w:val="000000"/>
              </w:rPr>
            </w:pPr>
            <w:r>
              <w:rPr>
                <w:b/>
                <w:bCs/>
                <w:color w:val="000000"/>
              </w:rPr>
              <w:t>Binding energy (kcal/mol)</w:t>
            </w:r>
          </w:p>
        </w:tc>
        <w:tc>
          <w:tcPr>
            <w:tcW w:w="929" w:type="pct"/>
            <w:tcBorders>
              <w:bottom w:val="single" w:color="auto" w:sz="4" w:space="0"/>
            </w:tcBorders>
            <w:tcMar>
              <w:left w:w="108" w:type="dxa"/>
              <w:right w:w="108" w:type="dxa"/>
            </w:tcMar>
          </w:tcPr>
          <w:p w14:paraId="33403BD6">
            <w:pPr>
              <w:jc w:val="left"/>
              <w:rPr>
                <w:b/>
                <w:bCs/>
                <w:color w:val="000000"/>
              </w:rPr>
            </w:pPr>
            <w:r>
              <w:rPr>
                <w:b/>
                <w:bCs/>
                <w:color w:val="000000"/>
              </w:rPr>
              <w:t>H-bonds (residue, length [Å]</w:t>
            </w:r>
          </w:p>
        </w:tc>
        <w:tc>
          <w:tcPr>
            <w:tcW w:w="1212" w:type="pct"/>
            <w:tcBorders>
              <w:bottom w:val="single" w:color="auto" w:sz="4" w:space="0"/>
            </w:tcBorders>
            <w:tcMar>
              <w:left w:w="108" w:type="dxa"/>
              <w:right w:w="108" w:type="dxa"/>
            </w:tcMar>
          </w:tcPr>
          <w:p w14:paraId="42443F9B">
            <w:pPr>
              <w:jc w:val="left"/>
              <w:rPr>
                <w:b/>
                <w:bCs/>
                <w:color w:val="000000"/>
              </w:rPr>
            </w:pPr>
            <w:r>
              <w:rPr>
                <w:b/>
                <w:bCs/>
                <w:color w:val="000000"/>
              </w:rPr>
              <w:t>Hydrophobic interactions (residues)</w:t>
            </w:r>
          </w:p>
        </w:tc>
      </w:tr>
      <w:tr w14:paraId="6A2F009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trPr>
        <w:tc>
          <w:tcPr>
            <w:tcW w:w="514" w:type="pct"/>
            <w:vMerge w:val="restart"/>
            <w:tcBorders>
              <w:top w:val="single" w:color="auto" w:sz="4" w:space="0"/>
            </w:tcBorders>
            <w:tcMar>
              <w:left w:w="108" w:type="dxa"/>
              <w:right w:w="108" w:type="dxa"/>
            </w:tcMar>
          </w:tcPr>
          <w:p w14:paraId="3F85C439">
            <w:pPr>
              <w:jc w:val="left"/>
              <w:rPr>
                <w:color w:val="000000"/>
              </w:rPr>
            </w:pPr>
            <w:r>
              <w:rPr>
                <w:color w:val="000000"/>
              </w:rPr>
              <w:t>PAD4</w:t>
            </w:r>
          </w:p>
        </w:tc>
        <w:tc>
          <w:tcPr>
            <w:tcW w:w="696" w:type="pct"/>
            <w:vMerge w:val="restart"/>
            <w:tcBorders>
              <w:top w:val="single" w:color="auto" w:sz="4" w:space="0"/>
            </w:tcBorders>
            <w:tcMar>
              <w:left w:w="108" w:type="dxa"/>
              <w:right w:w="108" w:type="dxa"/>
            </w:tcMar>
          </w:tcPr>
          <w:p w14:paraId="09C59F85">
            <w:pPr>
              <w:jc w:val="left"/>
              <w:rPr>
                <w:color w:val="000000"/>
              </w:rPr>
            </w:pPr>
            <w:r>
              <w:rPr>
                <w:color w:val="000000"/>
              </w:rPr>
              <w:t>Q9UM07</w:t>
            </w:r>
          </w:p>
        </w:tc>
        <w:tc>
          <w:tcPr>
            <w:tcW w:w="750" w:type="pct"/>
            <w:tcBorders>
              <w:top w:val="single" w:color="auto" w:sz="4" w:space="0"/>
            </w:tcBorders>
            <w:tcMar>
              <w:left w:w="108" w:type="dxa"/>
              <w:right w:w="108" w:type="dxa"/>
            </w:tcMar>
          </w:tcPr>
          <w:p w14:paraId="7D855880">
            <w:pPr>
              <w:jc w:val="left"/>
              <w:rPr>
                <w:color w:val="000000"/>
              </w:rPr>
            </w:pPr>
            <w:r>
              <w:rPr>
                <w:color w:val="000000"/>
              </w:rPr>
              <w:t>Curcumenol</w:t>
            </w:r>
          </w:p>
        </w:tc>
        <w:tc>
          <w:tcPr>
            <w:tcW w:w="896" w:type="pct"/>
            <w:tcBorders>
              <w:top w:val="single" w:color="auto" w:sz="4" w:space="0"/>
            </w:tcBorders>
            <w:tcMar>
              <w:left w:w="108" w:type="dxa"/>
              <w:right w:w="108" w:type="dxa"/>
            </w:tcMar>
          </w:tcPr>
          <w:p w14:paraId="7FA126A0">
            <w:pPr>
              <w:jc w:val="left"/>
              <w:rPr>
                <w:color w:val="000000"/>
              </w:rPr>
            </w:pPr>
            <w:r>
              <w:rPr>
                <w:color w:val="000000"/>
              </w:rPr>
              <w:t>-6.7</w:t>
            </w:r>
          </w:p>
        </w:tc>
        <w:tc>
          <w:tcPr>
            <w:tcW w:w="929" w:type="pct"/>
            <w:tcBorders>
              <w:top w:val="single" w:color="auto" w:sz="4" w:space="0"/>
            </w:tcBorders>
            <w:tcMar>
              <w:left w:w="108" w:type="dxa"/>
              <w:right w:w="108" w:type="dxa"/>
            </w:tcMar>
          </w:tcPr>
          <w:p w14:paraId="6453B957">
            <w:pPr>
              <w:jc w:val="left"/>
              <w:rPr>
                <w:color w:val="000000"/>
              </w:rPr>
            </w:pPr>
            <w:r>
              <w:rPr>
                <w:color w:val="000000"/>
              </w:rPr>
              <w:t> </w:t>
            </w:r>
          </w:p>
        </w:tc>
        <w:tc>
          <w:tcPr>
            <w:tcW w:w="1212" w:type="pct"/>
            <w:tcBorders>
              <w:top w:val="single" w:color="auto" w:sz="4" w:space="0"/>
            </w:tcBorders>
            <w:tcMar>
              <w:left w:w="108" w:type="dxa"/>
              <w:right w:w="108" w:type="dxa"/>
            </w:tcMar>
          </w:tcPr>
          <w:p w14:paraId="7AFA2A20">
            <w:pPr>
              <w:jc w:val="left"/>
              <w:rPr>
                <w:color w:val="000000"/>
              </w:rPr>
            </w:pPr>
            <w:r>
              <w:rPr>
                <w:color w:val="000000"/>
              </w:rPr>
              <w:t>PHE-368,LEU-447,GLN-397,ASP-405,HIS-444</w:t>
            </w:r>
          </w:p>
        </w:tc>
      </w:tr>
      <w:tr w14:paraId="0363ACD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trPr>
        <w:tc>
          <w:tcPr>
            <w:tcW w:w="514" w:type="pct"/>
            <w:vMerge w:val="continue"/>
            <w:tcMar>
              <w:left w:w="108" w:type="dxa"/>
              <w:right w:w="108" w:type="dxa"/>
            </w:tcMar>
          </w:tcPr>
          <w:p w14:paraId="283586BB">
            <w:pPr>
              <w:jc w:val="left"/>
              <w:rPr>
                <w:color w:val="000000"/>
              </w:rPr>
            </w:pPr>
          </w:p>
        </w:tc>
        <w:tc>
          <w:tcPr>
            <w:tcW w:w="696" w:type="pct"/>
            <w:vMerge w:val="continue"/>
            <w:tcMar>
              <w:left w:w="108" w:type="dxa"/>
              <w:right w:w="108" w:type="dxa"/>
            </w:tcMar>
          </w:tcPr>
          <w:p w14:paraId="287E756C">
            <w:pPr>
              <w:jc w:val="left"/>
              <w:rPr>
                <w:color w:val="000000"/>
              </w:rPr>
            </w:pPr>
          </w:p>
        </w:tc>
        <w:tc>
          <w:tcPr>
            <w:tcW w:w="750" w:type="pct"/>
            <w:tcMar>
              <w:left w:w="108" w:type="dxa"/>
              <w:right w:w="108" w:type="dxa"/>
            </w:tcMar>
          </w:tcPr>
          <w:p w14:paraId="166B80A3">
            <w:pPr>
              <w:jc w:val="left"/>
              <w:rPr>
                <w:color w:val="000000"/>
              </w:rPr>
            </w:pPr>
            <w:r>
              <w:rPr>
                <w:color w:val="000000"/>
              </w:rPr>
              <w:t>(R)-ar-Turmerone</w:t>
            </w:r>
          </w:p>
        </w:tc>
        <w:tc>
          <w:tcPr>
            <w:tcW w:w="896" w:type="pct"/>
            <w:tcMar>
              <w:left w:w="108" w:type="dxa"/>
              <w:right w:w="108" w:type="dxa"/>
            </w:tcMar>
          </w:tcPr>
          <w:p w14:paraId="35329CDF">
            <w:pPr>
              <w:jc w:val="left"/>
              <w:rPr>
                <w:color w:val="000000"/>
              </w:rPr>
            </w:pPr>
            <w:r>
              <w:rPr>
                <w:color w:val="000000"/>
              </w:rPr>
              <w:t>-6.6</w:t>
            </w:r>
          </w:p>
        </w:tc>
        <w:tc>
          <w:tcPr>
            <w:tcW w:w="929" w:type="pct"/>
            <w:tcMar>
              <w:left w:w="108" w:type="dxa"/>
              <w:right w:w="108" w:type="dxa"/>
            </w:tcMar>
          </w:tcPr>
          <w:p w14:paraId="71B8DE91">
            <w:pPr>
              <w:jc w:val="left"/>
              <w:rPr>
                <w:color w:val="000000"/>
              </w:rPr>
            </w:pPr>
            <w:r>
              <w:rPr>
                <w:color w:val="000000"/>
              </w:rPr>
              <w:t>PRO-396,2.6 </w:t>
            </w:r>
          </w:p>
        </w:tc>
        <w:tc>
          <w:tcPr>
            <w:tcW w:w="1212" w:type="pct"/>
            <w:tcMar>
              <w:left w:w="108" w:type="dxa"/>
              <w:right w:w="108" w:type="dxa"/>
            </w:tcMar>
          </w:tcPr>
          <w:p w14:paraId="5C3F4C6C">
            <w:pPr>
              <w:jc w:val="left"/>
              <w:rPr>
                <w:color w:val="000000"/>
              </w:rPr>
            </w:pPr>
            <w:r>
              <w:rPr>
                <w:color w:val="000000"/>
              </w:rPr>
              <w:t>PHE-368,PHE-450,LEU-477,ALA-446,HIS-444</w:t>
            </w:r>
          </w:p>
        </w:tc>
      </w:tr>
      <w:tr w14:paraId="73EBD4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960" w:hRule="atLeast"/>
        </w:trPr>
        <w:tc>
          <w:tcPr>
            <w:tcW w:w="514" w:type="pct"/>
            <w:vMerge w:val="continue"/>
            <w:tcMar>
              <w:left w:w="108" w:type="dxa"/>
              <w:right w:w="108" w:type="dxa"/>
            </w:tcMar>
          </w:tcPr>
          <w:p w14:paraId="21EB8E20">
            <w:pPr>
              <w:jc w:val="left"/>
              <w:rPr>
                <w:color w:val="000000"/>
              </w:rPr>
            </w:pPr>
          </w:p>
        </w:tc>
        <w:tc>
          <w:tcPr>
            <w:tcW w:w="696" w:type="pct"/>
            <w:vMerge w:val="continue"/>
            <w:tcMar>
              <w:left w:w="108" w:type="dxa"/>
              <w:right w:w="108" w:type="dxa"/>
            </w:tcMar>
          </w:tcPr>
          <w:p w14:paraId="64B8346B">
            <w:pPr>
              <w:jc w:val="left"/>
              <w:rPr>
                <w:color w:val="000000"/>
              </w:rPr>
            </w:pPr>
          </w:p>
        </w:tc>
        <w:tc>
          <w:tcPr>
            <w:tcW w:w="750" w:type="pct"/>
            <w:tcMar>
              <w:left w:w="108" w:type="dxa"/>
              <w:right w:w="108" w:type="dxa"/>
            </w:tcMar>
          </w:tcPr>
          <w:p w14:paraId="09BFE210">
            <w:pPr>
              <w:jc w:val="left"/>
              <w:rPr>
                <w:color w:val="000000"/>
              </w:rPr>
            </w:pPr>
            <w:r>
              <w:rPr>
                <w:color w:val="000000"/>
              </w:rPr>
              <w:t>Curcumin</w:t>
            </w:r>
          </w:p>
        </w:tc>
        <w:tc>
          <w:tcPr>
            <w:tcW w:w="896" w:type="pct"/>
            <w:tcMar>
              <w:left w:w="108" w:type="dxa"/>
              <w:right w:w="108" w:type="dxa"/>
            </w:tcMar>
          </w:tcPr>
          <w:p w14:paraId="21503696">
            <w:pPr>
              <w:jc w:val="left"/>
              <w:rPr>
                <w:color w:val="000000"/>
              </w:rPr>
            </w:pPr>
            <w:r>
              <w:rPr>
                <w:color w:val="000000"/>
              </w:rPr>
              <w:t>-6.9</w:t>
            </w:r>
          </w:p>
        </w:tc>
        <w:tc>
          <w:tcPr>
            <w:tcW w:w="929" w:type="pct"/>
            <w:tcMar>
              <w:left w:w="108" w:type="dxa"/>
              <w:right w:w="108" w:type="dxa"/>
            </w:tcMar>
          </w:tcPr>
          <w:p w14:paraId="1D4AE9DE">
            <w:pPr>
              <w:jc w:val="left"/>
              <w:rPr>
                <w:color w:val="000000"/>
              </w:rPr>
            </w:pPr>
            <w:r>
              <w:rPr>
                <w:color w:val="000000"/>
              </w:rPr>
              <w:t>THR-268，2.8；ARG-335，3.0，3.4；LYS-461，3.2</w:t>
            </w:r>
          </w:p>
        </w:tc>
        <w:tc>
          <w:tcPr>
            <w:tcW w:w="1212" w:type="pct"/>
            <w:tcMar>
              <w:left w:w="108" w:type="dxa"/>
              <w:right w:w="108" w:type="dxa"/>
            </w:tcMar>
          </w:tcPr>
          <w:p w14:paraId="5DFAA72A">
            <w:pPr>
              <w:jc w:val="left"/>
              <w:rPr>
                <w:color w:val="000000"/>
              </w:rPr>
            </w:pPr>
            <w:r>
              <w:rPr>
                <w:color w:val="000000"/>
              </w:rPr>
              <w:t>LEU552</w:t>
            </w:r>
          </w:p>
        </w:tc>
      </w:tr>
      <w:tr w14:paraId="0661215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514" w:type="pct"/>
            <w:vMerge w:val="restart"/>
            <w:tcMar>
              <w:left w:w="108" w:type="dxa"/>
              <w:right w:w="108" w:type="dxa"/>
            </w:tcMar>
          </w:tcPr>
          <w:p w14:paraId="3955F859">
            <w:pPr>
              <w:jc w:val="left"/>
              <w:rPr>
                <w:color w:val="000000"/>
              </w:rPr>
            </w:pPr>
            <w:r>
              <w:rPr>
                <w:color w:val="000000"/>
              </w:rPr>
              <w:t>ELANE</w:t>
            </w:r>
          </w:p>
        </w:tc>
        <w:tc>
          <w:tcPr>
            <w:tcW w:w="696" w:type="pct"/>
            <w:vMerge w:val="restart"/>
            <w:tcMar>
              <w:left w:w="108" w:type="dxa"/>
              <w:right w:w="108" w:type="dxa"/>
            </w:tcMar>
          </w:tcPr>
          <w:p w14:paraId="32254879">
            <w:pPr>
              <w:jc w:val="left"/>
              <w:rPr>
                <w:color w:val="000000"/>
              </w:rPr>
            </w:pPr>
            <w:r>
              <w:rPr>
                <w:color w:val="000000"/>
              </w:rPr>
              <w:t>P08246</w:t>
            </w:r>
          </w:p>
        </w:tc>
        <w:tc>
          <w:tcPr>
            <w:tcW w:w="750" w:type="pct"/>
            <w:tcMar>
              <w:left w:w="108" w:type="dxa"/>
              <w:right w:w="108" w:type="dxa"/>
            </w:tcMar>
          </w:tcPr>
          <w:p w14:paraId="5B5A1123">
            <w:pPr>
              <w:jc w:val="left"/>
              <w:rPr>
                <w:color w:val="000000"/>
              </w:rPr>
            </w:pPr>
            <w:r>
              <w:rPr>
                <w:color w:val="000000"/>
              </w:rPr>
              <w:t>Curcumenol</w:t>
            </w:r>
          </w:p>
        </w:tc>
        <w:tc>
          <w:tcPr>
            <w:tcW w:w="896" w:type="pct"/>
            <w:tcMar>
              <w:left w:w="108" w:type="dxa"/>
              <w:right w:w="108" w:type="dxa"/>
            </w:tcMar>
          </w:tcPr>
          <w:p w14:paraId="29505AFC">
            <w:pPr>
              <w:jc w:val="left"/>
              <w:rPr>
                <w:color w:val="000000"/>
              </w:rPr>
            </w:pPr>
            <w:r>
              <w:rPr>
                <w:color w:val="000000"/>
              </w:rPr>
              <w:t>-7.2</w:t>
            </w:r>
          </w:p>
        </w:tc>
        <w:tc>
          <w:tcPr>
            <w:tcW w:w="929" w:type="pct"/>
            <w:tcMar>
              <w:left w:w="108" w:type="dxa"/>
              <w:right w:w="108" w:type="dxa"/>
            </w:tcMar>
          </w:tcPr>
          <w:p w14:paraId="0ABF4546">
            <w:pPr>
              <w:jc w:val="left"/>
              <w:rPr>
                <w:color w:val="000000"/>
              </w:rPr>
            </w:pPr>
            <w:r>
              <w:rPr>
                <w:color w:val="000000"/>
              </w:rPr>
              <w:t>ILE-160 , 1.9 , 3.1</w:t>
            </w:r>
          </w:p>
        </w:tc>
        <w:tc>
          <w:tcPr>
            <w:tcW w:w="1212" w:type="pct"/>
            <w:tcMar>
              <w:left w:w="108" w:type="dxa"/>
              <w:right w:w="108" w:type="dxa"/>
            </w:tcMar>
          </w:tcPr>
          <w:p w14:paraId="66D14C18">
            <w:pPr>
              <w:jc w:val="left"/>
              <w:rPr>
                <w:color w:val="000000"/>
              </w:rPr>
            </w:pPr>
            <w:r>
              <w:rPr>
                <w:color w:val="000000"/>
              </w:rPr>
              <w:t>ASN-162,ALA-152</w:t>
            </w:r>
          </w:p>
        </w:tc>
      </w:tr>
      <w:tr w14:paraId="1A430B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514" w:type="pct"/>
            <w:vMerge w:val="continue"/>
            <w:tcMar>
              <w:left w:w="108" w:type="dxa"/>
              <w:right w:w="108" w:type="dxa"/>
            </w:tcMar>
          </w:tcPr>
          <w:p w14:paraId="5749D529">
            <w:pPr>
              <w:jc w:val="left"/>
              <w:rPr>
                <w:color w:val="000000"/>
              </w:rPr>
            </w:pPr>
          </w:p>
        </w:tc>
        <w:tc>
          <w:tcPr>
            <w:tcW w:w="696" w:type="pct"/>
            <w:vMerge w:val="continue"/>
            <w:tcMar>
              <w:left w:w="108" w:type="dxa"/>
              <w:right w:w="108" w:type="dxa"/>
            </w:tcMar>
          </w:tcPr>
          <w:p w14:paraId="468360B5">
            <w:pPr>
              <w:jc w:val="left"/>
              <w:rPr>
                <w:color w:val="000000"/>
              </w:rPr>
            </w:pPr>
          </w:p>
        </w:tc>
        <w:tc>
          <w:tcPr>
            <w:tcW w:w="750" w:type="pct"/>
            <w:tcMar>
              <w:left w:w="108" w:type="dxa"/>
              <w:right w:w="108" w:type="dxa"/>
            </w:tcMar>
          </w:tcPr>
          <w:p w14:paraId="3921DF4A">
            <w:pPr>
              <w:jc w:val="left"/>
              <w:rPr>
                <w:color w:val="000000"/>
              </w:rPr>
            </w:pPr>
            <w:r>
              <w:rPr>
                <w:color w:val="000000"/>
              </w:rPr>
              <w:t>(R)-ar-Turmerone</w:t>
            </w:r>
          </w:p>
        </w:tc>
        <w:tc>
          <w:tcPr>
            <w:tcW w:w="896" w:type="pct"/>
            <w:tcMar>
              <w:left w:w="108" w:type="dxa"/>
              <w:right w:w="108" w:type="dxa"/>
            </w:tcMar>
          </w:tcPr>
          <w:p w14:paraId="637FE40F">
            <w:pPr>
              <w:jc w:val="left"/>
              <w:rPr>
                <w:color w:val="000000"/>
              </w:rPr>
            </w:pPr>
            <w:r>
              <w:rPr>
                <w:color w:val="000000"/>
              </w:rPr>
              <w:t>-5.6</w:t>
            </w:r>
          </w:p>
        </w:tc>
        <w:tc>
          <w:tcPr>
            <w:tcW w:w="929" w:type="pct"/>
            <w:tcMar>
              <w:left w:w="108" w:type="dxa"/>
              <w:right w:w="108" w:type="dxa"/>
            </w:tcMar>
          </w:tcPr>
          <w:p w14:paraId="3C5D0CE9">
            <w:pPr>
              <w:jc w:val="left"/>
              <w:rPr>
                <w:color w:val="000000"/>
              </w:rPr>
            </w:pPr>
            <w:r>
              <w:rPr>
                <w:color w:val="000000"/>
              </w:rPr>
              <w:t> </w:t>
            </w:r>
          </w:p>
        </w:tc>
        <w:tc>
          <w:tcPr>
            <w:tcW w:w="1212" w:type="pct"/>
            <w:tcMar>
              <w:left w:w="108" w:type="dxa"/>
              <w:right w:w="108" w:type="dxa"/>
            </w:tcMar>
          </w:tcPr>
          <w:p w14:paraId="58C50AFA">
            <w:pPr>
              <w:jc w:val="left"/>
              <w:rPr>
                <w:color w:val="000000"/>
              </w:rPr>
            </w:pPr>
            <w:r>
              <w:rPr>
                <w:color w:val="000000"/>
              </w:rPr>
              <w:t>ARG-31,ASN-162,ILE-160,VAL-30</w:t>
            </w:r>
          </w:p>
        </w:tc>
      </w:tr>
      <w:tr w14:paraId="5E6288E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720" w:hRule="atLeast"/>
        </w:trPr>
        <w:tc>
          <w:tcPr>
            <w:tcW w:w="514" w:type="pct"/>
            <w:vMerge w:val="continue"/>
            <w:tcMar>
              <w:left w:w="108" w:type="dxa"/>
              <w:right w:w="108" w:type="dxa"/>
            </w:tcMar>
          </w:tcPr>
          <w:p w14:paraId="1929E39E">
            <w:pPr>
              <w:jc w:val="left"/>
              <w:rPr>
                <w:color w:val="000000"/>
              </w:rPr>
            </w:pPr>
          </w:p>
        </w:tc>
        <w:tc>
          <w:tcPr>
            <w:tcW w:w="696" w:type="pct"/>
            <w:vMerge w:val="continue"/>
            <w:tcMar>
              <w:left w:w="108" w:type="dxa"/>
              <w:right w:w="108" w:type="dxa"/>
            </w:tcMar>
          </w:tcPr>
          <w:p w14:paraId="770DD3D3">
            <w:pPr>
              <w:jc w:val="left"/>
              <w:rPr>
                <w:color w:val="000000"/>
              </w:rPr>
            </w:pPr>
          </w:p>
        </w:tc>
        <w:tc>
          <w:tcPr>
            <w:tcW w:w="750" w:type="pct"/>
            <w:tcMar>
              <w:left w:w="108" w:type="dxa"/>
              <w:right w:w="108" w:type="dxa"/>
            </w:tcMar>
          </w:tcPr>
          <w:p w14:paraId="68844507">
            <w:pPr>
              <w:jc w:val="left"/>
              <w:rPr>
                <w:color w:val="000000"/>
              </w:rPr>
            </w:pPr>
            <w:r>
              <w:rPr>
                <w:color w:val="000000"/>
              </w:rPr>
              <w:t>Curcumin</w:t>
            </w:r>
          </w:p>
        </w:tc>
        <w:tc>
          <w:tcPr>
            <w:tcW w:w="896" w:type="pct"/>
            <w:tcMar>
              <w:left w:w="108" w:type="dxa"/>
              <w:right w:w="108" w:type="dxa"/>
            </w:tcMar>
          </w:tcPr>
          <w:p w14:paraId="355915A7">
            <w:pPr>
              <w:jc w:val="left"/>
              <w:rPr>
                <w:color w:val="000000"/>
              </w:rPr>
            </w:pPr>
            <w:r>
              <w:rPr>
                <w:color w:val="000000"/>
              </w:rPr>
              <w:t>-7.4</w:t>
            </w:r>
          </w:p>
        </w:tc>
        <w:tc>
          <w:tcPr>
            <w:tcW w:w="929" w:type="pct"/>
            <w:tcMar>
              <w:left w:w="108" w:type="dxa"/>
              <w:right w:w="108" w:type="dxa"/>
            </w:tcMar>
          </w:tcPr>
          <w:p w14:paraId="35A08807">
            <w:pPr>
              <w:jc w:val="left"/>
              <w:rPr>
                <w:color w:val="000000"/>
              </w:rPr>
            </w:pPr>
            <w:r>
              <w:rPr>
                <w:color w:val="000000"/>
              </w:rPr>
              <w:t>ARG-323 2.2 ;</w:t>
            </w:r>
          </w:p>
          <w:p w14:paraId="6A8F3EA5">
            <w:pPr>
              <w:jc w:val="left"/>
              <w:rPr>
                <w:color w:val="000000"/>
              </w:rPr>
            </w:pPr>
            <w:r>
              <w:rPr>
                <w:color w:val="000000"/>
              </w:rPr>
              <w:t>THR-159 2.7 ,2.9; </w:t>
            </w:r>
          </w:p>
          <w:p w14:paraId="1463326F">
            <w:pPr>
              <w:jc w:val="left"/>
              <w:rPr>
                <w:color w:val="000000"/>
              </w:rPr>
            </w:pPr>
            <w:r>
              <w:rPr>
                <w:color w:val="000000"/>
              </w:rPr>
              <w:t>ARG-31 2.2</w:t>
            </w:r>
          </w:p>
        </w:tc>
        <w:tc>
          <w:tcPr>
            <w:tcW w:w="1212" w:type="pct"/>
            <w:tcMar>
              <w:left w:w="108" w:type="dxa"/>
              <w:right w:w="108" w:type="dxa"/>
            </w:tcMar>
          </w:tcPr>
          <w:p w14:paraId="3C9294C8">
            <w:pPr>
              <w:jc w:val="left"/>
              <w:rPr>
                <w:color w:val="000000"/>
              </w:rPr>
            </w:pPr>
            <w:r>
              <w:rPr>
                <w:color w:val="000000"/>
              </w:rPr>
              <w:t>VAL-30,ARG-31,ILE-160,ALA-28</w:t>
            </w:r>
          </w:p>
        </w:tc>
      </w:tr>
      <w:tr w14:paraId="08E273B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80" w:hRule="atLeast"/>
        </w:trPr>
        <w:tc>
          <w:tcPr>
            <w:tcW w:w="514" w:type="pct"/>
            <w:vMerge w:val="restart"/>
            <w:tcMar>
              <w:left w:w="108" w:type="dxa"/>
              <w:right w:w="108" w:type="dxa"/>
            </w:tcMar>
          </w:tcPr>
          <w:p w14:paraId="052C0F38">
            <w:pPr>
              <w:jc w:val="left"/>
              <w:rPr>
                <w:color w:val="000000"/>
              </w:rPr>
            </w:pPr>
            <w:r>
              <w:rPr>
                <w:color w:val="000000"/>
              </w:rPr>
              <w:t>MPO</w:t>
            </w:r>
          </w:p>
        </w:tc>
        <w:tc>
          <w:tcPr>
            <w:tcW w:w="696" w:type="pct"/>
            <w:vMerge w:val="restart"/>
            <w:tcMar>
              <w:left w:w="108" w:type="dxa"/>
              <w:right w:w="108" w:type="dxa"/>
            </w:tcMar>
          </w:tcPr>
          <w:p w14:paraId="06509B62">
            <w:pPr>
              <w:jc w:val="left"/>
              <w:rPr>
                <w:color w:val="000000"/>
              </w:rPr>
            </w:pPr>
            <w:r>
              <w:rPr>
                <w:color w:val="000000"/>
              </w:rPr>
              <w:t>P05164</w:t>
            </w:r>
          </w:p>
        </w:tc>
        <w:tc>
          <w:tcPr>
            <w:tcW w:w="750" w:type="pct"/>
            <w:tcMar>
              <w:left w:w="108" w:type="dxa"/>
              <w:right w:w="108" w:type="dxa"/>
            </w:tcMar>
          </w:tcPr>
          <w:p w14:paraId="5D65AF61">
            <w:pPr>
              <w:jc w:val="left"/>
              <w:rPr>
                <w:color w:val="000000"/>
              </w:rPr>
            </w:pPr>
            <w:r>
              <w:rPr>
                <w:color w:val="000000"/>
              </w:rPr>
              <w:t>Curcumenol</w:t>
            </w:r>
          </w:p>
        </w:tc>
        <w:tc>
          <w:tcPr>
            <w:tcW w:w="896" w:type="pct"/>
            <w:tcMar>
              <w:left w:w="108" w:type="dxa"/>
              <w:right w:w="108" w:type="dxa"/>
            </w:tcMar>
          </w:tcPr>
          <w:p w14:paraId="2105FF98">
            <w:pPr>
              <w:jc w:val="left"/>
              <w:rPr>
                <w:color w:val="000000"/>
              </w:rPr>
            </w:pPr>
            <w:r>
              <w:rPr>
                <w:color w:val="000000"/>
              </w:rPr>
              <w:t>-7.2</w:t>
            </w:r>
          </w:p>
        </w:tc>
        <w:tc>
          <w:tcPr>
            <w:tcW w:w="929" w:type="pct"/>
            <w:tcMar>
              <w:left w:w="108" w:type="dxa"/>
              <w:right w:w="108" w:type="dxa"/>
            </w:tcMar>
          </w:tcPr>
          <w:p w14:paraId="7E2B3E82">
            <w:pPr>
              <w:jc w:val="left"/>
              <w:rPr>
                <w:color w:val="000000"/>
              </w:rPr>
            </w:pPr>
            <w:r>
              <w:rPr>
                <w:color w:val="000000"/>
              </w:rPr>
              <w:t>ILE-160,3.1</w:t>
            </w:r>
          </w:p>
        </w:tc>
        <w:tc>
          <w:tcPr>
            <w:tcW w:w="1212" w:type="pct"/>
            <w:tcMar>
              <w:left w:w="108" w:type="dxa"/>
              <w:right w:w="108" w:type="dxa"/>
            </w:tcMar>
          </w:tcPr>
          <w:p w14:paraId="5C0A0EB1">
            <w:pPr>
              <w:jc w:val="left"/>
              <w:rPr>
                <w:color w:val="000000"/>
              </w:rPr>
            </w:pPr>
            <w:r>
              <w:rPr>
                <w:color w:val="000000"/>
              </w:rPr>
              <w:t>ASN-162,ALA-152</w:t>
            </w:r>
          </w:p>
        </w:tc>
      </w:tr>
      <w:tr w14:paraId="71A4343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trPr>
        <w:tc>
          <w:tcPr>
            <w:tcW w:w="514" w:type="pct"/>
            <w:vMerge w:val="continue"/>
            <w:tcMar>
              <w:left w:w="108" w:type="dxa"/>
              <w:right w:w="108" w:type="dxa"/>
            </w:tcMar>
          </w:tcPr>
          <w:p w14:paraId="727F18E3">
            <w:pPr>
              <w:jc w:val="left"/>
              <w:rPr>
                <w:color w:val="000000"/>
              </w:rPr>
            </w:pPr>
          </w:p>
        </w:tc>
        <w:tc>
          <w:tcPr>
            <w:tcW w:w="696" w:type="pct"/>
            <w:vMerge w:val="continue"/>
            <w:tcMar>
              <w:left w:w="108" w:type="dxa"/>
              <w:right w:w="108" w:type="dxa"/>
            </w:tcMar>
          </w:tcPr>
          <w:p w14:paraId="10EAA6A4">
            <w:pPr>
              <w:jc w:val="left"/>
              <w:rPr>
                <w:color w:val="000000"/>
              </w:rPr>
            </w:pPr>
          </w:p>
        </w:tc>
        <w:tc>
          <w:tcPr>
            <w:tcW w:w="750" w:type="pct"/>
            <w:tcMar>
              <w:left w:w="108" w:type="dxa"/>
              <w:right w:w="108" w:type="dxa"/>
            </w:tcMar>
          </w:tcPr>
          <w:p w14:paraId="1507A3E5">
            <w:pPr>
              <w:jc w:val="left"/>
              <w:rPr>
                <w:color w:val="000000"/>
              </w:rPr>
            </w:pPr>
            <w:r>
              <w:rPr>
                <w:color w:val="000000"/>
              </w:rPr>
              <w:t>(R)-ar-Turmerone</w:t>
            </w:r>
          </w:p>
        </w:tc>
        <w:tc>
          <w:tcPr>
            <w:tcW w:w="896" w:type="pct"/>
            <w:tcMar>
              <w:left w:w="108" w:type="dxa"/>
              <w:right w:w="108" w:type="dxa"/>
            </w:tcMar>
          </w:tcPr>
          <w:p w14:paraId="61273226">
            <w:pPr>
              <w:jc w:val="left"/>
              <w:rPr>
                <w:color w:val="000000"/>
              </w:rPr>
            </w:pPr>
            <w:r>
              <w:rPr>
                <w:color w:val="000000"/>
              </w:rPr>
              <w:t>-6.3</w:t>
            </w:r>
          </w:p>
        </w:tc>
        <w:tc>
          <w:tcPr>
            <w:tcW w:w="929" w:type="pct"/>
            <w:tcMar>
              <w:left w:w="108" w:type="dxa"/>
              <w:right w:w="108" w:type="dxa"/>
            </w:tcMar>
          </w:tcPr>
          <w:p w14:paraId="37BBD138">
            <w:pPr>
              <w:jc w:val="left"/>
              <w:rPr>
                <w:color w:val="000000"/>
              </w:rPr>
            </w:pPr>
            <w:r>
              <w:rPr>
                <w:color w:val="000000"/>
              </w:rPr>
              <w:t>THR-159,2.9 ,2.5 , 3.2</w:t>
            </w:r>
          </w:p>
        </w:tc>
        <w:tc>
          <w:tcPr>
            <w:tcW w:w="1212" w:type="pct"/>
            <w:tcMar>
              <w:left w:w="108" w:type="dxa"/>
              <w:right w:w="108" w:type="dxa"/>
            </w:tcMar>
          </w:tcPr>
          <w:p w14:paraId="3B561D06">
            <w:pPr>
              <w:jc w:val="left"/>
              <w:rPr>
                <w:color w:val="000000"/>
              </w:rPr>
            </w:pPr>
            <w:r>
              <w:rPr>
                <w:color w:val="000000"/>
              </w:rPr>
              <w:t>ASN-162,ARG-31,LEU-22,THR-31,ILE-160</w:t>
            </w:r>
          </w:p>
        </w:tc>
      </w:tr>
      <w:tr w14:paraId="2B6CED4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trHeight w:val="258" w:hRule="atLeast"/>
        </w:trPr>
        <w:tc>
          <w:tcPr>
            <w:tcW w:w="514" w:type="pct"/>
            <w:vMerge w:val="continue"/>
            <w:tcMar>
              <w:left w:w="108" w:type="dxa"/>
              <w:right w:w="108" w:type="dxa"/>
            </w:tcMar>
          </w:tcPr>
          <w:p w14:paraId="4372FA71">
            <w:pPr>
              <w:jc w:val="left"/>
              <w:rPr>
                <w:color w:val="000000"/>
              </w:rPr>
            </w:pPr>
          </w:p>
        </w:tc>
        <w:tc>
          <w:tcPr>
            <w:tcW w:w="696" w:type="pct"/>
            <w:vMerge w:val="continue"/>
            <w:tcMar>
              <w:left w:w="108" w:type="dxa"/>
              <w:right w:w="108" w:type="dxa"/>
            </w:tcMar>
          </w:tcPr>
          <w:p w14:paraId="2CFE9532">
            <w:pPr>
              <w:jc w:val="left"/>
              <w:rPr>
                <w:color w:val="000000"/>
              </w:rPr>
            </w:pPr>
          </w:p>
        </w:tc>
        <w:tc>
          <w:tcPr>
            <w:tcW w:w="750" w:type="pct"/>
            <w:tcMar>
              <w:left w:w="108" w:type="dxa"/>
              <w:right w:w="108" w:type="dxa"/>
            </w:tcMar>
          </w:tcPr>
          <w:p w14:paraId="3DAE7854">
            <w:pPr>
              <w:jc w:val="left"/>
              <w:rPr>
                <w:color w:val="000000"/>
              </w:rPr>
            </w:pPr>
            <w:r>
              <w:rPr>
                <w:color w:val="000000"/>
              </w:rPr>
              <w:t>Curcumin</w:t>
            </w:r>
          </w:p>
        </w:tc>
        <w:tc>
          <w:tcPr>
            <w:tcW w:w="896" w:type="pct"/>
            <w:tcMar>
              <w:left w:w="108" w:type="dxa"/>
              <w:right w:w="108" w:type="dxa"/>
            </w:tcMar>
          </w:tcPr>
          <w:p w14:paraId="694B0E32">
            <w:pPr>
              <w:jc w:val="left"/>
              <w:rPr>
                <w:color w:val="000000"/>
              </w:rPr>
            </w:pPr>
            <w:r>
              <w:rPr>
                <w:color w:val="000000"/>
              </w:rPr>
              <w:t>-7.4</w:t>
            </w:r>
          </w:p>
        </w:tc>
        <w:tc>
          <w:tcPr>
            <w:tcW w:w="929" w:type="pct"/>
            <w:tcMar>
              <w:left w:w="108" w:type="dxa"/>
              <w:right w:w="108" w:type="dxa"/>
            </w:tcMar>
          </w:tcPr>
          <w:p w14:paraId="7F6C92A4">
            <w:pPr>
              <w:jc w:val="left"/>
              <w:rPr>
                <w:color w:val="000000"/>
              </w:rPr>
            </w:pPr>
            <w:r>
              <w:rPr>
                <w:color w:val="000000"/>
              </w:rPr>
              <w:t>ARG-323 ，2.2, 2.4</w:t>
            </w:r>
          </w:p>
        </w:tc>
        <w:tc>
          <w:tcPr>
            <w:tcW w:w="1212" w:type="pct"/>
            <w:tcMar>
              <w:left w:w="108" w:type="dxa"/>
              <w:right w:w="108" w:type="dxa"/>
            </w:tcMar>
          </w:tcPr>
          <w:p w14:paraId="03428ECC">
            <w:pPr>
              <w:jc w:val="left"/>
              <w:rPr>
                <w:color w:val="000000"/>
              </w:rPr>
            </w:pPr>
            <w:r>
              <w:rPr>
                <w:color w:val="000000"/>
              </w:rPr>
              <w:t>VAL-30,ARG-31</w:t>
            </w:r>
          </w:p>
        </w:tc>
      </w:tr>
    </w:tbl>
    <w:p w14:paraId="0CD73CA6">
      <w:pPr>
        <w:pStyle w:val="6"/>
        <w:widowControl/>
        <w:rPr>
          <w:rStyle w:val="9"/>
          <w:rFonts w:ascii="Times New Roman" w:hAnsi="Times New Roman"/>
          <w:b w:val="0"/>
          <w:bCs/>
          <w:color w:val="000000"/>
        </w:rPr>
      </w:pPr>
    </w:p>
    <w:p w14:paraId="383E68D9">
      <w:pPr>
        <w:pStyle w:val="6"/>
        <w:widowControl/>
        <w:rPr>
          <w:rStyle w:val="9"/>
          <w:rFonts w:ascii="Times New Roman" w:hAnsi="Times New Roman"/>
          <w:b w:val="0"/>
          <w:bCs/>
          <w:color w:val="000000"/>
        </w:rPr>
      </w:pPr>
    </w:p>
    <w:p w14:paraId="4D491DAE">
      <w:pPr>
        <w:pStyle w:val="6"/>
        <w:widowControl/>
        <w:rPr>
          <w:rStyle w:val="9"/>
          <w:rFonts w:ascii="Times New Roman" w:hAnsi="Times New Roman"/>
          <w:b w:val="0"/>
          <w:bCs/>
          <w:color w:val="000000"/>
        </w:rPr>
      </w:pPr>
    </w:p>
    <w:p w14:paraId="090475AE">
      <w:pPr>
        <w:pStyle w:val="6"/>
        <w:widowControl/>
        <w:rPr>
          <w:rStyle w:val="9"/>
          <w:rFonts w:ascii="Times New Roman" w:hAnsi="Times New Roman"/>
          <w:b w:val="0"/>
          <w:bCs/>
          <w:color w:val="000000"/>
        </w:rPr>
      </w:pPr>
      <w:r>
        <w:rPr>
          <w:rStyle w:val="9"/>
          <w:rFonts w:hint="eastAsia" w:ascii="Times New Roman" w:hAnsi="Times New Roman"/>
          <w:b w:val="0"/>
          <w:bCs/>
          <w:color w:val="000000"/>
        </w:rPr>
        <w:drawing>
          <wp:inline distT="0" distB="0" distL="114300" distR="114300">
            <wp:extent cx="5269230" cy="4740910"/>
            <wp:effectExtent l="0" t="0" r="7620" b="2540"/>
            <wp:docPr id="1" name="图片 1" descr="幻灯片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幻灯片4-2"/>
                    <pic:cNvPicPr>
                      <a:picLocks noChangeAspect="1"/>
                    </pic:cNvPicPr>
                  </pic:nvPicPr>
                  <pic:blipFill>
                    <a:blip r:embed="rId7"/>
                    <a:stretch>
                      <a:fillRect/>
                    </a:stretch>
                  </pic:blipFill>
                  <pic:spPr>
                    <a:xfrm>
                      <a:off x="0" y="0"/>
                      <a:ext cx="5269230" cy="4740910"/>
                    </a:xfrm>
                    <a:prstGeom prst="rect">
                      <a:avLst/>
                    </a:prstGeom>
                  </pic:spPr>
                </pic:pic>
              </a:graphicData>
            </a:graphic>
          </wp:inline>
        </w:drawing>
      </w:r>
    </w:p>
    <w:p w14:paraId="0B23430B">
      <w:pPr>
        <w:spacing w:line="480" w:lineRule="auto"/>
        <w:rPr>
          <w:rFonts w:ascii="Times New Roman" w:hAnsi="Times New Roman"/>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Fig. S</w:t>
      </w:r>
      <w:r>
        <w:rPr>
          <w:rFonts w:hint="eastAsia" w:ascii="Times New Roman" w:hAnsi="Times New Roman"/>
          <w:b/>
          <w:bCs/>
          <w:color w:val="000000" w:themeColor="text1"/>
          <w:sz w:val="24"/>
          <w14:textFill>
            <w14:solidFill>
              <w14:schemeClr w14:val="tx1"/>
            </w14:solidFill>
          </w14:textFill>
        </w:rPr>
        <w:t xml:space="preserve">4 </w:t>
      </w:r>
      <w:r>
        <w:rPr>
          <w:rFonts w:ascii="Times New Roman" w:hAnsi="Times New Roman"/>
          <w:b/>
          <w:bCs/>
          <w:color w:val="000000" w:themeColor="text1"/>
          <w:sz w:val="24"/>
          <w14:textFill>
            <w14:solidFill>
              <w14:schemeClr w14:val="tx1"/>
            </w14:solidFill>
          </w14:textFill>
        </w:rPr>
        <w:t>Effects of TNV treatment on MC3T3-E1 cell viability.</w:t>
      </w:r>
      <w:r>
        <w:rPr>
          <w:rFonts w:hint="eastAsia" w:ascii="Times New Roman" w:hAnsi="Times New Roman"/>
          <w:b/>
          <w:bCs/>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(A) Representative fluorescence images of MC3T3-E1 cells treated with different concentrations of TNV</w:t>
      </w:r>
      <w:r>
        <w:rPr>
          <w:rFonts w:hint="eastAsia" w:ascii="Times New Roman" w:hAnsi="Times New Roman"/>
          <w:color w:val="000000" w:themeColor="text1"/>
          <w:sz w:val="24"/>
          <w14:textFill>
            <w14:solidFill>
              <w14:schemeClr w14:val="tx1"/>
            </w14:solidFill>
          </w14:textFill>
        </w:rPr>
        <w:t>s</w:t>
      </w:r>
      <w:r>
        <w:rPr>
          <w:rFonts w:ascii="Times New Roman" w:hAnsi="Times New Roman"/>
          <w:color w:val="000000" w:themeColor="text1"/>
          <w:sz w:val="24"/>
          <w14:textFill>
            <w14:solidFill>
              <w14:schemeClr w14:val="tx1"/>
            </w14:solidFill>
          </w14:textFill>
        </w:rPr>
        <w:t xml:space="preserve"> (TNV10, TNV20, TNV</w:t>
      </w:r>
      <w:r>
        <w:rPr>
          <w:rFonts w:hint="eastAsia" w:ascii="Times New Roman" w:hAnsi="Times New Roman"/>
          <w:color w:val="000000" w:themeColor="text1"/>
          <w:sz w:val="24"/>
          <w14:textFill>
            <w14:solidFill>
              <w14:schemeClr w14:val="tx1"/>
            </w14:solidFill>
          </w14:textFill>
        </w:rPr>
        <w:t>3</w:t>
      </w:r>
      <w:r>
        <w:rPr>
          <w:rFonts w:ascii="Times New Roman" w:hAnsi="Times New Roman"/>
          <w:color w:val="000000" w:themeColor="text1"/>
          <w:sz w:val="24"/>
          <w14:textFill>
            <w14:solidFill>
              <w14:schemeClr w14:val="tx1"/>
            </w14:solidFill>
          </w14:textFill>
        </w:rPr>
        <w:t>0</w:t>
      </w:r>
      <w:r>
        <w:rPr>
          <w:rFonts w:hint="eastAsia" w:ascii="Times New Roman" w:hAnsi="Times New Roman"/>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and TNV</w:t>
      </w:r>
      <w:r>
        <w:rPr>
          <w:rFonts w:hint="eastAsia" w:ascii="Times New Roman" w:hAnsi="Times New Roman"/>
          <w:color w:val="000000" w:themeColor="text1"/>
          <w:sz w:val="24"/>
          <w14:textFill>
            <w14:solidFill>
              <w14:schemeClr w14:val="tx1"/>
            </w14:solidFill>
          </w14:textFill>
        </w:rPr>
        <w:t>5</w:t>
      </w:r>
      <w:r>
        <w:rPr>
          <w:rFonts w:ascii="Times New Roman" w:hAnsi="Times New Roman"/>
          <w:color w:val="000000" w:themeColor="text1"/>
          <w:sz w:val="24"/>
          <w14:textFill>
            <w14:solidFill>
              <w14:schemeClr w14:val="tx1"/>
            </w14:solidFill>
          </w14:textFill>
        </w:rPr>
        <w:t xml:space="preserve">0 represent TNVs at concentrations of 10, 20, </w:t>
      </w:r>
      <w:r>
        <w:rPr>
          <w:rFonts w:hint="eastAsia" w:ascii="Times New Roman" w:hAnsi="Times New Roman"/>
          <w:color w:val="000000" w:themeColor="text1"/>
          <w:sz w:val="24"/>
          <w14:textFill>
            <w14:solidFill>
              <w14:schemeClr w14:val="tx1"/>
            </w14:solidFill>
          </w14:textFill>
        </w:rPr>
        <w:t xml:space="preserve">30, </w:t>
      </w:r>
      <w:r>
        <w:rPr>
          <w:rFonts w:ascii="Times New Roman" w:hAnsi="Times New Roman"/>
          <w:color w:val="000000" w:themeColor="text1"/>
          <w:sz w:val="24"/>
          <w14:textFill>
            <w14:solidFill>
              <w14:schemeClr w14:val="tx1"/>
            </w14:solidFill>
          </w14:textFill>
        </w:rPr>
        <w:t xml:space="preserve">and </w:t>
      </w:r>
      <w:r>
        <w:rPr>
          <w:rFonts w:hint="eastAsia" w:ascii="Times New Roman" w:hAnsi="Times New Roman"/>
          <w:color w:val="000000" w:themeColor="text1"/>
          <w:sz w:val="24"/>
          <w14:textFill>
            <w14:solidFill>
              <w14:schemeClr w14:val="tx1"/>
            </w14:solidFill>
          </w14:textFill>
        </w:rPr>
        <w:t>5</w:t>
      </w:r>
      <w:r>
        <w:rPr>
          <w:rFonts w:ascii="Times New Roman" w:hAnsi="Times New Roman"/>
          <w:color w:val="000000" w:themeColor="text1"/>
          <w:sz w:val="24"/>
          <w14:textFill>
            <w14:solidFill>
              <w14:schemeClr w14:val="tx1"/>
            </w14:solidFill>
          </w14:textFill>
        </w:rPr>
        <w:t>0 μg/mL, respectively.) or control (CTR) for 8, 24, and 48 hours.</w:t>
      </w:r>
      <w:r>
        <w:rPr>
          <w:rFonts w:hint="eastAsia" w:ascii="Times New Roman" w:hAnsi="Times New Roman"/>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Live cells were stained green, whereas dead cells were stained red.</w:t>
      </w:r>
      <w:r>
        <w:rPr>
          <w:rFonts w:hint="eastAsia" w:ascii="Times New Roman" w:hAnsi="Times New Roman"/>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(B–D) Quantitative analysis of cell viability by CCK-8 assay at 8 h (B), 24 h (C), and 48 h (D) after treatment. Data are expressed as mean ± SD</w:t>
      </w:r>
      <w:r>
        <w:rPr>
          <w:rFonts w:hint="eastAsia" w:ascii="Times New Roman" w:hAnsi="Times New Roman"/>
          <w:color w:val="000000" w:themeColor="text1"/>
          <w:sz w:val="24"/>
          <w14:textFill>
            <w14:solidFill>
              <w14:schemeClr w14:val="tx1"/>
            </w14:solidFill>
          </w14:textFill>
        </w:rPr>
        <w:t xml:space="preserve"> (n=4)</w:t>
      </w:r>
      <w:r>
        <w:rPr>
          <w:rFonts w:ascii="Times New Roman" w:hAnsi="Times New Roman"/>
          <w:color w:val="000000" w:themeColor="text1"/>
          <w:sz w:val="24"/>
          <w14:textFill>
            <w14:solidFill>
              <w14:schemeClr w14:val="tx1"/>
            </w14:solidFill>
          </w14:textFill>
        </w:rPr>
        <w:t>. Statistical analysis indicates no significant differences (ns) among groups at each time point.</w:t>
      </w:r>
    </w:p>
    <w:p w14:paraId="62CFC4A0">
      <w:pPr>
        <w:spacing w:line="480" w:lineRule="auto"/>
        <w:rPr>
          <w:rFonts w:ascii="Times New Roman" w:hAnsi="Times New Roman"/>
          <w:color w:val="FF0000"/>
          <w:sz w:val="24"/>
        </w:rPr>
      </w:pPr>
    </w:p>
    <w:p w14:paraId="57B720D7">
      <w:pPr>
        <w:spacing w:line="480" w:lineRule="auto"/>
        <w:rPr>
          <w:rFonts w:ascii="Times New Roman" w:hAnsi="Times New Roman"/>
          <w:color w:val="FF0000"/>
          <w:sz w:val="24"/>
        </w:rPr>
      </w:pPr>
    </w:p>
    <w:p w14:paraId="2773B578">
      <w:pPr>
        <w:spacing w:line="480" w:lineRule="auto"/>
        <w:rPr>
          <w:rFonts w:ascii="Times New Roman" w:hAnsi="Times New Roman"/>
          <w:color w:val="FF0000"/>
          <w:sz w:val="24"/>
        </w:rPr>
      </w:pPr>
      <w:r>
        <w:rPr>
          <w:rFonts w:ascii="Times New Roman" w:hAnsi="Times New Roman"/>
          <w:color w:val="FF0000"/>
          <w:sz w:val="24"/>
        </w:rPr>
        <w:drawing>
          <wp:inline distT="0" distB="0" distL="114300" distR="114300">
            <wp:extent cx="5268595" cy="6064250"/>
            <wp:effectExtent l="0" t="0" r="8255" b="3175"/>
            <wp:docPr id="3" name="图片 3" descr="幻灯片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幻灯片5-2"/>
                    <pic:cNvPicPr>
                      <a:picLocks noChangeAspect="1"/>
                    </pic:cNvPicPr>
                  </pic:nvPicPr>
                  <pic:blipFill>
                    <a:blip r:embed="rId8"/>
                    <a:stretch>
                      <a:fillRect/>
                    </a:stretch>
                  </pic:blipFill>
                  <pic:spPr>
                    <a:xfrm>
                      <a:off x="0" y="0"/>
                      <a:ext cx="5268595" cy="6064250"/>
                    </a:xfrm>
                    <a:prstGeom prst="rect">
                      <a:avLst/>
                    </a:prstGeom>
                  </pic:spPr>
                </pic:pic>
              </a:graphicData>
            </a:graphic>
          </wp:inline>
        </w:drawing>
      </w:r>
    </w:p>
    <w:p w14:paraId="1D057C83">
      <w:pPr>
        <w:spacing w:line="480" w:lineRule="auto"/>
        <w:rPr>
          <w:rFonts w:ascii="Times New Roman" w:hAnsi="Times New Roman"/>
          <w:color w:val="FF0000"/>
          <w:sz w:val="24"/>
        </w:rPr>
      </w:pPr>
      <w:r>
        <w:rPr>
          <w:rFonts w:ascii="Times New Roman" w:hAnsi="Times New Roman"/>
          <w:b/>
          <w:bCs/>
          <w:color w:val="000000" w:themeColor="text1"/>
          <w:sz w:val="24"/>
          <w14:textFill>
            <w14:solidFill>
              <w14:schemeClr w14:val="tx1"/>
            </w14:solidFill>
          </w14:textFill>
        </w:rPr>
        <w:t>Fig. S</w:t>
      </w:r>
      <w:r>
        <w:rPr>
          <w:rFonts w:hint="eastAsia" w:ascii="Times New Roman" w:hAnsi="Times New Roman"/>
          <w:b/>
          <w:bCs/>
          <w:color w:val="000000" w:themeColor="text1"/>
          <w:sz w:val="24"/>
          <w14:textFill>
            <w14:solidFill>
              <w14:schemeClr w14:val="tx1"/>
            </w14:solidFill>
          </w14:textFill>
        </w:rPr>
        <w:t xml:space="preserve">5 </w:t>
      </w:r>
      <w:r>
        <w:rPr>
          <w:rFonts w:ascii="Times New Roman" w:hAnsi="Times New Roman"/>
          <w:b/>
          <w:bCs/>
          <w:color w:val="000000" w:themeColor="text1"/>
          <w:sz w:val="24"/>
          <w14:textFill>
            <w14:solidFill>
              <w14:schemeClr w14:val="tx1"/>
            </w14:solidFill>
          </w14:textFill>
        </w:rPr>
        <w:t>Effect of TNVs on MC3T3-E1 cell migration.</w:t>
      </w:r>
      <w:r>
        <w:rPr>
          <w:rFonts w:hint="eastAsia" w:ascii="Times New Roman" w:hAnsi="Times New Roman"/>
          <w:b/>
          <w:bCs/>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(A)</w:t>
      </w:r>
      <w:r>
        <w:rPr>
          <w:rFonts w:hint="eastAsia" w:ascii="Times New Roman" w:hAnsi="Times New Roman"/>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Representative wound-healing images of MC3T3-E1 cells treated with different concentrations of TNV</w:t>
      </w:r>
      <w:r>
        <w:rPr>
          <w:rFonts w:hint="eastAsia" w:ascii="Times New Roman" w:hAnsi="Times New Roman"/>
          <w:color w:val="000000" w:themeColor="text1"/>
          <w:sz w:val="24"/>
          <w14:textFill>
            <w14:solidFill>
              <w14:schemeClr w14:val="tx1"/>
            </w14:solidFill>
          </w14:textFill>
        </w:rPr>
        <w:t xml:space="preserve">s </w:t>
      </w:r>
      <w:r>
        <w:rPr>
          <w:rFonts w:ascii="Times New Roman" w:hAnsi="Times New Roman"/>
          <w:color w:val="000000" w:themeColor="text1"/>
          <w:sz w:val="24"/>
          <w14:textFill>
            <w14:solidFill>
              <w14:schemeClr w14:val="tx1"/>
            </w14:solidFill>
          </w14:textFill>
        </w:rPr>
        <w:t>(TNV10, TNV20</w:t>
      </w:r>
      <w:r>
        <w:rPr>
          <w:rFonts w:hint="eastAsia" w:ascii="Times New Roman" w:hAnsi="Times New Roman"/>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and TNV</w:t>
      </w:r>
      <w:r>
        <w:rPr>
          <w:rFonts w:hint="eastAsia" w:ascii="Times New Roman" w:hAnsi="Times New Roman"/>
          <w:color w:val="000000" w:themeColor="text1"/>
          <w:sz w:val="24"/>
          <w14:textFill>
            <w14:solidFill>
              <w14:schemeClr w14:val="tx1"/>
            </w14:solidFill>
          </w14:textFill>
        </w:rPr>
        <w:t>3</w:t>
      </w:r>
      <w:r>
        <w:rPr>
          <w:rFonts w:ascii="Times New Roman" w:hAnsi="Times New Roman"/>
          <w:color w:val="000000" w:themeColor="text1"/>
          <w:sz w:val="24"/>
          <w14:textFill>
            <w14:solidFill>
              <w14:schemeClr w14:val="tx1"/>
            </w14:solidFill>
          </w14:textFill>
        </w:rPr>
        <w:t>0 represent TNVs at concentrations of 10, 20</w:t>
      </w:r>
      <w:r>
        <w:rPr>
          <w:rFonts w:hint="eastAsia" w:ascii="Times New Roman" w:hAnsi="Times New Roman"/>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 xml:space="preserve">and </w:t>
      </w:r>
      <w:r>
        <w:rPr>
          <w:rFonts w:hint="eastAsia" w:ascii="Times New Roman" w:hAnsi="Times New Roman"/>
          <w:color w:val="000000" w:themeColor="text1"/>
          <w:sz w:val="24"/>
          <w14:textFill>
            <w14:solidFill>
              <w14:schemeClr w14:val="tx1"/>
            </w14:solidFill>
          </w14:textFill>
        </w:rPr>
        <w:t>3</w:t>
      </w:r>
      <w:r>
        <w:rPr>
          <w:rFonts w:ascii="Times New Roman" w:hAnsi="Times New Roman"/>
          <w:color w:val="000000" w:themeColor="text1"/>
          <w:sz w:val="24"/>
          <w14:textFill>
            <w14:solidFill>
              <w14:schemeClr w14:val="tx1"/>
            </w14:solidFill>
          </w14:textFill>
        </w:rPr>
        <w:t>0 μg/mL, respectively. ) at 0, 6, 12, 24, and 48 h.</w:t>
      </w:r>
      <w:r>
        <w:rPr>
          <w:rFonts w:hint="eastAsia" w:ascii="Times New Roman" w:hAnsi="Times New Roman"/>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w:t>
      </w:r>
      <w:r>
        <w:rPr>
          <w:rFonts w:hint="eastAsia" w:ascii="Times New Roman" w:hAnsi="Times New Roman"/>
          <w:color w:val="000000" w:themeColor="text1"/>
          <w:sz w:val="24"/>
          <w14:textFill>
            <w14:solidFill>
              <w14:schemeClr w14:val="tx1"/>
            </w14:solidFill>
          </w14:textFill>
        </w:rPr>
        <w:t>B</w:t>
      </w:r>
      <w:r>
        <w:rPr>
          <w:rFonts w:ascii="Times New Roman" w:hAnsi="Times New Roman"/>
          <w:color w:val="000000" w:themeColor="text1"/>
          <w:sz w:val="24"/>
          <w14:textFill>
            <w14:solidFill>
              <w14:schemeClr w14:val="tx1"/>
            </w14:solidFill>
          </w14:textFill>
        </w:rPr>
        <w:t>) Quantitative analysis of wound closure/migration rate</w:t>
      </w:r>
      <w:r>
        <w:rPr>
          <w:rFonts w:hint="eastAsia" w:ascii="Times New Roman" w:hAnsi="Times New Roman"/>
          <w:color w:val="000000" w:themeColor="text1"/>
          <w:sz w:val="24"/>
          <w14:textFill>
            <w14:solidFill>
              <w14:schemeClr w14:val="tx1"/>
            </w14:solidFill>
          </w14:textFill>
        </w:rPr>
        <w:t>s</w:t>
      </w:r>
      <w:r>
        <w:rPr>
          <w:rFonts w:ascii="Times New Roman" w:hAnsi="Times New Roman"/>
          <w:color w:val="000000" w:themeColor="text1"/>
          <w:sz w:val="24"/>
          <w14:textFill>
            <w14:solidFill>
              <w14:schemeClr w14:val="tx1"/>
            </w14:solidFill>
          </w14:textFill>
        </w:rPr>
        <w:t xml:space="preserve"> at different time points (0, 6, 12, 24, and 48 h) for each group</w:t>
      </w:r>
      <w:r>
        <w:rPr>
          <w:rFonts w:hint="eastAsia" w:ascii="Times New Roman" w:hAnsi="Times New Roman"/>
          <w:color w:val="000000" w:themeColor="text1"/>
          <w:sz w:val="24"/>
          <w14:textFill>
            <w14:solidFill>
              <w14:schemeClr w14:val="tx1"/>
            </w14:solidFill>
          </w14:textFill>
        </w:rPr>
        <w:t xml:space="preserve"> (n=3)</w:t>
      </w:r>
      <w:r>
        <w:rPr>
          <w:rFonts w:ascii="Times New Roman" w:hAnsi="Times New Roman"/>
          <w:color w:val="000000" w:themeColor="text1"/>
          <w:sz w:val="24"/>
          <w14:textFill>
            <w14:solidFill>
              <w14:schemeClr w14:val="tx1"/>
            </w14:solidFill>
          </w14:textFill>
        </w:rPr>
        <w:t>.</w:t>
      </w:r>
      <w:r>
        <w:rPr>
          <w:rFonts w:hint="eastAsia" w:ascii="Times New Roman" w:hAnsi="Times New Roman"/>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w:t>
      </w:r>
      <w:r>
        <w:rPr>
          <w:rFonts w:hint="eastAsia" w:ascii="Times New Roman" w:hAnsi="Times New Roman"/>
          <w:color w:val="000000" w:themeColor="text1"/>
          <w:sz w:val="24"/>
          <w14:textFill>
            <w14:solidFill>
              <w14:schemeClr w14:val="tx1"/>
            </w14:solidFill>
          </w14:textFill>
        </w:rPr>
        <w:t>C</w:t>
      </w:r>
      <w:r>
        <w:rPr>
          <w:rFonts w:ascii="Times New Roman" w:hAnsi="Times New Roman"/>
          <w:color w:val="000000" w:themeColor="text1"/>
          <w:sz w:val="24"/>
          <w14:textFill>
            <w14:solidFill>
              <w14:schemeClr w14:val="tx1"/>
            </w14:solidFill>
          </w14:textFill>
        </w:rPr>
        <w:t>)</w:t>
      </w:r>
      <w:r>
        <w:rPr>
          <w:rFonts w:hint="eastAsia" w:ascii="Times New Roman" w:hAnsi="Times New Roman"/>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Relative cell migration quantified from Transwell assays (n = 3).</w:t>
      </w:r>
      <w:r>
        <w:rPr>
          <w:rFonts w:hint="eastAsia" w:ascii="Times New Roman" w:hAnsi="Times New Roman"/>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w:t>
      </w:r>
      <w:r>
        <w:rPr>
          <w:rFonts w:hint="eastAsia" w:ascii="Times New Roman" w:hAnsi="Times New Roman"/>
          <w:color w:val="000000" w:themeColor="text1"/>
          <w:sz w:val="24"/>
          <w14:textFill>
            <w14:solidFill>
              <w14:schemeClr w14:val="tx1"/>
            </w14:solidFill>
          </w14:textFill>
        </w:rPr>
        <w:t>D</w:t>
      </w:r>
      <w:r>
        <w:rPr>
          <w:rFonts w:ascii="Times New Roman" w:hAnsi="Times New Roman"/>
          <w:color w:val="000000" w:themeColor="text1"/>
          <w:sz w:val="24"/>
          <w14:textFill>
            <w14:solidFill>
              <w14:schemeClr w14:val="tx1"/>
            </w14:solidFill>
          </w14:textFill>
        </w:rPr>
        <w:t>) Representative crystal violet-stained images of migrated MC3T3-E1 cells in the transwell assay under different TNV treatments at magnifications of 10× and 20×.</w:t>
      </w:r>
      <w:r>
        <w:rPr>
          <w:rFonts w:hint="eastAsia" w:ascii="Times New Roman" w:hAnsi="Times New Roman"/>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 xml:space="preserve"> Data are presented as mean ± SD. Statistical significance is indicated as follows: ns, not significant; *p &lt; 0.05, **p &lt; 0.01, ***p &lt; 0.001, ****p &lt; 0.0001.</w:t>
      </w:r>
      <w:r>
        <w:rPr>
          <w:rFonts w:ascii="Times New Roman" w:hAnsi="Times New Roman"/>
          <w:color w:val="000000"/>
          <w:sz w:val="24"/>
        </w:rPr>
        <w:br w:type="textWrapping"/>
      </w:r>
    </w:p>
    <w:p w14:paraId="76865EBD">
      <w:pPr>
        <w:pStyle w:val="6"/>
        <w:widowControl/>
        <w:rPr>
          <w:rFonts w:ascii="Times New Roman" w:hAnsi="Times New Roman"/>
          <w:b/>
          <w:bCs/>
          <w:color w:val="000000"/>
          <w:kern w:val="2"/>
        </w:rPr>
      </w:pPr>
    </w:p>
    <w:p w14:paraId="1BED7EDC">
      <w:pPr>
        <w:pStyle w:val="6"/>
        <w:widowControl/>
        <w:rPr>
          <w:rStyle w:val="9"/>
          <w:rFonts w:ascii="Times New Roman" w:hAnsi="Times New Roman"/>
          <w:b w:val="0"/>
          <w:bCs/>
          <w:color w:val="000000"/>
        </w:rPr>
      </w:pPr>
    </w:p>
    <w:p w14:paraId="01287DB1">
      <w:pPr>
        <w:pStyle w:val="6"/>
        <w:widowControl/>
        <w:rPr>
          <w:rStyle w:val="9"/>
          <w:rFonts w:ascii="Times New Roman" w:hAnsi="Times New Roman"/>
          <w:b w:val="0"/>
          <w:bCs/>
          <w:color w:val="000000"/>
        </w:rPr>
      </w:pPr>
    </w:p>
    <w:p w14:paraId="096A9285">
      <w:pPr>
        <w:pStyle w:val="6"/>
        <w:widowControl/>
        <w:rPr>
          <w:rStyle w:val="9"/>
          <w:rFonts w:ascii="Times New Roman" w:hAnsi="Times New Roman"/>
          <w:b w:val="0"/>
          <w:bCs/>
          <w:color w:val="000000"/>
        </w:rPr>
      </w:pPr>
      <w:r>
        <w:rPr>
          <w:rStyle w:val="9"/>
          <w:rFonts w:hint="eastAsia" w:ascii="Times New Roman" w:hAnsi="Times New Roman"/>
          <w:b w:val="0"/>
          <w:bCs/>
          <w:color w:val="000000"/>
        </w:rPr>
        <w:drawing>
          <wp:inline distT="0" distB="0" distL="114300" distR="114300">
            <wp:extent cx="5269230" cy="7207250"/>
            <wp:effectExtent l="0" t="0" r="7620" b="3175"/>
            <wp:docPr id="16" name="图片 16" descr="幻灯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幻灯片10"/>
                    <pic:cNvPicPr>
                      <a:picLocks noChangeAspect="1"/>
                    </pic:cNvPicPr>
                  </pic:nvPicPr>
                  <pic:blipFill>
                    <a:blip r:embed="rId9"/>
                    <a:stretch>
                      <a:fillRect/>
                    </a:stretch>
                  </pic:blipFill>
                  <pic:spPr>
                    <a:xfrm>
                      <a:off x="0" y="0"/>
                      <a:ext cx="5269230" cy="7207250"/>
                    </a:xfrm>
                    <a:prstGeom prst="rect">
                      <a:avLst/>
                    </a:prstGeom>
                  </pic:spPr>
                </pic:pic>
              </a:graphicData>
            </a:graphic>
          </wp:inline>
        </w:drawing>
      </w:r>
    </w:p>
    <w:p w14:paraId="5883BA07">
      <w:pPr>
        <w:spacing w:line="480" w:lineRule="auto"/>
        <w:rPr>
          <w:rFonts w:ascii="Times New Roman" w:hAnsi="Times New Roman"/>
          <w:color w:val="000000"/>
          <w:sz w:val="24"/>
        </w:rPr>
      </w:pPr>
      <w:r>
        <w:rPr>
          <w:rFonts w:ascii="Times New Roman" w:hAnsi="Times New Roman"/>
          <w:b/>
          <w:bCs/>
          <w:color w:val="000000" w:themeColor="text1"/>
          <w:sz w:val="24"/>
          <w14:textFill>
            <w14:solidFill>
              <w14:schemeClr w14:val="tx1"/>
            </w14:solidFill>
          </w14:textFill>
        </w:rPr>
        <w:t>Fig. S</w:t>
      </w:r>
      <w:r>
        <w:rPr>
          <w:rFonts w:hint="eastAsia" w:ascii="Times New Roman" w:hAnsi="Times New Roman"/>
          <w:b/>
          <w:bCs/>
          <w:color w:val="000000" w:themeColor="text1"/>
          <w:sz w:val="24"/>
          <w14:textFill>
            <w14:solidFill>
              <w14:schemeClr w14:val="tx1"/>
            </w14:solidFill>
          </w14:textFill>
        </w:rPr>
        <w:t>6</w:t>
      </w:r>
      <w:r>
        <w:rPr>
          <w:rFonts w:ascii="Times New Roman" w:hAnsi="Times New Roman"/>
          <w:b/>
          <w:bCs/>
          <w:color w:val="000000" w:themeColor="text1"/>
          <w:sz w:val="24"/>
          <w14:textFill>
            <w14:solidFill>
              <w14:schemeClr w14:val="tx1"/>
            </w14:solidFill>
          </w14:textFill>
        </w:rPr>
        <w:t xml:space="preserve"> </w:t>
      </w:r>
      <w:r>
        <w:rPr>
          <w:rFonts w:ascii="Times New Roman" w:hAnsi="Times New Roman"/>
          <w:b/>
          <w:bCs/>
          <w:i/>
          <w:iCs/>
          <w:color w:val="000000" w:themeColor="text1"/>
          <w:sz w:val="24"/>
          <w14:textFill>
            <w14:solidFill>
              <w14:schemeClr w14:val="tx1"/>
            </w14:solidFill>
          </w14:textFill>
        </w:rPr>
        <w:t xml:space="preserve">In vivo </w:t>
      </w:r>
      <w:r>
        <w:rPr>
          <w:rFonts w:ascii="Times New Roman" w:hAnsi="Times New Roman"/>
          <w:b/>
          <w:bCs/>
          <w:color w:val="000000" w:themeColor="text1"/>
          <w:sz w:val="24"/>
          <w14:textFill>
            <w14:solidFill>
              <w14:schemeClr w14:val="tx1"/>
            </w14:solidFill>
          </w14:textFill>
        </w:rPr>
        <w:t>biosafety</w:t>
      </w:r>
      <w:r>
        <w:rPr>
          <w:rFonts w:ascii="Times New Roman" w:hAnsi="Times New Roman"/>
          <w:b/>
          <w:bCs/>
          <w:color w:val="000000"/>
          <w:sz w:val="24"/>
        </w:rPr>
        <w:t xml:space="preserve"> evaluation of TNVs.</w:t>
      </w:r>
      <w:r>
        <w:rPr>
          <w:rFonts w:hint="eastAsia" w:ascii="Times New Roman" w:hAnsi="Times New Roman"/>
          <w:b/>
          <w:bCs/>
          <w:color w:val="000000"/>
          <w:sz w:val="24"/>
        </w:rPr>
        <w:t xml:space="preserve"> </w:t>
      </w:r>
      <w:r>
        <w:rPr>
          <w:rFonts w:ascii="Times New Roman" w:hAnsi="Times New Roman"/>
          <w:color w:val="000000"/>
          <w:sz w:val="24"/>
        </w:rPr>
        <w:t>(A)</w:t>
      </w:r>
      <w:r>
        <w:rPr>
          <w:rFonts w:hint="eastAsia" w:ascii="Times New Roman" w:hAnsi="Times New Roman"/>
          <w:color w:val="000000"/>
          <w:sz w:val="24"/>
        </w:rPr>
        <w:t xml:space="preserve"> </w:t>
      </w:r>
      <w:r>
        <w:rPr>
          <w:rFonts w:ascii="Times New Roman" w:hAnsi="Times New Roman"/>
          <w:color w:val="000000"/>
          <w:sz w:val="24"/>
        </w:rPr>
        <w:t>Haematoxylin and eosin (H&amp;E) staining of major organs (heart, liver, spleen, lung, and kidney) from control (CTR), ligature-induced periodontitis (LIP), and</w:t>
      </w:r>
      <w:r>
        <w:rPr>
          <w:rFonts w:hint="eastAsia" w:ascii="Times New Roman" w:hAnsi="Times New Roman"/>
          <w:color w:val="000000"/>
          <w:sz w:val="24"/>
        </w:rPr>
        <w:t xml:space="preserve"> </w:t>
      </w:r>
      <w:r>
        <w:rPr>
          <w:rFonts w:ascii="Times New Roman" w:hAnsi="Times New Roman"/>
          <w:color w:val="000000"/>
          <w:sz w:val="24"/>
        </w:rPr>
        <w:t>TNVs-treated</w:t>
      </w:r>
      <w:r>
        <w:rPr>
          <w:rFonts w:hint="eastAsia" w:ascii="Times New Roman" w:hAnsi="Times New Roman"/>
          <w:color w:val="000000"/>
          <w:sz w:val="24"/>
        </w:rPr>
        <w:t xml:space="preserve"> </w:t>
      </w:r>
      <w:r>
        <w:rPr>
          <w:rFonts w:ascii="Times New Roman" w:hAnsi="Times New Roman"/>
          <w:color w:val="000000"/>
          <w:sz w:val="24"/>
        </w:rPr>
        <w:t>(LIP + TNVs)</w:t>
      </w:r>
      <w:r>
        <w:rPr>
          <w:rFonts w:hint="eastAsia" w:ascii="Times New Roman" w:hAnsi="Times New Roman"/>
          <w:color w:val="000000"/>
          <w:sz w:val="24"/>
        </w:rPr>
        <w:t xml:space="preserve"> </w:t>
      </w:r>
      <w:r>
        <w:rPr>
          <w:rFonts w:ascii="Times New Roman" w:hAnsi="Times New Roman"/>
          <w:color w:val="000000"/>
          <w:sz w:val="24"/>
        </w:rPr>
        <w:t>groups, showing no apparent histopathological abnormalities. (B) Body weight changes of mice in different treatment groups during the experimental period.</w:t>
      </w:r>
      <w:r>
        <w:rPr>
          <w:rFonts w:hint="eastAsia" w:ascii="Times New Roman" w:hAnsi="Times New Roman"/>
          <w:color w:val="000000"/>
          <w:sz w:val="24"/>
        </w:rPr>
        <w:t xml:space="preserve"> </w:t>
      </w:r>
      <w:r>
        <w:rPr>
          <w:rFonts w:ascii="Times New Roman" w:hAnsi="Times New Roman"/>
          <w:color w:val="000000"/>
          <w:sz w:val="24"/>
        </w:rPr>
        <w:t>(C) Hemolysis assay of TNVs at different concentrations (10, 20, and 30 μg/mL), with distilled water and PBS used as positive and negative controls, respectively. Representative images of erythrocyte suspensions and quantitative analysis of hemolysis percentage are shown</w:t>
      </w:r>
      <w:r>
        <w:rPr>
          <w:rFonts w:hint="eastAsia" w:ascii="Times New Roman" w:hAnsi="Times New Roman"/>
          <w:color w:val="000000"/>
          <w:sz w:val="24"/>
        </w:rPr>
        <w:t xml:space="preserve"> (n=6)</w:t>
      </w:r>
      <w:r>
        <w:rPr>
          <w:rFonts w:ascii="Times New Roman" w:hAnsi="Times New Roman"/>
          <w:color w:val="000000"/>
          <w:sz w:val="24"/>
        </w:rPr>
        <w:t>.</w:t>
      </w:r>
      <w:r>
        <w:rPr>
          <w:rFonts w:hint="eastAsia" w:ascii="Times New Roman" w:hAnsi="Times New Roman"/>
          <w:color w:val="000000"/>
          <w:sz w:val="24"/>
        </w:rPr>
        <w:t xml:space="preserve"> </w:t>
      </w:r>
      <w:r>
        <w:rPr>
          <w:rFonts w:ascii="Times New Roman" w:hAnsi="Times New Roman"/>
          <w:color w:val="000000"/>
          <w:sz w:val="24"/>
        </w:rPr>
        <w:t>(D) Serum biochemical analysis of liver and kidney function markers, including alanine aminotransferase (ALT), aspartate aminotransferase (AST), creatinine (CREA), urea (UREA), and CREA/UREA ratio.</w:t>
      </w:r>
      <w:r>
        <w:rPr>
          <w:rFonts w:hint="eastAsia" w:ascii="Times New Roman" w:hAnsi="Times New Roman"/>
          <w:color w:val="000000"/>
          <w:sz w:val="24"/>
        </w:rPr>
        <w:t xml:space="preserve"> </w:t>
      </w:r>
      <w:r>
        <w:rPr>
          <w:rFonts w:ascii="Times New Roman" w:hAnsi="Times New Roman"/>
          <w:color w:val="000000"/>
          <w:sz w:val="24"/>
        </w:rPr>
        <w:t>(E) Hematological analysis of blood routine parameters, including hemoglobin (HGB),</w:t>
      </w:r>
      <w:r>
        <w:rPr>
          <w:rFonts w:hint="eastAsia" w:ascii="Times New Roman" w:hAnsi="Times New Roman"/>
          <w:color w:val="000000"/>
          <w:sz w:val="24"/>
        </w:rPr>
        <w:t xml:space="preserve"> </w:t>
      </w:r>
      <w:r>
        <w:rPr>
          <w:rFonts w:ascii="Times New Roman" w:hAnsi="Times New Roman"/>
          <w:color w:val="000000"/>
          <w:sz w:val="24"/>
        </w:rPr>
        <w:t>lymphocyte percentage (LY%), lymphocyte count (LY), monocyte percentage (MO%), monocyte count (MO), neutrophil percentage (NE%), neutrophil count (NE), platelet count (PLT), red blood cell count (RBC), and white blood cell count (WBC).</w:t>
      </w:r>
      <w:r>
        <w:rPr>
          <w:rFonts w:hint="eastAsia" w:ascii="Times New Roman" w:hAnsi="Times New Roman"/>
          <w:color w:val="000000"/>
          <w:sz w:val="24"/>
        </w:rPr>
        <w:t xml:space="preserve"> </w:t>
      </w:r>
      <w:r>
        <w:rPr>
          <w:rFonts w:ascii="Times New Roman" w:hAnsi="Times New Roman"/>
          <w:color w:val="000000"/>
          <w:sz w:val="24"/>
        </w:rPr>
        <w:t>Data are presented as mean ± SD</w:t>
      </w:r>
      <w:r>
        <w:rPr>
          <w:rFonts w:hint="eastAsia" w:ascii="Times New Roman" w:hAnsi="Times New Roman"/>
          <w:color w:val="000000"/>
          <w:sz w:val="24"/>
        </w:rPr>
        <w:t xml:space="preserve"> (n=6)</w:t>
      </w:r>
      <w:r>
        <w:rPr>
          <w:rFonts w:ascii="Times New Roman" w:hAnsi="Times New Roman"/>
          <w:color w:val="000000"/>
          <w:sz w:val="24"/>
        </w:rPr>
        <w:t>. Statistical significance was analyzed by one-way ANOVA. ns indicates no significant difference.</w:t>
      </w:r>
    </w:p>
    <w:p w14:paraId="50848F59">
      <w:pPr>
        <w:pStyle w:val="6"/>
        <w:widowControl/>
        <w:rPr>
          <w:rStyle w:val="9"/>
          <w:rFonts w:ascii="Times New Roman" w:hAnsi="Times New Roman"/>
          <w:b w:val="0"/>
          <w:bCs/>
          <w:color w:val="000000"/>
        </w:rPr>
      </w:pPr>
    </w:p>
    <w:p w14:paraId="087C219A">
      <w:pPr>
        <w:pStyle w:val="6"/>
        <w:widowControl/>
        <w:rPr>
          <w:rStyle w:val="9"/>
          <w:rFonts w:ascii="Times New Roman" w:hAnsi="Times New Roman"/>
          <w:b w:val="0"/>
          <w:bCs/>
          <w:color w:val="000000"/>
        </w:rPr>
      </w:pPr>
    </w:p>
    <w:p w14:paraId="1D21C360">
      <w:pPr>
        <w:pStyle w:val="6"/>
        <w:widowControl/>
        <w:rPr>
          <w:rStyle w:val="9"/>
          <w:rFonts w:ascii="Times New Roman" w:hAnsi="Times New Roman"/>
          <w:b w:val="0"/>
          <w:bCs/>
          <w:color w:val="000000"/>
        </w:rPr>
      </w:pPr>
    </w:p>
    <w:p w14:paraId="3350F6B8">
      <w:pPr>
        <w:pStyle w:val="6"/>
        <w:widowControl/>
        <w:rPr>
          <w:rStyle w:val="9"/>
          <w:rFonts w:ascii="Times New Roman" w:hAnsi="Times New Roman"/>
          <w:b w:val="0"/>
          <w:bCs/>
          <w:color w:val="000000"/>
        </w:rPr>
      </w:pPr>
    </w:p>
    <w:p w14:paraId="4415B734">
      <w:pPr>
        <w:pStyle w:val="6"/>
        <w:widowControl/>
        <w:rPr>
          <w:rStyle w:val="9"/>
          <w:rFonts w:ascii="Times New Roman" w:hAnsi="Times New Roman"/>
          <w:b w:val="0"/>
          <w:bCs/>
          <w:color w:val="000000"/>
        </w:rPr>
      </w:pPr>
    </w:p>
    <w:p w14:paraId="10220EE0">
      <w:pPr>
        <w:pStyle w:val="6"/>
        <w:widowControl/>
        <w:rPr>
          <w:rStyle w:val="9"/>
          <w:rFonts w:ascii="Times New Roman" w:hAnsi="Times New Roman"/>
          <w:b w:val="0"/>
          <w:bCs/>
          <w:color w:val="000000"/>
        </w:rPr>
      </w:pPr>
    </w:p>
    <w:p w14:paraId="05A157B5">
      <w:pPr>
        <w:pStyle w:val="6"/>
        <w:widowControl/>
        <w:rPr>
          <w:rStyle w:val="9"/>
          <w:rFonts w:ascii="Times New Roman" w:hAnsi="Times New Roman"/>
          <w:b w:val="0"/>
          <w:bCs/>
          <w:color w:val="000000"/>
        </w:rPr>
      </w:pPr>
    </w:p>
    <w:p w14:paraId="19AE744D">
      <w:pPr>
        <w:pStyle w:val="6"/>
        <w:widowControl/>
        <w:rPr>
          <w:rStyle w:val="9"/>
          <w:rFonts w:ascii="Times New Roman" w:hAnsi="Times New Roman"/>
          <w:b w:val="0"/>
          <w:bCs/>
          <w:color w:val="000000"/>
        </w:rPr>
      </w:pPr>
    </w:p>
    <w:p w14:paraId="54B074A1">
      <w:pPr>
        <w:pStyle w:val="6"/>
        <w:widowControl/>
        <w:rPr>
          <w:rFonts w:hint="eastAsia" w:ascii="Times New Roman" w:hAnsi="Times New Roman" w:eastAsia="宋体"/>
          <w:b/>
          <w:bCs/>
          <w:color w:val="000000"/>
          <w:lang w:eastAsia="zh-CN"/>
        </w:rPr>
      </w:pPr>
      <w:r>
        <w:rPr>
          <w:rFonts w:hint="eastAsia" w:ascii="Times New Roman" w:hAnsi="Times New Roman" w:eastAsia="宋体"/>
          <w:b/>
          <w:bCs/>
          <w:color w:val="000000"/>
          <w:lang w:eastAsia="zh-CN"/>
        </w:rPr>
        <w:drawing>
          <wp:inline distT="0" distB="0" distL="114300" distR="114300">
            <wp:extent cx="5269230" cy="6901180"/>
            <wp:effectExtent l="0" t="0" r="7620" b="4445"/>
            <wp:docPr id="4" name="图片 4" descr="幻灯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幻灯片7"/>
                    <pic:cNvPicPr>
                      <a:picLocks noChangeAspect="1"/>
                    </pic:cNvPicPr>
                  </pic:nvPicPr>
                  <pic:blipFill>
                    <a:blip r:embed="rId10"/>
                    <a:stretch>
                      <a:fillRect/>
                    </a:stretch>
                  </pic:blipFill>
                  <pic:spPr>
                    <a:xfrm>
                      <a:off x="0" y="0"/>
                      <a:ext cx="5269230" cy="6901180"/>
                    </a:xfrm>
                    <a:prstGeom prst="rect">
                      <a:avLst/>
                    </a:prstGeom>
                  </pic:spPr>
                </pic:pic>
              </a:graphicData>
            </a:graphic>
          </wp:inline>
        </w:drawing>
      </w:r>
    </w:p>
    <w:p w14:paraId="10772958">
      <w:pPr>
        <w:spacing w:line="480" w:lineRule="auto"/>
        <w:rPr>
          <w:rFonts w:ascii="Times New Roman" w:hAnsi="Times New Roman"/>
          <w:b/>
          <w:bCs/>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Fig. S</w:t>
      </w:r>
      <w:r>
        <w:rPr>
          <w:rFonts w:hint="eastAsia" w:ascii="Times New Roman" w:hAnsi="Times New Roman"/>
          <w:b/>
          <w:bCs/>
          <w:color w:val="000000" w:themeColor="text1"/>
          <w:sz w:val="24"/>
          <w14:textFill>
            <w14:solidFill>
              <w14:schemeClr w14:val="tx1"/>
            </w14:solidFill>
          </w14:textFill>
        </w:rPr>
        <w:t>7</w:t>
      </w:r>
      <w:r>
        <w:rPr>
          <w:rFonts w:ascii="Times New Roman" w:hAnsi="Times New Roman"/>
          <w:b/>
          <w:bCs/>
          <w:color w:val="000000" w:themeColor="text1"/>
          <w:sz w:val="24"/>
          <w14:textFill>
            <w14:solidFill>
              <w14:schemeClr w14:val="tx1"/>
            </w14:solidFill>
          </w14:textFill>
        </w:rPr>
        <w:t xml:space="preserve"> Cellular uptake of TNVs (30 μg/mL) by MC3T3-E1 and dHL60 cells.</w:t>
      </w:r>
    </w:p>
    <w:p w14:paraId="4679DB2D">
      <w:pPr>
        <w:spacing w:line="480" w:lineRule="auto"/>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(A) Confocal laser scanning microscopy (CLSM) images demonstrating the uptake of PKH26-labelled TNVs (30 μg/mL; red) by MC3T3-E1 cells following 12 h incubation. Cell nuclei were stained with DAPI (blue), while the actin cytoskeleton was stained with phalloidin (green). Scale bars = 20 μm. (B) CLSM images demonstrating the uptake of PKH26-labelled TNVs (30 μg/mL; red) by dHL60 cells following 12 h incubation. Cell nuclei were stained with DAPI (blue), while the cell membrane/cytoskeleton was stained with phalloidin (green). Scale bars = 3 μm. (C, D) Flow cytometric analysis of the time-dependent cellular uptake of TNVs (30 μg/mL) by MC3T3-E1 cells (C) and dHL60 cells (D) at different incubation time points (0, 1, 4, 6, 12, and 24 h). Percentages indicate PKH26-positive cells. (E) Quantitative analysis of TNV uptake efficiency in MC3T3-E1 and dHL60 cells over time. Data are presented as the mean ± standard deviation (SD). ****P &lt; 0.0001.</w:t>
      </w:r>
    </w:p>
    <w:p w14:paraId="4BDA2EC1">
      <w:pPr>
        <w:pStyle w:val="6"/>
        <w:widowControl/>
        <w:rPr>
          <w:rStyle w:val="9"/>
          <w:rFonts w:ascii="Times New Roman" w:hAnsi="Times New Roman"/>
          <w:b w:val="0"/>
          <w:bCs/>
          <w:color w:val="000000"/>
        </w:rPr>
      </w:pPr>
      <w:r>
        <w:rPr>
          <w:rStyle w:val="9"/>
          <w:rFonts w:hint="eastAsia" w:ascii="Times New Roman" w:hAnsi="Times New Roman"/>
          <w:b w:val="0"/>
          <w:bCs/>
          <w:color w:val="000000"/>
        </w:rPr>
        <w:drawing>
          <wp:inline distT="0" distB="0" distL="114300" distR="114300">
            <wp:extent cx="5269230" cy="6615430"/>
            <wp:effectExtent l="0" t="0" r="7620" b="4445"/>
            <wp:docPr id="17" name="图片 17" descr="幻灯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幻灯片11"/>
                    <pic:cNvPicPr>
                      <a:picLocks noChangeAspect="1"/>
                    </pic:cNvPicPr>
                  </pic:nvPicPr>
                  <pic:blipFill>
                    <a:blip r:embed="rId11"/>
                    <a:stretch>
                      <a:fillRect/>
                    </a:stretch>
                  </pic:blipFill>
                  <pic:spPr>
                    <a:xfrm>
                      <a:off x="0" y="0"/>
                      <a:ext cx="5269230" cy="6615430"/>
                    </a:xfrm>
                    <a:prstGeom prst="rect">
                      <a:avLst/>
                    </a:prstGeom>
                  </pic:spPr>
                </pic:pic>
              </a:graphicData>
            </a:graphic>
          </wp:inline>
        </w:drawing>
      </w:r>
    </w:p>
    <w:p w14:paraId="0C40810D">
      <w:pPr>
        <w:spacing w:line="480" w:lineRule="auto"/>
        <w:rPr>
          <w:rFonts w:ascii="Times New Roman" w:hAnsi="Times New Roman"/>
          <w:color w:val="000000"/>
          <w:sz w:val="24"/>
        </w:rPr>
      </w:pPr>
      <w:r>
        <w:rPr>
          <w:rFonts w:ascii="Times New Roman" w:hAnsi="Times New Roman"/>
          <w:b/>
          <w:bCs/>
          <w:color w:val="000000" w:themeColor="text1"/>
          <w:sz w:val="24"/>
          <w14:textFill>
            <w14:solidFill>
              <w14:schemeClr w14:val="tx1"/>
            </w14:solidFill>
          </w14:textFill>
        </w:rPr>
        <w:t>Fig. S</w:t>
      </w:r>
      <w:r>
        <w:rPr>
          <w:rFonts w:hint="eastAsia" w:ascii="Times New Roman" w:hAnsi="Times New Roman"/>
          <w:b/>
          <w:bCs/>
          <w:color w:val="000000" w:themeColor="text1"/>
          <w:sz w:val="24"/>
          <w14:textFill>
            <w14:solidFill>
              <w14:schemeClr w14:val="tx1"/>
            </w14:solidFill>
          </w14:textFill>
        </w:rPr>
        <w:t>8</w:t>
      </w:r>
      <w:r>
        <w:rPr>
          <w:rFonts w:ascii="Times New Roman" w:hAnsi="Times New Roman"/>
          <w:b/>
          <w:bCs/>
          <w:color w:val="000000" w:themeColor="text1"/>
          <w:sz w:val="24"/>
          <w14:textFill>
            <w14:solidFill>
              <w14:schemeClr w14:val="tx1"/>
            </w14:solidFill>
          </w14:textFill>
        </w:rPr>
        <w:t xml:space="preserve"> Effect</w:t>
      </w:r>
      <w:r>
        <w:rPr>
          <w:rFonts w:ascii="Times New Roman" w:hAnsi="Times New Roman"/>
          <w:b/>
          <w:bCs/>
          <w:color w:val="000000"/>
          <w:sz w:val="24"/>
        </w:rPr>
        <w:t>s of TNVs on PMA-Induced Neutrophil Extracellular Trap (NET) Formation.</w:t>
      </w:r>
      <w:r>
        <w:rPr>
          <w:rFonts w:hint="eastAsia" w:ascii="Times New Roman" w:hAnsi="Times New Roman"/>
          <w:b/>
          <w:bCs/>
          <w:color w:val="000000"/>
          <w:sz w:val="24"/>
        </w:rPr>
        <w:t xml:space="preserve"> </w:t>
      </w:r>
      <w:r>
        <w:rPr>
          <w:rFonts w:ascii="Times New Roman" w:hAnsi="Times New Roman"/>
          <w:color w:val="000000"/>
          <w:sz w:val="24"/>
        </w:rPr>
        <w:t>(A) Representative immunofluorescence images of neutrophils under different treatment conditions, including CTR, PMA, TNVs alone, and PMA combined with low (L), medium (M), or high (H) doses of TNVs. L, M, and H represent TNVs at concentrations of 10, 20, and 30 μg/mL, respectively. Nuclei were stained with DAPI (blue), NETs were visualised by citrullinated histone H3 (CitH3, green), and TNVs were labelled with PKH26 (red). Merged images are shown in the bottom row.</w:t>
      </w:r>
      <w:r>
        <w:rPr>
          <w:rFonts w:hint="eastAsia" w:ascii="Times New Roman" w:hAnsi="Times New Roman"/>
          <w:color w:val="000000"/>
          <w:sz w:val="24"/>
        </w:rPr>
        <w:t xml:space="preserve"> </w:t>
      </w:r>
      <w:r>
        <w:rPr>
          <w:rFonts w:ascii="Times New Roman" w:hAnsi="Times New Roman"/>
          <w:color w:val="000000"/>
          <w:sz w:val="24"/>
        </w:rPr>
        <w:t>(B) Three-dimensional (3D) surface plots showing the spatial distribution and intensity of fluorescence signals corresponding to NET structures under the indicated conditions.</w:t>
      </w:r>
      <w:r>
        <w:rPr>
          <w:rFonts w:hint="eastAsia" w:ascii="Times New Roman" w:hAnsi="Times New Roman"/>
          <w:color w:val="000000"/>
          <w:sz w:val="24"/>
        </w:rPr>
        <w:t xml:space="preserve"> </w:t>
      </w:r>
      <w:r>
        <w:rPr>
          <w:rFonts w:ascii="Times New Roman" w:hAnsi="Times New Roman"/>
          <w:color w:val="000000"/>
          <w:sz w:val="24"/>
        </w:rPr>
        <w:t>(C) Quantification of CitH3 expression levels under different treatments. Data are presented as mean ± SD</w:t>
      </w:r>
      <w:r>
        <w:rPr>
          <w:rFonts w:hint="eastAsia" w:ascii="Times New Roman" w:hAnsi="Times New Roman"/>
          <w:color w:val="000000"/>
          <w:sz w:val="24"/>
        </w:rPr>
        <w:t xml:space="preserve"> (n=3)</w:t>
      </w:r>
      <w:r>
        <w:rPr>
          <w:rFonts w:ascii="Times New Roman" w:hAnsi="Times New Roman"/>
          <w:color w:val="000000"/>
          <w:sz w:val="24"/>
        </w:rPr>
        <w:t>. Statistical significance is indicated as follows: ns, not significant; *p &lt; 0.05, **p &lt; 0.01, ***p &lt; 0.001, ****p &lt; 0.0001.</w:t>
      </w:r>
      <w:r>
        <w:rPr>
          <w:rFonts w:hint="eastAsia" w:ascii="Times New Roman" w:hAnsi="Times New Roman"/>
          <w:color w:val="000000"/>
          <w:sz w:val="24"/>
        </w:rPr>
        <w:t xml:space="preserve"> </w:t>
      </w:r>
      <w:r>
        <w:rPr>
          <w:rFonts w:ascii="Times New Roman" w:hAnsi="Times New Roman"/>
          <w:color w:val="000000"/>
          <w:sz w:val="24"/>
        </w:rPr>
        <w:t>(D) Flow cytometric analysis of NET formation using SYTOX Green staining. Representative histograms are shown, with the percentage of SYTOX Green–positive cells indicated for each group.</w:t>
      </w:r>
      <w:r>
        <w:rPr>
          <w:rFonts w:hint="eastAsia" w:ascii="Times New Roman" w:hAnsi="Times New Roman"/>
          <w:color w:val="000000"/>
          <w:sz w:val="24"/>
        </w:rPr>
        <w:t xml:space="preserve"> </w:t>
      </w:r>
      <w:r>
        <w:rPr>
          <w:rFonts w:ascii="Times New Roman" w:hAnsi="Times New Roman"/>
          <w:color w:val="000000"/>
          <w:sz w:val="24"/>
        </w:rPr>
        <w:t>(E) Quantification of SYTOX Green–positive cells under the indicated conditions. Data are presented as mean ± SD</w:t>
      </w:r>
      <w:r>
        <w:rPr>
          <w:rFonts w:hint="eastAsia" w:ascii="Times New Roman" w:hAnsi="Times New Roman"/>
          <w:color w:val="000000"/>
          <w:sz w:val="24"/>
        </w:rPr>
        <w:t xml:space="preserve"> (n=3)</w:t>
      </w:r>
      <w:r>
        <w:rPr>
          <w:rFonts w:ascii="Times New Roman" w:hAnsi="Times New Roman"/>
          <w:color w:val="000000"/>
          <w:sz w:val="24"/>
        </w:rPr>
        <w:t>, with statistical significance indicated as in (C).</w:t>
      </w:r>
    </w:p>
    <w:p w14:paraId="21A38885">
      <w:pPr>
        <w:spacing w:line="360" w:lineRule="auto"/>
        <w:rPr>
          <w:rFonts w:ascii="Times New Roman" w:hAnsi="Times New Roman"/>
          <w:color w:val="000000"/>
          <w:sz w:val="24"/>
        </w:rPr>
      </w:pPr>
    </w:p>
    <w:p w14:paraId="19B92405">
      <w:pPr>
        <w:spacing w:line="360" w:lineRule="auto"/>
        <w:rPr>
          <w:rFonts w:ascii="Times New Roman" w:hAnsi="Times New Roman"/>
          <w:color w:val="000000"/>
          <w:sz w:val="24"/>
        </w:rPr>
      </w:pPr>
    </w:p>
    <w:p w14:paraId="6EA79527">
      <w:pPr>
        <w:spacing w:line="360" w:lineRule="auto"/>
        <w:rPr>
          <w:rFonts w:ascii="Times New Roman" w:hAnsi="Times New Roman"/>
          <w:color w:val="000000"/>
          <w:sz w:val="24"/>
        </w:rPr>
      </w:pPr>
    </w:p>
    <w:p w14:paraId="2E11E1FE">
      <w:pPr>
        <w:pStyle w:val="6"/>
        <w:widowControl/>
        <w:rPr>
          <w:rFonts w:ascii="Times New Roman" w:hAnsi="Times New Roman"/>
          <w:color w:val="000000"/>
        </w:rPr>
      </w:pPr>
      <w:r>
        <w:rPr>
          <w:rFonts w:hint="eastAsia" w:ascii="Times New Roman" w:hAnsi="Times New Roman"/>
          <w:color w:val="000000"/>
        </w:rPr>
        <w:drawing>
          <wp:inline distT="0" distB="0" distL="114300" distR="114300">
            <wp:extent cx="5269230" cy="5189220"/>
            <wp:effectExtent l="0" t="0" r="7620" b="1905"/>
            <wp:docPr id="18" name="图片 18" descr="幻灯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幻灯片12"/>
                    <pic:cNvPicPr>
                      <a:picLocks noChangeAspect="1"/>
                    </pic:cNvPicPr>
                  </pic:nvPicPr>
                  <pic:blipFill>
                    <a:blip r:embed="rId12"/>
                    <a:stretch>
                      <a:fillRect/>
                    </a:stretch>
                  </pic:blipFill>
                  <pic:spPr>
                    <a:xfrm>
                      <a:off x="0" y="0"/>
                      <a:ext cx="5269230" cy="5189220"/>
                    </a:xfrm>
                    <a:prstGeom prst="rect">
                      <a:avLst/>
                    </a:prstGeom>
                  </pic:spPr>
                </pic:pic>
              </a:graphicData>
            </a:graphic>
          </wp:inline>
        </w:drawing>
      </w:r>
    </w:p>
    <w:p w14:paraId="7F17AB9B">
      <w:pPr>
        <w:spacing w:line="480" w:lineRule="auto"/>
        <w:rPr>
          <w:rFonts w:ascii="Times New Roman" w:hAnsi="Times New Roman"/>
          <w:bCs/>
          <w:color w:val="000000"/>
          <w:sz w:val="24"/>
        </w:rPr>
      </w:pPr>
      <w:bookmarkStart w:id="0" w:name="OLE_LINK1"/>
      <w:r>
        <w:rPr>
          <w:rFonts w:ascii="Times New Roman" w:hAnsi="Times New Roman"/>
          <w:b/>
          <w:color w:val="000000" w:themeColor="text1"/>
          <w:sz w:val="24"/>
          <w14:textFill>
            <w14:solidFill>
              <w14:schemeClr w14:val="tx1"/>
            </w14:solidFill>
          </w14:textFill>
        </w:rPr>
        <w:t>Fig. S</w:t>
      </w:r>
      <w:bookmarkEnd w:id="0"/>
      <w:r>
        <w:rPr>
          <w:rFonts w:hint="eastAsia" w:ascii="Times New Roman" w:hAnsi="Times New Roman"/>
          <w:b/>
          <w:color w:val="000000" w:themeColor="text1"/>
          <w:sz w:val="24"/>
          <w14:textFill>
            <w14:solidFill>
              <w14:schemeClr w14:val="tx1"/>
            </w14:solidFill>
          </w14:textFill>
        </w:rPr>
        <w:t>9</w:t>
      </w:r>
      <w:r>
        <w:rPr>
          <w:rFonts w:ascii="Times New Roman" w:hAnsi="Times New Roman"/>
          <w:b/>
          <w:color w:val="000000" w:themeColor="text1"/>
          <w:sz w:val="24"/>
          <w14:textFill>
            <w14:solidFill>
              <w14:schemeClr w14:val="tx1"/>
            </w14:solidFill>
          </w14:textFill>
        </w:rPr>
        <w:t xml:space="preserve"> E</w:t>
      </w:r>
      <w:r>
        <w:rPr>
          <w:rFonts w:ascii="Times New Roman" w:hAnsi="Times New Roman"/>
          <w:b/>
          <w:color w:val="000000"/>
          <w:sz w:val="24"/>
        </w:rPr>
        <w:t>ffects of TNVs on H₂O₂-Induced Reactive Oxygen Species (ROS) Generation in MC3T3-E1 Cells.</w:t>
      </w:r>
      <w:r>
        <w:rPr>
          <w:rFonts w:hint="eastAsia" w:ascii="Times New Roman" w:hAnsi="Times New Roman"/>
          <w:b/>
          <w:color w:val="000000"/>
          <w:sz w:val="24"/>
        </w:rPr>
        <w:t xml:space="preserve"> </w:t>
      </w:r>
      <w:r>
        <w:rPr>
          <w:rFonts w:ascii="Times New Roman" w:hAnsi="Times New Roman"/>
          <w:bCs/>
          <w:color w:val="000000"/>
          <w:sz w:val="24"/>
        </w:rPr>
        <w:t>(A) Representative fluorescence microscopy images of MC3T3-E1 cells under different treatment conditions, including control (CTR), H₂O₂ alone, and H₂O₂ combined with different concentrations of TNVs (</w:t>
      </w:r>
      <w:r>
        <w:rPr>
          <w:rFonts w:hint="eastAsia" w:ascii="Times New Roman" w:hAnsi="Times New Roman"/>
          <w:bCs/>
          <w:color w:val="000000"/>
          <w:sz w:val="24"/>
        </w:rPr>
        <w:t>L</w:t>
      </w:r>
      <w:r>
        <w:rPr>
          <w:rFonts w:ascii="Times New Roman" w:hAnsi="Times New Roman"/>
          <w:bCs/>
          <w:color w:val="000000"/>
          <w:sz w:val="24"/>
        </w:rPr>
        <w:t xml:space="preserve">, </w:t>
      </w:r>
      <w:r>
        <w:rPr>
          <w:rFonts w:hint="eastAsia" w:ascii="Times New Roman" w:hAnsi="Times New Roman"/>
          <w:bCs/>
          <w:color w:val="000000"/>
          <w:sz w:val="24"/>
        </w:rPr>
        <w:t xml:space="preserve"> M</w:t>
      </w:r>
      <w:r>
        <w:rPr>
          <w:rFonts w:ascii="Times New Roman" w:hAnsi="Times New Roman"/>
          <w:bCs/>
          <w:color w:val="000000"/>
          <w:sz w:val="24"/>
        </w:rPr>
        <w:t xml:space="preserve">, and </w:t>
      </w:r>
      <w:r>
        <w:rPr>
          <w:rFonts w:hint="eastAsia" w:ascii="Times New Roman" w:hAnsi="Times New Roman"/>
          <w:bCs/>
          <w:color w:val="000000"/>
          <w:sz w:val="24"/>
        </w:rPr>
        <w:t xml:space="preserve">H </w:t>
      </w:r>
      <w:r>
        <w:rPr>
          <w:rFonts w:ascii="Times New Roman" w:hAnsi="Times New Roman"/>
          <w:bCs/>
          <w:color w:val="000000"/>
          <w:sz w:val="24"/>
        </w:rPr>
        <w:t>represent TNVs at concentrations of 10, 20, and 30 μg/mL, respectively). Nuclei were stained with Hoechst (blue), and intracellular ROS levels were detected using DCFH-DA (green). Merged images are shown in the bottom row.</w:t>
      </w:r>
      <w:r>
        <w:rPr>
          <w:rFonts w:hint="eastAsia" w:ascii="Times New Roman" w:hAnsi="Times New Roman"/>
          <w:bCs/>
          <w:color w:val="000000"/>
          <w:sz w:val="24"/>
        </w:rPr>
        <w:t xml:space="preserve"> </w:t>
      </w:r>
      <w:r>
        <w:rPr>
          <w:rFonts w:ascii="Times New Roman" w:hAnsi="Times New Roman"/>
          <w:bCs/>
          <w:color w:val="000000"/>
          <w:sz w:val="24"/>
        </w:rPr>
        <w:t>(B) Flow cytometric analysis of intracellular ROS generation in MC3T3-E1 cells using DCFH-DA staining. Representative histograms are shown, with the percentage of ROS-positive cells indicated for each group.</w:t>
      </w:r>
      <w:r>
        <w:rPr>
          <w:rFonts w:hint="eastAsia" w:ascii="Times New Roman" w:hAnsi="Times New Roman"/>
          <w:bCs/>
          <w:color w:val="000000"/>
          <w:sz w:val="24"/>
        </w:rPr>
        <w:t xml:space="preserve"> </w:t>
      </w:r>
      <w:r>
        <w:rPr>
          <w:rFonts w:ascii="Times New Roman" w:hAnsi="Times New Roman"/>
          <w:bCs/>
          <w:color w:val="000000"/>
          <w:sz w:val="24"/>
        </w:rPr>
        <w:t>(C) Quantification of intracellular ROS levels expressed as relative fluorescence intensity based on DCFH-DA staining. Data are presented as mean ± SD</w:t>
      </w:r>
      <w:r>
        <w:rPr>
          <w:rFonts w:hint="eastAsia" w:ascii="Times New Roman" w:hAnsi="Times New Roman"/>
          <w:bCs/>
          <w:color w:val="000000"/>
          <w:sz w:val="24"/>
        </w:rPr>
        <w:t xml:space="preserve"> </w:t>
      </w:r>
      <w:r>
        <w:rPr>
          <w:rFonts w:hint="eastAsia" w:ascii="Times New Roman" w:hAnsi="Times New Roman"/>
          <w:color w:val="000000"/>
          <w:sz w:val="24"/>
        </w:rPr>
        <w:t>(n=3)</w:t>
      </w:r>
      <w:r>
        <w:rPr>
          <w:rFonts w:ascii="Times New Roman" w:hAnsi="Times New Roman"/>
          <w:bCs/>
          <w:color w:val="000000"/>
          <w:sz w:val="24"/>
        </w:rPr>
        <w:t>. Statistical significance is indicated as follows: *p &lt; 0.05, **p &lt; 0.01, ***p &lt; 0.001, ****p &lt; 0.0001.</w:t>
      </w:r>
    </w:p>
    <w:p w14:paraId="4A1F4D72">
      <w:pPr>
        <w:pStyle w:val="6"/>
        <w:widowControl/>
        <w:rPr>
          <w:rStyle w:val="9"/>
          <w:rFonts w:ascii="Times New Roman" w:hAnsi="Times New Roman"/>
          <w:color w:val="000000"/>
        </w:rPr>
      </w:pPr>
    </w:p>
    <w:p w14:paraId="2DEAFD3C">
      <w:pPr>
        <w:pStyle w:val="6"/>
        <w:widowControl/>
        <w:rPr>
          <w:rStyle w:val="9"/>
          <w:rFonts w:ascii="Times New Roman" w:hAnsi="Times New Roman"/>
          <w:color w:val="000000"/>
        </w:rPr>
      </w:pPr>
    </w:p>
    <w:p w14:paraId="2B01B313">
      <w:pPr>
        <w:pStyle w:val="6"/>
        <w:widowControl/>
        <w:rPr>
          <w:rStyle w:val="9"/>
          <w:rFonts w:ascii="Times New Roman" w:hAnsi="Times New Roman"/>
          <w:color w:val="000000"/>
        </w:rPr>
      </w:pPr>
    </w:p>
    <w:p w14:paraId="7B3FB64B">
      <w:pPr>
        <w:pStyle w:val="6"/>
        <w:widowControl/>
        <w:rPr>
          <w:rStyle w:val="9"/>
          <w:rFonts w:ascii="Times New Roman" w:hAnsi="Times New Roman"/>
          <w:color w:val="000000"/>
        </w:rPr>
      </w:pPr>
      <w:r>
        <w:rPr>
          <w:rStyle w:val="9"/>
          <w:rFonts w:hint="eastAsia" w:ascii="Times New Roman" w:hAnsi="Times New Roman"/>
          <w:color w:val="000000"/>
        </w:rPr>
        <w:drawing>
          <wp:inline distT="0" distB="0" distL="114300" distR="114300">
            <wp:extent cx="5269230" cy="5677535"/>
            <wp:effectExtent l="0" t="0" r="7620" b="8890"/>
            <wp:docPr id="24" name="图片 24" descr="幻灯片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幻灯片9-1"/>
                    <pic:cNvPicPr>
                      <a:picLocks noChangeAspect="1"/>
                    </pic:cNvPicPr>
                  </pic:nvPicPr>
                  <pic:blipFill>
                    <a:blip r:embed="rId13"/>
                    <a:stretch>
                      <a:fillRect/>
                    </a:stretch>
                  </pic:blipFill>
                  <pic:spPr>
                    <a:xfrm>
                      <a:off x="0" y="0"/>
                      <a:ext cx="5269230" cy="5677535"/>
                    </a:xfrm>
                    <a:prstGeom prst="rect">
                      <a:avLst/>
                    </a:prstGeom>
                  </pic:spPr>
                </pic:pic>
              </a:graphicData>
            </a:graphic>
          </wp:inline>
        </w:drawing>
      </w:r>
    </w:p>
    <w:p w14:paraId="564145A5">
      <w:pPr>
        <w:spacing w:line="480" w:lineRule="auto"/>
        <w:rPr>
          <w:rFonts w:ascii="Times New Roman" w:hAnsi="Times New Roman"/>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Fig. S</w:t>
      </w:r>
      <w:r>
        <w:rPr>
          <w:rFonts w:hint="eastAsia" w:ascii="Times New Roman" w:hAnsi="Times New Roman"/>
          <w:b/>
          <w:bCs/>
          <w:color w:val="000000" w:themeColor="text1"/>
          <w:sz w:val="24"/>
          <w14:textFill>
            <w14:solidFill>
              <w14:schemeClr w14:val="tx1"/>
            </w14:solidFill>
          </w14:textFill>
        </w:rPr>
        <w:t xml:space="preserve">10 </w:t>
      </w:r>
      <w:r>
        <w:rPr>
          <w:rFonts w:ascii="Times New Roman" w:hAnsi="Times New Roman"/>
          <w:b/>
          <w:bCs/>
          <w:color w:val="000000" w:themeColor="text1"/>
          <w:sz w:val="24"/>
          <w14:textFill>
            <w14:solidFill>
              <w14:schemeClr w14:val="tx1"/>
            </w14:solidFill>
          </w14:textFill>
        </w:rPr>
        <w:t>Effects of TNVs on NET formation with ROS modulators</w:t>
      </w:r>
      <w:r>
        <w:rPr>
          <w:rFonts w:hint="eastAsia" w:ascii="Times New Roman" w:hAnsi="Times New Roman"/>
          <w:b/>
          <w:bCs/>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(A) Representative fluorescence microscopy images of primary murine neutrophils under different treatment conditions, including CTR, ION, ION + H₂O₂, ION + TNVs, ION + NAC, ION + TNVs + NAC, and ION + TNVs + H₂O₂. Cell nuclei were stained with DAPI (blue), and extracellular DNA associated with NET formation was stained with SYTOX Green (green). Merged images are shown in the bottom row.</w:t>
      </w:r>
      <w:r>
        <w:rPr>
          <w:rFonts w:hint="eastAsia" w:ascii="Times New Roman" w:hAnsi="Times New Roman"/>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(B) Quantitative analysis of the SYTOX Green-positive area under the indicated treatment conditions. Data are presented as the mean ± standard deviation (SD). Statistical significance is indicated as *P &lt; 0.05, **P &lt; 0.01, ***P &lt; 0.001, and ****P &lt; 0.0001.</w:t>
      </w:r>
    </w:p>
    <w:p w14:paraId="2119A216">
      <w:pPr>
        <w:pStyle w:val="6"/>
        <w:widowControl/>
        <w:rPr>
          <w:rStyle w:val="9"/>
          <w:rFonts w:ascii="Times New Roman" w:hAnsi="Times New Roman"/>
          <w:color w:val="000000"/>
        </w:rPr>
      </w:pPr>
    </w:p>
    <w:p w14:paraId="6F6BE2FB">
      <w:pPr>
        <w:pStyle w:val="6"/>
        <w:widowControl/>
        <w:rPr>
          <w:rStyle w:val="9"/>
          <w:rFonts w:ascii="Times New Roman" w:hAnsi="Times New Roman"/>
          <w:color w:val="000000"/>
        </w:rPr>
      </w:pPr>
      <w:r>
        <w:rPr>
          <w:rStyle w:val="9"/>
          <w:rFonts w:hint="eastAsia" w:ascii="Times New Roman" w:hAnsi="Times New Roman"/>
          <w:color w:val="000000"/>
        </w:rPr>
        <w:drawing>
          <wp:inline distT="0" distB="0" distL="114300" distR="114300">
            <wp:extent cx="5269230" cy="5433695"/>
            <wp:effectExtent l="0" t="0" r="7620" b="5080"/>
            <wp:docPr id="25" name="图片 25" descr="幻灯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幻灯片1-1"/>
                    <pic:cNvPicPr>
                      <a:picLocks noChangeAspect="1"/>
                    </pic:cNvPicPr>
                  </pic:nvPicPr>
                  <pic:blipFill>
                    <a:blip r:embed="rId14"/>
                    <a:stretch>
                      <a:fillRect/>
                    </a:stretch>
                  </pic:blipFill>
                  <pic:spPr>
                    <a:xfrm>
                      <a:off x="0" y="0"/>
                      <a:ext cx="5269230" cy="5433695"/>
                    </a:xfrm>
                    <a:prstGeom prst="rect">
                      <a:avLst/>
                    </a:prstGeom>
                  </pic:spPr>
                </pic:pic>
              </a:graphicData>
            </a:graphic>
          </wp:inline>
        </w:drawing>
      </w:r>
    </w:p>
    <w:p w14:paraId="18EFB1D8">
      <w:pPr>
        <w:spacing w:line="480" w:lineRule="auto"/>
        <w:rPr>
          <w:rFonts w:ascii="Times New Roman" w:hAnsi="Times New Roman"/>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Fig. S</w:t>
      </w:r>
      <w:r>
        <w:rPr>
          <w:rFonts w:hint="eastAsia" w:ascii="Times New Roman" w:hAnsi="Times New Roman"/>
          <w:b/>
          <w:bCs/>
          <w:color w:val="000000" w:themeColor="text1"/>
          <w:sz w:val="24"/>
          <w14:textFill>
            <w14:solidFill>
              <w14:schemeClr w14:val="tx1"/>
            </w14:solidFill>
          </w14:textFill>
        </w:rPr>
        <w:t>11</w:t>
      </w:r>
      <w:r>
        <w:rPr>
          <w:rFonts w:ascii="Times New Roman" w:hAnsi="Times New Roman"/>
          <w:b/>
          <w:bCs/>
          <w:color w:val="000000" w:themeColor="text1"/>
          <w:sz w:val="24"/>
          <w14:textFill>
            <w14:solidFill>
              <w14:schemeClr w14:val="tx1"/>
            </w14:solidFill>
          </w14:textFill>
        </w:rPr>
        <w:t xml:space="preserve"> Effects of </w:t>
      </w:r>
      <w:r>
        <w:rPr>
          <w:rFonts w:hint="eastAsia" w:ascii="Times New Roman" w:hAnsi="Times New Roman"/>
          <w:b/>
          <w:bCs/>
          <w:color w:val="000000" w:themeColor="text1"/>
          <w:sz w:val="24"/>
          <w14:textFill>
            <w14:solidFill>
              <w14:schemeClr w14:val="tx1"/>
            </w14:solidFill>
          </w14:textFill>
        </w:rPr>
        <w:t>TNV</w:t>
      </w:r>
      <w:r>
        <w:rPr>
          <w:rFonts w:ascii="Times New Roman" w:hAnsi="Times New Roman"/>
          <w:b/>
          <w:bCs/>
          <w:color w:val="000000" w:themeColor="text1"/>
          <w:sz w:val="24"/>
          <w14:textFill>
            <w14:solidFill>
              <w14:schemeClr w14:val="tx1"/>
            </w14:solidFill>
          </w14:textFill>
        </w:rPr>
        <w:t>-derived components on</w:t>
      </w:r>
      <w:r>
        <w:rPr>
          <w:rFonts w:hint="eastAsia" w:ascii="Times New Roman" w:hAnsi="Times New Roman"/>
          <w:b/>
          <w:bCs/>
          <w:color w:val="000000" w:themeColor="text1"/>
          <w:sz w:val="24"/>
          <w14:textFill>
            <w14:solidFill>
              <w14:schemeClr w14:val="tx1"/>
            </w14:solidFill>
          </w14:textFill>
        </w:rPr>
        <w:t xml:space="preserve"> </w:t>
      </w:r>
      <w:r>
        <w:rPr>
          <w:rFonts w:ascii="Times New Roman" w:hAnsi="Times New Roman"/>
          <w:b/>
          <w:bCs/>
          <w:color w:val="000000" w:themeColor="text1"/>
          <w:sz w:val="24"/>
          <w14:textFill>
            <w14:solidFill>
              <w14:schemeClr w14:val="tx1"/>
            </w14:solidFill>
          </w14:textFill>
        </w:rPr>
        <w:t>NET formation.</w:t>
      </w:r>
      <w:r>
        <w:rPr>
          <w:rFonts w:hint="eastAsia" w:ascii="Times New Roman" w:hAnsi="Times New Roman"/>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(A) Representative fluorescence microscopy images of primary murine neutrophils under different treatment conditions, including CTR, ION, ION + TNVs, ION + Cur, ION + CUM, ION + Tur, and ION + Mix. Cell nuclei were stained with DAPI (blue), and extracellular DNA associated with NET formation was stained with SYTOX Green (green). Merged images are shown in the bottom row.</w:t>
      </w:r>
      <w:r>
        <w:rPr>
          <w:rFonts w:hint="eastAsia" w:ascii="Times New Roman" w:hAnsi="Times New Roman"/>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(B) Quantitative analysis of the SYTOX Green-positive area under the indicated treatment conditions. Data are presented as the mean ± standard deviation (SD). Statistical significance is indicated as *P &lt; 0.05, **P &lt; 0.01, ***P &lt; 0.001, and ****P &lt; 0.0001.</w:t>
      </w:r>
    </w:p>
    <w:p w14:paraId="3E866C48">
      <w:pPr>
        <w:pStyle w:val="6"/>
        <w:widowControl/>
        <w:rPr>
          <w:rStyle w:val="9"/>
          <w:rFonts w:ascii="Times New Roman" w:hAnsi="Times New Roman"/>
          <w:color w:val="000000"/>
        </w:rPr>
      </w:pPr>
    </w:p>
    <w:p w14:paraId="45F4E491">
      <w:pPr>
        <w:pStyle w:val="6"/>
        <w:widowControl/>
        <w:rPr>
          <w:rStyle w:val="9"/>
          <w:rFonts w:ascii="Times New Roman" w:hAnsi="Times New Roman"/>
          <w:color w:val="000000"/>
        </w:rPr>
      </w:pPr>
      <w:r>
        <w:rPr>
          <w:rStyle w:val="9"/>
          <w:rFonts w:hint="eastAsia" w:ascii="Times New Roman" w:hAnsi="Times New Roman"/>
          <w:color w:val="000000"/>
        </w:rPr>
        <w:drawing>
          <wp:inline distT="0" distB="0" distL="114300" distR="114300">
            <wp:extent cx="5269230" cy="7023735"/>
            <wp:effectExtent l="0" t="0" r="7620" b="5715"/>
            <wp:docPr id="19" name="图片 19" descr="幻灯片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幻灯片13"/>
                    <pic:cNvPicPr>
                      <a:picLocks noChangeAspect="1"/>
                    </pic:cNvPicPr>
                  </pic:nvPicPr>
                  <pic:blipFill>
                    <a:blip r:embed="rId15"/>
                    <a:stretch>
                      <a:fillRect/>
                    </a:stretch>
                  </pic:blipFill>
                  <pic:spPr>
                    <a:xfrm>
                      <a:off x="0" y="0"/>
                      <a:ext cx="5269230" cy="7023735"/>
                    </a:xfrm>
                    <a:prstGeom prst="rect">
                      <a:avLst/>
                    </a:prstGeom>
                  </pic:spPr>
                </pic:pic>
              </a:graphicData>
            </a:graphic>
          </wp:inline>
        </w:drawing>
      </w:r>
    </w:p>
    <w:p w14:paraId="5EF1636B">
      <w:pPr>
        <w:spacing w:line="480" w:lineRule="auto"/>
        <w:rPr>
          <w:rFonts w:ascii="Times New Roman" w:hAnsi="Times New Roman"/>
          <w:color w:val="000000"/>
          <w:sz w:val="24"/>
        </w:rPr>
      </w:pPr>
      <w:r>
        <w:rPr>
          <w:rFonts w:ascii="Times New Roman" w:hAnsi="Times New Roman"/>
          <w:b/>
          <w:bCs/>
          <w:color w:val="000000" w:themeColor="text1"/>
          <w:sz w:val="24"/>
          <w14:textFill>
            <w14:solidFill>
              <w14:schemeClr w14:val="tx1"/>
            </w14:solidFill>
          </w14:textFill>
        </w:rPr>
        <w:t>Fig. S</w:t>
      </w:r>
      <w:r>
        <w:rPr>
          <w:rFonts w:hint="eastAsia" w:ascii="Times New Roman" w:hAnsi="Times New Roman"/>
          <w:b/>
          <w:bCs/>
          <w:color w:val="000000" w:themeColor="text1"/>
          <w:sz w:val="24"/>
          <w14:textFill>
            <w14:solidFill>
              <w14:schemeClr w14:val="tx1"/>
            </w14:solidFill>
          </w14:textFill>
        </w:rPr>
        <w:t>12</w:t>
      </w:r>
      <w:r>
        <w:rPr>
          <w:rFonts w:ascii="Times New Roman" w:hAnsi="Times New Roman"/>
          <w:b/>
          <w:bCs/>
          <w:color w:val="000000" w:themeColor="text1"/>
          <w:sz w:val="24"/>
          <w14:textFill>
            <w14:solidFill>
              <w14:schemeClr w14:val="tx1"/>
            </w14:solidFill>
          </w14:textFill>
        </w:rPr>
        <w:t xml:space="preserve"> </w:t>
      </w:r>
      <w:r>
        <w:rPr>
          <w:rFonts w:ascii="Times New Roman" w:hAnsi="Times New Roman"/>
          <w:b/>
          <w:bCs/>
          <w:i/>
          <w:iCs/>
          <w:color w:val="000000" w:themeColor="text1"/>
          <w:sz w:val="24"/>
          <w14:textFill>
            <w14:solidFill>
              <w14:schemeClr w14:val="tx1"/>
            </w14:solidFill>
          </w14:textFill>
        </w:rPr>
        <w:t>Ex Vivo</w:t>
      </w:r>
      <w:r>
        <w:rPr>
          <w:rFonts w:ascii="Times New Roman" w:hAnsi="Times New Roman"/>
          <w:b/>
          <w:bCs/>
          <w:color w:val="000000" w:themeColor="text1"/>
          <w:sz w:val="24"/>
          <w14:textFill>
            <w14:solidFill>
              <w14:schemeClr w14:val="tx1"/>
            </w14:solidFill>
          </w14:textFill>
        </w:rPr>
        <w:t xml:space="preserve"> Fluorescence Biodistribution of DiR and DiR-Loaded TNVs in Major Organs.</w:t>
      </w:r>
      <w:r>
        <w:rPr>
          <w:rFonts w:ascii="Times New Roman" w:hAnsi="Times New Roman"/>
          <w:color w:val="000000" w:themeColor="text1"/>
          <w:sz w:val="24"/>
          <w14:textFill>
            <w14:solidFill>
              <w14:schemeClr w14:val="tx1"/>
            </w14:solidFill>
          </w14:textFill>
        </w:rPr>
        <w:t xml:space="preserve"> Representative</w:t>
      </w:r>
      <w:r>
        <w:rPr>
          <w:rFonts w:ascii="Times New Roman" w:hAnsi="Times New Roman"/>
          <w:i/>
          <w:iCs/>
          <w:color w:val="000000" w:themeColor="text1"/>
          <w:sz w:val="24"/>
          <w14:textFill>
            <w14:solidFill>
              <w14:schemeClr w14:val="tx1"/>
            </w14:solidFill>
          </w14:textFill>
        </w:rPr>
        <w:t xml:space="preserve"> ex vivo </w:t>
      </w:r>
      <w:r>
        <w:rPr>
          <w:rFonts w:ascii="Times New Roman" w:hAnsi="Times New Roman"/>
          <w:color w:val="000000" w:themeColor="text1"/>
          <w:sz w:val="24"/>
          <w14:textFill>
            <w14:solidFill>
              <w14:schemeClr w14:val="tx1"/>
            </w14:solidFill>
          </w14:textFill>
        </w:rPr>
        <w:t>fluores</w:t>
      </w:r>
      <w:r>
        <w:rPr>
          <w:rFonts w:ascii="Times New Roman" w:hAnsi="Times New Roman"/>
          <w:color w:val="000000"/>
          <w:sz w:val="24"/>
        </w:rPr>
        <w:t>cence images of major organs collected at 6</w:t>
      </w:r>
      <w:r>
        <w:rPr>
          <w:rFonts w:hint="eastAsia" w:ascii="Times New Roman" w:hAnsi="Times New Roman"/>
          <w:color w:val="000000"/>
          <w:sz w:val="24"/>
        </w:rPr>
        <w:t>h(A)</w:t>
      </w:r>
      <w:r>
        <w:rPr>
          <w:rFonts w:ascii="Times New Roman" w:hAnsi="Times New Roman"/>
          <w:color w:val="000000"/>
          <w:sz w:val="24"/>
        </w:rPr>
        <w:t>, 24</w:t>
      </w:r>
      <w:r>
        <w:rPr>
          <w:rFonts w:hint="eastAsia" w:ascii="Times New Roman" w:hAnsi="Times New Roman"/>
          <w:color w:val="000000"/>
          <w:sz w:val="24"/>
        </w:rPr>
        <w:t>h(B)</w:t>
      </w:r>
      <w:r>
        <w:rPr>
          <w:rFonts w:ascii="Times New Roman" w:hAnsi="Times New Roman"/>
          <w:color w:val="000000"/>
          <w:sz w:val="24"/>
        </w:rPr>
        <w:t>, and 48h</w:t>
      </w:r>
      <w:r>
        <w:rPr>
          <w:rFonts w:hint="eastAsia" w:ascii="Times New Roman" w:hAnsi="Times New Roman"/>
          <w:color w:val="000000"/>
          <w:sz w:val="24"/>
        </w:rPr>
        <w:t>(C)</w:t>
      </w:r>
      <w:r>
        <w:rPr>
          <w:rFonts w:ascii="Times New Roman" w:hAnsi="Times New Roman"/>
          <w:color w:val="000000"/>
          <w:sz w:val="24"/>
        </w:rPr>
        <w:t xml:space="preserve"> after intravenous injection of free DiR or DiR-TNVs, respectively. Organs are shown from left to right as follows: maxilla, brain, heart, liver, spleen, lung, and kidney. Fluorescence signals were acquired using an in </w:t>
      </w:r>
      <w:r>
        <w:rPr>
          <w:rFonts w:ascii="Times New Roman" w:hAnsi="Times New Roman"/>
          <w:i/>
          <w:iCs/>
          <w:color w:val="000000"/>
          <w:sz w:val="24"/>
        </w:rPr>
        <w:t>vivo</w:t>
      </w:r>
      <w:r>
        <w:rPr>
          <w:rFonts w:ascii="Times New Roman" w:hAnsi="Times New Roman"/>
          <w:color w:val="000000"/>
          <w:sz w:val="24"/>
        </w:rPr>
        <w:t xml:space="preserve"> imaging system and are presented as pseudocolour overlays on greyscale images. Radiant efficiency is expressed as (p/s/cm²/sr)/(μW/cm²), and the same colour scale was applied to all images to enable direct comparison between groups and time points.</w:t>
      </w:r>
    </w:p>
    <w:p w14:paraId="6D7FEA6B">
      <w:pPr>
        <w:pStyle w:val="6"/>
        <w:widowControl/>
        <w:rPr>
          <w:rStyle w:val="9"/>
          <w:rFonts w:ascii="Times New Roman" w:hAnsi="Times New Roman"/>
          <w:b w:val="0"/>
          <w:bCs/>
          <w:color w:val="000000"/>
        </w:rPr>
      </w:pPr>
    </w:p>
    <w:p w14:paraId="5F50EFF3">
      <w:pPr>
        <w:pStyle w:val="6"/>
        <w:widowControl/>
        <w:rPr>
          <w:rStyle w:val="9"/>
          <w:rFonts w:ascii="Times New Roman" w:hAnsi="Times New Roman"/>
          <w:b w:val="0"/>
          <w:bCs/>
          <w:color w:val="000000"/>
        </w:rPr>
      </w:pPr>
    </w:p>
    <w:p w14:paraId="3F121877">
      <w:pPr>
        <w:pStyle w:val="6"/>
        <w:widowControl/>
        <w:rPr>
          <w:rStyle w:val="9"/>
          <w:rFonts w:ascii="Times New Roman" w:hAnsi="Times New Roman"/>
          <w:b w:val="0"/>
          <w:bCs/>
          <w:color w:val="000000"/>
        </w:rPr>
      </w:pPr>
    </w:p>
    <w:p w14:paraId="3441693E">
      <w:pPr>
        <w:pStyle w:val="6"/>
        <w:widowControl/>
        <w:rPr>
          <w:rStyle w:val="9"/>
          <w:rFonts w:ascii="Times New Roman" w:hAnsi="Times New Roman"/>
          <w:b w:val="0"/>
          <w:bCs/>
          <w:color w:val="000000"/>
        </w:rPr>
      </w:pPr>
    </w:p>
    <w:p w14:paraId="4C6F4B76">
      <w:pPr>
        <w:pStyle w:val="6"/>
        <w:widowControl/>
        <w:rPr>
          <w:rStyle w:val="9"/>
          <w:rFonts w:ascii="Times New Roman" w:hAnsi="Times New Roman"/>
          <w:b w:val="0"/>
          <w:bCs/>
          <w:color w:val="000000"/>
        </w:rPr>
      </w:pPr>
    </w:p>
    <w:p w14:paraId="64AEC2D5">
      <w:pPr>
        <w:pStyle w:val="6"/>
        <w:widowControl/>
        <w:rPr>
          <w:rStyle w:val="9"/>
          <w:rFonts w:ascii="Times New Roman" w:hAnsi="Times New Roman"/>
          <w:b w:val="0"/>
          <w:bCs/>
          <w:color w:val="000000"/>
        </w:rPr>
      </w:pPr>
    </w:p>
    <w:p w14:paraId="1F7564D6">
      <w:pPr>
        <w:pStyle w:val="6"/>
        <w:widowControl/>
        <w:rPr>
          <w:rStyle w:val="9"/>
          <w:rFonts w:hint="eastAsia" w:ascii="Times New Roman" w:hAnsi="Times New Roman" w:eastAsia="宋体"/>
          <w:b w:val="0"/>
          <w:bCs/>
          <w:color w:val="000000"/>
          <w:lang w:eastAsia="zh-CN"/>
        </w:rPr>
      </w:pPr>
      <w:r>
        <w:rPr>
          <w:rStyle w:val="9"/>
          <w:rFonts w:hint="eastAsia" w:ascii="Times New Roman" w:hAnsi="Times New Roman" w:eastAsia="宋体"/>
          <w:b w:val="0"/>
          <w:bCs/>
          <w:color w:val="000000"/>
          <w:lang w:eastAsia="zh-CN"/>
        </w:rPr>
        <w:drawing>
          <wp:inline distT="0" distB="0" distL="114300" distR="114300">
            <wp:extent cx="5269230" cy="4658995"/>
            <wp:effectExtent l="0" t="0" r="7620" b="8255"/>
            <wp:docPr id="6" name="图片 6" descr="Figure---姜黄 - 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姜黄 - SI"/>
                    <pic:cNvPicPr>
                      <a:picLocks noChangeAspect="1"/>
                    </pic:cNvPicPr>
                  </pic:nvPicPr>
                  <pic:blipFill>
                    <a:blip r:embed="rId16"/>
                    <a:stretch>
                      <a:fillRect/>
                    </a:stretch>
                  </pic:blipFill>
                  <pic:spPr>
                    <a:xfrm>
                      <a:off x="0" y="0"/>
                      <a:ext cx="5269230" cy="4658995"/>
                    </a:xfrm>
                    <a:prstGeom prst="rect">
                      <a:avLst/>
                    </a:prstGeom>
                  </pic:spPr>
                </pic:pic>
              </a:graphicData>
            </a:graphic>
          </wp:inline>
        </w:drawing>
      </w:r>
    </w:p>
    <w:p w14:paraId="75AA1817">
      <w:pPr>
        <w:spacing w:line="480" w:lineRule="auto"/>
        <w:rPr>
          <w:rFonts w:ascii="Times New Roman" w:hAnsi="Times New Roman"/>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Fig. S</w:t>
      </w:r>
      <w:r>
        <w:rPr>
          <w:rFonts w:hint="eastAsia" w:ascii="Times New Roman" w:hAnsi="Times New Roman"/>
          <w:b/>
          <w:bCs/>
          <w:color w:val="000000" w:themeColor="text1"/>
          <w:sz w:val="24"/>
          <w14:textFill>
            <w14:solidFill>
              <w14:schemeClr w14:val="tx1"/>
            </w14:solidFill>
          </w14:textFill>
        </w:rPr>
        <w:t>13</w:t>
      </w:r>
      <w:r>
        <w:rPr>
          <w:rFonts w:ascii="Times New Roman" w:hAnsi="Times New Roman"/>
          <w:b/>
          <w:bCs/>
          <w:color w:val="000000" w:themeColor="text1"/>
          <w:sz w:val="24"/>
          <w14:textFill>
            <w14:solidFill>
              <w14:schemeClr w14:val="tx1"/>
            </w14:solidFill>
          </w14:textFill>
        </w:rPr>
        <w:t xml:space="preserve"> Quantitative Analysis of </w:t>
      </w:r>
      <w:r>
        <w:rPr>
          <w:rFonts w:ascii="Times New Roman" w:hAnsi="Times New Roman"/>
          <w:b/>
          <w:bCs/>
          <w:i/>
          <w:iCs/>
          <w:color w:val="000000" w:themeColor="text1"/>
          <w:sz w:val="24"/>
          <w14:textFill>
            <w14:solidFill>
              <w14:schemeClr w14:val="tx1"/>
            </w14:solidFill>
          </w14:textFill>
        </w:rPr>
        <w:t>Ex Vivo</w:t>
      </w:r>
      <w:r>
        <w:rPr>
          <w:rFonts w:ascii="Times New Roman" w:hAnsi="Times New Roman"/>
          <w:b/>
          <w:bCs/>
          <w:color w:val="000000" w:themeColor="text1"/>
          <w:sz w:val="24"/>
          <w14:textFill>
            <w14:solidFill>
              <w14:schemeClr w14:val="tx1"/>
            </w14:solidFill>
          </w14:textFill>
        </w:rPr>
        <w:t xml:space="preserve"> Fluorescence Signals in Major Organs Following Administration of DiR or DiR-Loaded TNVs.</w:t>
      </w:r>
      <w:r>
        <w:rPr>
          <w:rFonts w:hint="eastAsia" w:ascii="Times New Roman" w:hAnsi="Times New Roman"/>
          <w:b/>
          <w:bCs/>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Quantification of average radiant efficiency in the brain, heart, spleen, lung, and kidney at 6, 24, and 48 h after intravenous injection of free DiR or DiR-TNVs. Individual data points represent values from independent experiments</w:t>
      </w:r>
      <w:r>
        <w:rPr>
          <w:rFonts w:hint="eastAsia" w:ascii="Times New Roman" w:hAnsi="Times New Roman"/>
          <w:color w:val="000000" w:themeColor="text1"/>
          <w:sz w:val="24"/>
          <w14:textFill>
            <w14:solidFill>
              <w14:schemeClr w14:val="tx1"/>
            </w14:solidFill>
          </w14:textFill>
        </w:rPr>
        <w:t xml:space="preserve"> (n=4)</w:t>
      </w:r>
      <w:r>
        <w:rPr>
          <w:rFonts w:ascii="Times New Roman" w:hAnsi="Times New Roman"/>
          <w:color w:val="000000" w:themeColor="text1"/>
          <w:sz w:val="24"/>
          <w14:textFill>
            <w14:solidFill>
              <w14:schemeClr w14:val="tx1"/>
            </w14:solidFill>
          </w14:textFill>
        </w:rPr>
        <w:t xml:space="preserve">. Statistical significance between two groups was analysed using an unpaired t-test. ns, not significant; *p &lt; 0.05, **p &lt; 0.01, ***p &lt; 0.001, ****p &lt; 0.0001. </w:t>
      </w:r>
    </w:p>
    <w:p w14:paraId="196B2CF5">
      <w:pPr>
        <w:spacing w:line="480" w:lineRule="auto"/>
        <w:rPr>
          <w:rFonts w:ascii="Times New Roman" w:hAnsi="Times New Roman"/>
          <w:color w:val="000000"/>
          <w:sz w:val="24"/>
        </w:rPr>
      </w:pPr>
    </w:p>
    <w:p w14:paraId="3FA87D8F">
      <w:pPr>
        <w:spacing w:line="480" w:lineRule="auto"/>
        <w:rPr>
          <w:rFonts w:ascii="Times New Roman" w:hAnsi="Times New Roman"/>
          <w:color w:val="000000"/>
          <w:sz w:val="24"/>
        </w:rPr>
      </w:pPr>
    </w:p>
    <w:p w14:paraId="3DE5A686">
      <w:pPr>
        <w:spacing w:line="480" w:lineRule="auto"/>
        <w:rPr>
          <w:rFonts w:ascii="Times New Roman" w:hAnsi="Times New Roman"/>
          <w:color w:val="000000"/>
          <w:sz w:val="24"/>
        </w:rPr>
      </w:pPr>
      <w:r>
        <w:rPr>
          <w:rFonts w:hint="eastAsia" w:ascii="Times New Roman" w:hAnsi="Times New Roman"/>
          <w:color w:val="000000"/>
          <w:sz w:val="24"/>
        </w:rPr>
        <w:drawing>
          <wp:inline distT="0" distB="0" distL="114300" distR="114300">
            <wp:extent cx="5269230" cy="5106035"/>
            <wp:effectExtent l="0" t="0" r="7620" b="8890"/>
            <wp:docPr id="26" name="图片 26" descr="幻灯片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幻灯片15"/>
                    <pic:cNvPicPr>
                      <a:picLocks noChangeAspect="1"/>
                    </pic:cNvPicPr>
                  </pic:nvPicPr>
                  <pic:blipFill>
                    <a:blip r:embed="rId17"/>
                    <a:stretch>
                      <a:fillRect/>
                    </a:stretch>
                  </pic:blipFill>
                  <pic:spPr>
                    <a:xfrm>
                      <a:off x="0" y="0"/>
                      <a:ext cx="5269230" cy="5106035"/>
                    </a:xfrm>
                    <a:prstGeom prst="rect">
                      <a:avLst/>
                    </a:prstGeom>
                  </pic:spPr>
                </pic:pic>
              </a:graphicData>
            </a:graphic>
          </wp:inline>
        </w:drawing>
      </w:r>
    </w:p>
    <w:p w14:paraId="2E3238C6">
      <w:pPr>
        <w:spacing w:line="480" w:lineRule="auto"/>
        <w:rPr>
          <w:rFonts w:ascii="Times New Roman" w:hAnsi="Times New Roman"/>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Fig. S</w:t>
      </w:r>
      <w:r>
        <w:rPr>
          <w:rFonts w:hint="eastAsia" w:ascii="Times New Roman" w:hAnsi="Times New Roman"/>
          <w:b/>
          <w:bCs/>
          <w:color w:val="000000" w:themeColor="text1"/>
          <w:sz w:val="24"/>
          <w14:textFill>
            <w14:solidFill>
              <w14:schemeClr w14:val="tx1"/>
            </w14:solidFill>
          </w14:textFill>
        </w:rPr>
        <w:t>14</w:t>
      </w:r>
      <w:r>
        <w:rPr>
          <w:rFonts w:hint="eastAsia" w:ascii="Times New Roman" w:hAnsi="Times New Roman"/>
          <w:b/>
          <w:bCs/>
          <w:color w:val="000000" w:themeColor="text1"/>
          <w:sz w:val="24"/>
          <w:lang w:val="en-US" w:eastAsia="zh-CN"/>
          <w14:textFill>
            <w14:solidFill>
              <w14:schemeClr w14:val="tx1"/>
            </w14:solidFill>
          </w14:textFill>
        </w:rPr>
        <w:t xml:space="preserve"> </w:t>
      </w:r>
      <w:r>
        <w:rPr>
          <w:rFonts w:ascii="Times New Roman" w:hAnsi="Times New Roman"/>
          <w:b/>
          <w:bCs/>
          <w:i/>
          <w:iCs/>
          <w:color w:val="000000" w:themeColor="text1"/>
          <w:sz w:val="24"/>
          <w14:textFill>
            <w14:solidFill>
              <w14:schemeClr w14:val="tx1"/>
            </w14:solidFill>
          </w14:textFill>
        </w:rPr>
        <w:t>Ex vivo</w:t>
      </w:r>
      <w:r>
        <w:rPr>
          <w:rFonts w:ascii="Times New Roman" w:hAnsi="Times New Roman"/>
          <w:b/>
          <w:bCs/>
          <w:color w:val="000000" w:themeColor="text1"/>
          <w:sz w:val="24"/>
          <w14:textFill>
            <w14:solidFill>
              <w14:schemeClr w14:val="tx1"/>
            </w14:solidFill>
          </w14:textFill>
        </w:rPr>
        <w:t xml:space="preserve"> fluorescence biodistribution of DiR-labelled TNVs in healthy mice and mice with ligature-induced periodontitis (LIP).</w:t>
      </w:r>
      <w:r>
        <w:rPr>
          <w:rFonts w:hint="eastAsia" w:ascii="Times New Roman" w:hAnsi="Times New Roman"/>
          <w:b/>
          <w:bCs/>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 xml:space="preserve">(A, D, G) Ex </w:t>
      </w:r>
      <w:r>
        <w:rPr>
          <w:rFonts w:ascii="Times New Roman" w:hAnsi="Times New Roman"/>
          <w:i/>
          <w:iCs/>
          <w:color w:val="000000" w:themeColor="text1"/>
          <w:sz w:val="24"/>
          <w14:textFill>
            <w14:solidFill>
              <w14:schemeClr w14:val="tx1"/>
            </w14:solidFill>
          </w14:textFill>
        </w:rPr>
        <w:t>vivo</w:t>
      </w:r>
      <w:r>
        <w:rPr>
          <w:rFonts w:ascii="Times New Roman" w:hAnsi="Times New Roman"/>
          <w:color w:val="000000" w:themeColor="text1"/>
          <w:sz w:val="24"/>
          <w14:textFill>
            <w14:solidFill>
              <w14:schemeClr w14:val="tx1"/>
            </w14:solidFill>
          </w14:textFill>
        </w:rPr>
        <w:t xml:space="preserve"> fluorescence imaging of major organs, including the maxilla, brain, heart, liver, spleen, lung, and kidney, harvested from CTR and LIP mice at 6 h (A), 24 h (D), and 48 h (G) following administration of DiR-labelled TNVs.</w:t>
      </w:r>
      <w:r>
        <w:rPr>
          <w:rFonts w:hint="eastAsia" w:ascii="Times New Roman" w:hAnsi="Times New Roman"/>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(B, E, H) Quantitative analysis of the average radiant efficiency of DiR-labelled TNVs in the maxilla at 6 h (B), 24 h (E), and 48 h (H).</w:t>
      </w:r>
      <w:r>
        <w:rPr>
          <w:rFonts w:hint="eastAsia" w:ascii="Times New Roman" w:hAnsi="Times New Roman"/>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(C, F, I) Quantitative analysis of the average radiant efficiency of DiR-labelled TNVs in the liver at 6 h (C), 24 h (F), and 48 h (I).</w:t>
      </w:r>
      <w:r>
        <w:rPr>
          <w:rFonts w:hint="eastAsia" w:ascii="Times New Roman" w:hAnsi="Times New Roman"/>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Data are presented as the mean ± standard deviation (SD). Statistical significance is indicated as *P &lt; 0.05 and **P &lt; 0.01; ns, not significant.</w:t>
      </w:r>
    </w:p>
    <w:p w14:paraId="57B8D274">
      <w:pPr>
        <w:spacing w:line="480" w:lineRule="auto"/>
        <w:rPr>
          <w:rFonts w:ascii="Times New Roman" w:hAnsi="Times New Roman"/>
          <w:color w:val="000000"/>
          <w:sz w:val="24"/>
        </w:rPr>
      </w:pPr>
    </w:p>
    <w:p w14:paraId="686E93C4">
      <w:pPr>
        <w:spacing w:line="360" w:lineRule="auto"/>
        <w:rPr>
          <w:rFonts w:ascii="Times New Roman" w:hAnsi="Times New Roman"/>
          <w:color w:val="000000"/>
          <w:sz w:val="24"/>
        </w:rPr>
      </w:pPr>
    </w:p>
    <w:p w14:paraId="7527A80E">
      <w:pPr>
        <w:pStyle w:val="6"/>
        <w:widowControl/>
        <w:rPr>
          <w:rStyle w:val="9"/>
          <w:rFonts w:ascii="Times New Roman" w:hAnsi="Times New Roman"/>
          <w:b w:val="0"/>
          <w:bCs/>
          <w:color w:val="000000"/>
        </w:rPr>
      </w:pPr>
      <w:r>
        <w:rPr>
          <w:rStyle w:val="9"/>
          <w:rFonts w:hint="eastAsia" w:ascii="Times New Roman" w:hAnsi="Times New Roman"/>
          <w:b w:val="0"/>
          <w:bCs/>
          <w:color w:val="000000"/>
        </w:rPr>
        <w:drawing>
          <wp:inline distT="0" distB="0" distL="114300" distR="114300">
            <wp:extent cx="5269230" cy="6635750"/>
            <wp:effectExtent l="0" t="0" r="7620" b="3175"/>
            <wp:docPr id="20" name="图片 20" descr="幻灯片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幻灯片17"/>
                    <pic:cNvPicPr>
                      <a:picLocks noChangeAspect="1"/>
                    </pic:cNvPicPr>
                  </pic:nvPicPr>
                  <pic:blipFill>
                    <a:blip r:embed="rId18"/>
                    <a:stretch>
                      <a:fillRect/>
                    </a:stretch>
                  </pic:blipFill>
                  <pic:spPr>
                    <a:xfrm>
                      <a:off x="0" y="0"/>
                      <a:ext cx="5269230" cy="6635750"/>
                    </a:xfrm>
                    <a:prstGeom prst="rect">
                      <a:avLst/>
                    </a:prstGeom>
                  </pic:spPr>
                </pic:pic>
              </a:graphicData>
            </a:graphic>
          </wp:inline>
        </w:drawing>
      </w:r>
    </w:p>
    <w:p w14:paraId="0D6729D5">
      <w:pPr>
        <w:spacing w:line="480" w:lineRule="auto"/>
        <w:rPr>
          <w:rFonts w:ascii="Times New Roman" w:hAnsi="Times New Roman"/>
          <w:color w:val="000000" w:themeColor="text1"/>
          <w:sz w:val="24"/>
          <w14:textFill>
            <w14:solidFill>
              <w14:schemeClr w14:val="tx1"/>
            </w14:solidFill>
          </w14:textFill>
        </w:rPr>
      </w:pPr>
      <w:r>
        <w:rPr>
          <w:rFonts w:ascii="Times New Roman" w:hAnsi="Times New Roman"/>
          <w:b/>
          <w:bCs/>
          <w:color w:val="000000" w:themeColor="text1"/>
          <w:sz w:val="24"/>
          <w14:textFill>
            <w14:solidFill>
              <w14:schemeClr w14:val="tx1"/>
            </w14:solidFill>
          </w14:textFill>
        </w:rPr>
        <w:t>Fig. S</w:t>
      </w:r>
      <w:r>
        <w:rPr>
          <w:rFonts w:hint="eastAsia" w:ascii="Times New Roman" w:hAnsi="Times New Roman"/>
          <w:b/>
          <w:bCs/>
          <w:color w:val="000000" w:themeColor="text1"/>
          <w:sz w:val="24"/>
          <w14:textFill>
            <w14:solidFill>
              <w14:schemeClr w14:val="tx1"/>
            </w14:solidFill>
          </w14:textFill>
        </w:rPr>
        <w:t>15</w:t>
      </w:r>
      <w:r>
        <w:rPr>
          <w:rFonts w:ascii="Times New Roman" w:hAnsi="Times New Roman"/>
          <w:b/>
          <w:bCs/>
          <w:color w:val="000000" w:themeColor="text1"/>
          <w:sz w:val="24"/>
          <w14:textFill>
            <w14:solidFill>
              <w14:schemeClr w14:val="tx1"/>
            </w14:solidFill>
          </w14:textFill>
        </w:rPr>
        <w:t xml:space="preserve"> Representative western blot analysis of NET-related proteins in independent samples.</w:t>
      </w:r>
      <w:r>
        <w:rPr>
          <w:rFonts w:hint="eastAsia" w:ascii="Times New Roman" w:hAnsi="Times New Roman"/>
          <w:b/>
          <w:bCs/>
          <w:color w:val="000000" w:themeColor="text1"/>
          <w:sz w:val="24"/>
          <w14:textFill>
            <w14:solidFill>
              <w14:schemeClr w14:val="tx1"/>
            </w14:solidFill>
          </w14:textFill>
        </w:rPr>
        <w:t xml:space="preserve"> </w:t>
      </w:r>
      <w:r>
        <w:rPr>
          <w:rFonts w:ascii="Times New Roman" w:hAnsi="Times New Roman"/>
          <w:color w:val="000000" w:themeColor="text1"/>
          <w:sz w:val="24"/>
          <w14:textFill>
            <w14:solidFill>
              <w14:schemeClr w14:val="tx1"/>
            </w14:solidFill>
          </w14:textFill>
        </w:rPr>
        <w:t>(A–</w:t>
      </w:r>
      <w:r>
        <w:rPr>
          <w:rFonts w:hint="eastAsia" w:ascii="Times New Roman" w:hAnsi="Times New Roman"/>
          <w:color w:val="000000" w:themeColor="text1"/>
          <w:sz w:val="24"/>
          <w14:textFill>
            <w14:solidFill>
              <w14:schemeClr w14:val="tx1"/>
            </w14:solidFill>
          </w14:textFill>
        </w:rPr>
        <w:t>E</w:t>
      </w:r>
      <w:r>
        <w:rPr>
          <w:rFonts w:ascii="Times New Roman" w:hAnsi="Times New Roman"/>
          <w:color w:val="000000" w:themeColor="text1"/>
          <w:sz w:val="24"/>
          <w14:textFill>
            <w14:solidFill>
              <w14:schemeClr w14:val="tx1"/>
            </w14:solidFill>
          </w14:textFill>
        </w:rPr>
        <w:t xml:space="preserve">) Western blot analysis of myeloperoxidase (MPO), peptidylarginine deiminase 4 (PAD4), neutrophil elastase (ELANE), and citrullinated histone H3 (CitH3) in </w:t>
      </w:r>
      <w:r>
        <w:rPr>
          <w:rFonts w:hint="eastAsia" w:ascii="Times New Roman" w:hAnsi="Times New Roman"/>
          <w:color w:val="000000" w:themeColor="text1"/>
          <w:sz w:val="24"/>
          <w14:textFill>
            <w14:solidFill>
              <w14:schemeClr w14:val="tx1"/>
            </w14:solidFill>
          </w14:textFill>
        </w:rPr>
        <w:t>five</w:t>
      </w:r>
      <w:r>
        <w:rPr>
          <w:rFonts w:ascii="Times New Roman" w:hAnsi="Times New Roman"/>
          <w:color w:val="000000" w:themeColor="text1"/>
          <w:sz w:val="24"/>
          <w14:textFill>
            <w14:solidFill>
              <w14:schemeClr w14:val="tx1"/>
            </w14:solidFill>
          </w14:textFill>
        </w:rPr>
        <w:t xml:space="preserve"> independent biological samples from control (CTR), ligature-induced periodontitis (LIP), and TNVs treatment (LIP + TNVs) groups. β-Actin was used as the loading control. Molecular weights are indicated on the right. Panels A–</w:t>
      </w:r>
      <w:r>
        <w:rPr>
          <w:rFonts w:hint="eastAsia" w:ascii="Times New Roman" w:hAnsi="Times New Roman"/>
          <w:color w:val="000000" w:themeColor="text1"/>
          <w:sz w:val="24"/>
          <w14:textFill>
            <w14:solidFill>
              <w14:schemeClr w14:val="tx1"/>
            </w14:solidFill>
          </w14:textFill>
        </w:rPr>
        <w:t>E</w:t>
      </w:r>
      <w:r>
        <w:rPr>
          <w:rFonts w:ascii="Times New Roman" w:hAnsi="Times New Roman"/>
          <w:color w:val="000000" w:themeColor="text1"/>
          <w:sz w:val="24"/>
          <w14:textFill>
            <w14:solidFill>
              <w14:schemeClr w14:val="tx1"/>
            </w14:solidFill>
          </w14:textFill>
        </w:rPr>
        <w:t xml:space="preserve"> represent</w:t>
      </w:r>
      <w:r>
        <w:rPr>
          <w:rFonts w:hint="eastAsia" w:ascii="Times New Roman" w:hAnsi="Times New Roman"/>
          <w:color w:val="000000" w:themeColor="text1"/>
          <w:sz w:val="24"/>
          <w14:textFill>
            <w14:solidFill>
              <w14:schemeClr w14:val="tx1"/>
            </w14:solidFill>
          </w14:textFill>
        </w:rPr>
        <w:t xml:space="preserve"> five </w:t>
      </w:r>
      <w:r>
        <w:rPr>
          <w:rFonts w:ascii="Times New Roman" w:hAnsi="Times New Roman"/>
          <w:color w:val="000000" w:themeColor="text1"/>
          <w:sz w:val="24"/>
          <w14:textFill>
            <w14:solidFill>
              <w14:schemeClr w14:val="tx1"/>
            </w14:solidFill>
          </w14:textFill>
        </w:rPr>
        <w:t>independent biological samples.</w:t>
      </w:r>
    </w:p>
    <w:p w14:paraId="13A5E142">
      <w:pPr>
        <w:spacing w:line="360" w:lineRule="auto"/>
        <w:rPr>
          <w:rFonts w:ascii="Times New Roman" w:hAnsi="Times New Roman"/>
          <w:sz w:val="24"/>
        </w:rPr>
      </w:pPr>
      <w:bookmarkStart w:id="1" w:name="_GoBack"/>
      <w:bookmarkEnd w:id="1"/>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AFA"/>
    <w:rsid w:val="00077161"/>
    <w:rsid w:val="000B5F8A"/>
    <w:rsid w:val="000D5E09"/>
    <w:rsid w:val="00131679"/>
    <w:rsid w:val="00192055"/>
    <w:rsid w:val="001A1965"/>
    <w:rsid w:val="001C5735"/>
    <w:rsid w:val="001E12A0"/>
    <w:rsid w:val="001F1D2C"/>
    <w:rsid w:val="001F3738"/>
    <w:rsid w:val="00225B5B"/>
    <w:rsid w:val="00282A44"/>
    <w:rsid w:val="002D4AFA"/>
    <w:rsid w:val="00305DA0"/>
    <w:rsid w:val="00345D3E"/>
    <w:rsid w:val="00350EAD"/>
    <w:rsid w:val="00385091"/>
    <w:rsid w:val="00396089"/>
    <w:rsid w:val="003B3DD1"/>
    <w:rsid w:val="003B643A"/>
    <w:rsid w:val="003C40DC"/>
    <w:rsid w:val="003F3D74"/>
    <w:rsid w:val="004259FB"/>
    <w:rsid w:val="00466A0B"/>
    <w:rsid w:val="00523DA3"/>
    <w:rsid w:val="00557050"/>
    <w:rsid w:val="00586EAA"/>
    <w:rsid w:val="005C2370"/>
    <w:rsid w:val="00617931"/>
    <w:rsid w:val="00633DCB"/>
    <w:rsid w:val="00706E14"/>
    <w:rsid w:val="007111E0"/>
    <w:rsid w:val="00781E38"/>
    <w:rsid w:val="007D4239"/>
    <w:rsid w:val="007F14E0"/>
    <w:rsid w:val="008006B0"/>
    <w:rsid w:val="008040EE"/>
    <w:rsid w:val="00822E71"/>
    <w:rsid w:val="0086778B"/>
    <w:rsid w:val="008963A9"/>
    <w:rsid w:val="008C3D47"/>
    <w:rsid w:val="00916E78"/>
    <w:rsid w:val="00951DFD"/>
    <w:rsid w:val="0096703E"/>
    <w:rsid w:val="00996DE9"/>
    <w:rsid w:val="009B50E7"/>
    <w:rsid w:val="00A82804"/>
    <w:rsid w:val="00B235F0"/>
    <w:rsid w:val="00B426C7"/>
    <w:rsid w:val="00BB2397"/>
    <w:rsid w:val="00BC630E"/>
    <w:rsid w:val="00CA6654"/>
    <w:rsid w:val="00CB3AB7"/>
    <w:rsid w:val="00CC2DA8"/>
    <w:rsid w:val="00CE0A89"/>
    <w:rsid w:val="00D3491A"/>
    <w:rsid w:val="00D52FE4"/>
    <w:rsid w:val="00D7027A"/>
    <w:rsid w:val="00D80ABF"/>
    <w:rsid w:val="00DA3DD3"/>
    <w:rsid w:val="00DD2401"/>
    <w:rsid w:val="00DE38BA"/>
    <w:rsid w:val="00E0187A"/>
    <w:rsid w:val="00E43F10"/>
    <w:rsid w:val="00E47C29"/>
    <w:rsid w:val="00E642E1"/>
    <w:rsid w:val="00E76028"/>
    <w:rsid w:val="00EA0FCD"/>
    <w:rsid w:val="00EF268A"/>
    <w:rsid w:val="00F77A44"/>
    <w:rsid w:val="00FC04B9"/>
    <w:rsid w:val="00FC7EBA"/>
    <w:rsid w:val="010C0502"/>
    <w:rsid w:val="01271559"/>
    <w:rsid w:val="01CD1ADF"/>
    <w:rsid w:val="022E6257"/>
    <w:rsid w:val="024C2B81"/>
    <w:rsid w:val="02CB7F49"/>
    <w:rsid w:val="02FC0103"/>
    <w:rsid w:val="030A0A72"/>
    <w:rsid w:val="03127926"/>
    <w:rsid w:val="032064E7"/>
    <w:rsid w:val="03CC1108"/>
    <w:rsid w:val="04082AD7"/>
    <w:rsid w:val="04877EA0"/>
    <w:rsid w:val="051C4A8C"/>
    <w:rsid w:val="05545FD4"/>
    <w:rsid w:val="056A0AB5"/>
    <w:rsid w:val="056B3D48"/>
    <w:rsid w:val="05706B86"/>
    <w:rsid w:val="05972365"/>
    <w:rsid w:val="068C3E93"/>
    <w:rsid w:val="06FD08ED"/>
    <w:rsid w:val="07044910"/>
    <w:rsid w:val="075C73F4"/>
    <w:rsid w:val="07837045"/>
    <w:rsid w:val="08123F24"/>
    <w:rsid w:val="082223BA"/>
    <w:rsid w:val="082F0F7A"/>
    <w:rsid w:val="083347B4"/>
    <w:rsid w:val="08430582"/>
    <w:rsid w:val="084762C4"/>
    <w:rsid w:val="086B1627"/>
    <w:rsid w:val="087B2722"/>
    <w:rsid w:val="08BA0844"/>
    <w:rsid w:val="08C43471"/>
    <w:rsid w:val="08F8136C"/>
    <w:rsid w:val="08FA50E4"/>
    <w:rsid w:val="093700E7"/>
    <w:rsid w:val="096B5FE2"/>
    <w:rsid w:val="09750C0F"/>
    <w:rsid w:val="098F1CD1"/>
    <w:rsid w:val="09A82D92"/>
    <w:rsid w:val="09C83435"/>
    <w:rsid w:val="0A5E78F5"/>
    <w:rsid w:val="0A6C36AD"/>
    <w:rsid w:val="0A701077"/>
    <w:rsid w:val="0AAF6F0E"/>
    <w:rsid w:val="0ACF434F"/>
    <w:rsid w:val="0AD019C3"/>
    <w:rsid w:val="0B310B66"/>
    <w:rsid w:val="0B811AED"/>
    <w:rsid w:val="0B84338B"/>
    <w:rsid w:val="0B9335CE"/>
    <w:rsid w:val="0BD82CC3"/>
    <w:rsid w:val="0C2B3D1C"/>
    <w:rsid w:val="0C3C3C66"/>
    <w:rsid w:val="0C3C5A14"/>
    <w:rsid w:val="0CA21D1B"/>
    <w:rsid w:val="0CD47D4B"/>
    <w:rsid w:val="0CE02843"/>
    <w:rsid w:val="0D5A0848"/>
    <w:rsid w:val="0D9E6986"/>
    <w:rsid w:val="0DA27AF9"/>
    <w:rsid w:val="0DA73361"/>
    <w:rsid w:val="0E3237EC"/>
    <w:rsid w:val="0E5434E9"/>
    <w:rsid w:val="0ECC12D1"/>
    <w:rsid w:val="0F130CAE"/>
    <w:rsid w:val="0FA67D74"/>
    <w:rsid w:val="0FA97864"/>
    <w:rsid w:val="10172A20"/>
    <w:rsid w:val="10C06C14"/>
    <w:rsid w:val="10E2302E"/>
    <w:rsid w:val="10EC7A09"/>
    <w:rsid w:val="114C494B"/>
    <w:rsid w:val="115A302A"/>
    <w:rsid w:val="11603F53"/>
    <w:rsid w:val="11621A79"/>
    <w:rsid w:val="11E93033"/>
    <w:rsid w:val="1243306F"/>
    <w:rsid w:val="124B69B1"/>
    <w:rsid w:val="12550D90"/>
    <w:rsid w:val="12723F3D"/>
    <w:rsid w:val="12D60970"/>
    <w:rsid w:val="12DC585B"/>
    <w:rsid w:val="132318D4"/>
    <w:rsid w:val="136C2A5D"/>
    <w:rsid w:val="138C54D3"/>
    <w:rsid w:val="14636234"/>
    <w:rsid w:val="14733869"/>
    <w:rsid w:val="14861F22"/>
    <w:rsid w:val="14AF514A"/>
    <w:rsid w:val="14D902A4"/>
    <w:rsid w:val="153320AA"/>
    <w:rsid w:val="1554671D"/>
    <w:rsid w:val="159A3ED7"/>
    <w:rsid w:val="15A44D56"/>
    <w:rsid w:val="15F1161D"/>
    <w:rsid w:val="15FB06EE"/>
    <w:rsid w:val="1606331B"/>
    <w:rsid w:val="161B15A8"/>
    <w:rsid w:val="169237EC"/>
    <w:rsid w:val="16DC407B"/>
    <w:rsid w:val="16DE614F"/>
    <w:rsid w:val="17215F32"/>
    <w:rsid w:val="17514A69"/>
    <w:rsid w:val="175D5E07"/>
    <w:rsid w:val="17E86A50"/>
    <w:rsid w:val="182757CA"/>
    <w:rsid w:val="183D4FEE"/>
    <w:rsid w:val="18820C52"/>
    <w:rsid w:val="18AD2173"/>
    <w:rsid w:val="18BD6052"/>
    <w:rsid w:val="18CE3E98"/>
    <w:rsid w:val="190F0738"/>
    <w:rsid w:val="19212219"/>
    <w:rsid w:val="193E101D"/>
    <w:rsid w:val="198D5B01"/>
    <w:rsid w:val="19BB266E"/>
    <w:rsid w:val="19C24DE5"/>
    <w:rsid w:val="19E228CE"/>
    <w:rsid w:val="1A165EF8"/>
    <w:rsid w:val="1A277D03"/>
    <w:rsid w:val="1A5161A8"/>
    <w:rsid w:val="1A5A3C35"/>
    <w:rsid w:val="1A82318C"/>
    <w:rsid w:val="1A846F04"/>
    <w:rsid w:val="1A9845E5"/>
    <w:rsid w:val="1A98475D"/>
    <w:rsid w:val="1A98650B"/>
    <w:rsid w:val="1AA80E44"/>
    <w:rsid w:val="1AAB4D8E"/>
    <w:rsid w:val="1AC252C2"/>
    <w:rsid w:val="1AC92A69"/>
    <w:rsid w:val="1B391A9C"/>
    <w:rsid w:val="1B633F67"/>
    <w:rsid w:val="1B6C1CB8"/>
    <w:rsid w:val="1BC7354C"/>
    <w:rsid w:val="1C534DE0"/>
    <w:rsid w:val="1C7903AF"/>
    <w:rsid w:val="1C9827B8"/>
    <w:rsid w:val="1C9C6787"/>
    <w:rsid w:val="1D007F39"/>
    <w:rsid w:val="1D1371AF"/>
    <w:rsid w:val="1D1722B1"/>
    <w:rsid w:val="1DA55279"/>
    <w:rsid w:val="1DF5289E"/>
    <w:rsid w:val="1E3F54BF"/>
    <w:rsid w:val="1E7C3987"/>
    <w:rsid w:val="1E7F3A49"/>
    <w:rsid w:val="1EAE27A1"/>
    <w:rsid w:val="1EE066D3"/>
    <w:rsid w:val="1F095C2A"/>
    <w:rsid w:val="1F15637C"/>
    <w:rsid w:val="1F330EF8"/>
    <w:rsid w:val="1FC55C88"/>
    <w:rsid w:val="1FF97A4C"/>
    <w:rsid w:val="1FFE1506"/>
    <w:rsid w:val="20085EE1"/>
    <w:rsid w:val="201B5C14"/>
    <w:rsid w:val="2043516B"/>
    <w:rsid w:val="206247BB"/>
    <w:rsid w:val="20D504B9"/>
    <w:rsid w:val="21494A03"/>
    <w:rsid w:val="21661111"/>
    <w:rsid w:val="21A954A2"/>
    <w:rsid w:val="21BA2390"/>
    <w:rsid w:val="21C422DC"/>
    <w:rsid w:val="22396826"/>
    <w:rsid w:val="22813D29"/>
    <w:rsid w:val="22BA2C18"/>
    <w:rsid w:val="23922691"/>
    <w:rsid w:val="23A423C5"/>
    <w:rsid w:val="23C6233B"/>
    <w:rsid w:val="23C640E9"/>
    <w:rsid w:val="23FC5D5D"/>
    <w:rsid w:val="243C43AB"/>
    <w:rsid w:val="244A4D1A"/>
    <w:rsid w:val="24662A43"/>
    <w:rsid w:val="249A3C44"/>
    <w:rsid w:val="24C543A1"/>
    <w:rsid w:val="24DE2D64"/>
    <w:rsid w:val="24E30CCB"/>
    <w:rsid w:val="25056E93"/>
    <w:rsid w:val="25535E50"/>
    <w:rsid w:val="25697422"/>
    <w:rsid w:val="2661459D"/>
    <w:rsid w:val="26977D36"/>
    <w:rsid w:val="26C2328E"/>
    <w:rsid w:val="26DC3C24"/>
    <w:rsid w:val="26E74F9B"/>
    <w:rsid w:val="26FB22FC"/>
    <w:rsid w:val="275163C0"/>
    <w:rsid w:val="28416434"/>
    <w:rsid w:val="28485A15"/>
    <w:rsid w:val="28722A91"/>
    <w:rsid w:val="28B05368"/>
    <w:rsid w:val="28F60FCD"/>
    <w:rsid w:val="295757E3"/>
    <w:rsid w:val="296D0493"/>
    <w:rsid w:val="29743484"/>
    <w:rsid w:val="29756DC5"/>
    <w:rsid w:val="29936EB5"/>
    <w:rsid w:val="29BE4391"/>
    <w:rsid w:val="29CE019B"/>
    <w:rsid w:val="2A190DF0"/>
    <w:rsid w:val="2A2B2EF8"/>
    <w:rsid w:val="2A9F7442"/>
    <w:rsid w:val="2AA66A22"/>
    <w:rsid w:val="2AD510B6"/>
    <w:rsid w:val="2AEF03C9"/>
    <w:rsid w:val="2B035C23"/>
    <w:rsid w:val="2B3109E2"/>
    <w:rsid w:val="2B65243A"/>
    <w:rsid w:val="2B6C1A1A"/>
    <w:rsid w:val="2BB94533"/>
    <w:rsid w:val="2BC2788C"/>
    <w:rsid w:val="2C0C4FAB"/>
    <w:rsid w:val="2C351E0C"/>
    <w:rsid w:val="2C365B84"/>
    <w:rsid w:val="2C446005"/>
    <w:rsid w:val="2C7566AC"/>
    <w:rsid w:val="2CB216AE"/>
    <w:rsid w:val="2CC82C80"/>
    <w:rsid w:val="2D14247A"/>
    <w:rsid w:val="2D391DD0"/>
    <w:rsid w:val="2D5704A8"/>
    <w:rsid w:val="2DA84860"/>
    <w:rsid w:val="2DB024DE"/>
    <w:rsid w:val="2DB66F7C"/>
    <w:rsid w:val="2E132621"/>
    <w:rsid w:val="2E291E44"/>
    <w:rsid w:val="2E9D013C"/>
    <w:rsid w:val="2EF95138"/>
    <w:rsid w:val="2F464330"/>
    <w:rsid w:val="2F5729E1"/>
    <w:rsid w:val="2F5800FF"/>
    <w:rsid w:val="2F8337D6"/>
    <w:rsid w:val="2F9E416C"/>
    <w:rsid w:val="2FB13E9F"/>
    <w:rsid w:val="2FDB7C0B"/>
    <w:rsid w:val="302B7420"/>
    <w:rsid w:val="3069477A"/>
    <w:rsid w:val="30B023A9"/>
    <w:rsid w:val="30D7561F"/>
    <w:rsid w:val="30D836AE"/>
    <w:rsid w:val="30D862EC"/>
    <w:rsid w:val="31DB3455"/>
    <w:rsid w:val="320175C9"/>
    <w:rsid w:val="32891103"/>
    <w:rsid w:val="32A91F0D"/>
    <w:rsid w:val="32AB107A"/>
    <w:rsid w:val="32C10194"/>
    <w:rsid w:val="32E97DF4"/>
    <w:rsid w:val="32EB76C8"/>
    <w:rsid w:val="33174961"/>
    <w:rsid w:val="33245604"/>
    <w:rsid w:val="33664FA1"/>
    <w:rsid w:val="33B0446E"/>
    <w:rsid w:val="33F407FF"/>
    <w:rsid w:val="343155AF"/>
    <w:rsid w:val="344D6161"/>
    <w:rsid w:val="344E43B3"/>
    <w:rsid w:val="34515C51"/>
    <w:rsid w:val="348A2F11"/>
    <w:rsid w:val="34F12F90"/>
    <w:rsid w:val="355F439E"/>
    <w:rsid w:val="35661288"/>
    <w:rsid w:val="35B04BF9"/>
    <w:rsid w:val="35E6686D"/>
    <w:rsid w:val="3619279E"/>
    <w:rsid w:val="36213401"/>
    <w:rsid w:val="362F5B1E"/>
    <w:rsid w:val="370E7E29"/>
    <w:rsid w:val="379F0A81"/>
    <w:rsid w:val="37A53650"/>
    <w:rsid w:val="38743CBC"/>
    <w:rsid w:val="387D6291"/>
    <w:rsid w:val="38E01351"/>
    <w:rsid w:val="39050DB8"/>
    <w:rsid w:val="39096AFA"/>
    <w:rsid w:val="39400042"/>
    <w:rsid w:val="39E135D3"/>
    <w:rsid w:val="39FF7EFD"/>
    <w:rsid w:val="3A1D70AA"/>
    <w:rsid w:val="3ADB0022"/>
    <w:rsid w:val="3B141786"/>
    <w:rsid w:val="3B1D4ADF"/>
    <w:rsid w:val="3B245E6D"/>
    <w:rsid w:val="3B53405D"/>
    <w:rsid w:val="3BA7084C"/>
    <w:rsid w:val="3BB80364"/>
    <w:rsid w:val="3BD3519D"/>
    <w:rsid w:val="3BF33A92"/>
    <w:rsid w:val="3BF82E56"/>
    <w:rsid w:val="3C3519B4"/>
    <w:rsid w:val="3C456863"/>
    <w:rsid w:val="3C5462DE"/>
    <w:rsid w:val="3C906C91"/>
    <w:rsid w:val="3C9618E6"/>
    <w:rsid w:val="3CCF005B"/>
    <w:rsid w:val="3D2F4654"/>
    <w:rsid w:val="3D3F559B"/>
    <w:rsid w:val="3D6C0B43"/>
    <w:rsid w:val="3DA051DB"/>
    <w:rsid w:val="3E75078E"/>
    <w:rsid w:val="3EAD1CD6"/>
    <w:rsid w:val="3F2301EA"/>
    <w:rsid w:val="3F287B41"/>
    <w:rsid w:val="3F3B3785"/>
    <w:rsid w:val="3F520ACF"/>
    <w:rsid w:val="3F5D042B"/>
    <w:rsid w:val="3F7153F9"/>
    <w:rsid w:val="3F917849"/>
    <w:rsid w:val="406867FC"/>
    <w:rsid w:val="408D6263"/>
    <w:rsid w:val="40A51AE2"/>
    <w:rsid w:val="40B3559D"/>
    <w:rsid w:val="40CA3013"/>
    <w:rsid w:val="40D21EC7"/>
    <w:rsid w:val="40E1210B"/>
    <w:rsid w:val="41065CB3"/>
    <w:rsid w:val="416845DA"/>
    <w:rsid w:val="41831414"/>
    <w:rsid w:val="41866F49"/>
    <w:rsid w:val="41CC707C"/>
    <w:rsid w:val="41E579D9"/>
    <w:rsid w:val="420662CD"/>
    <w:rsid w:val="425A1A7E"/>
    <w:rsid w:val="425F59DD"/>
    <w:rsid w:val="42976F25"/>
    <w:rsid w:val="42DA5063"/>
    <w:rsid w:val="42EB695D"/>
    <w:rsid w:val="43104F29"/>
    <w:rsid w:val="43212C92"/>
    <w:rsid w:val="437E00E5"/>
    <w:rsid w:val="44073B0A"/>
    <w:rsid w:val="4484172B"/>
    <w:rsid w:val="44A27E03"/>
    <w:rsid w:val="44A771C7"/>
    <w:rsid w:val="44C4421D"/>
    <w:rsid w:val="44DF49DF"/>
    <w:rsid w:val="44E40F5C"/>
    <w:rsid w:val="451101D5"/>
    <w:rsid w:val="45AF4585"/>
    <w:rsid w:val="463D7DE3"/>
    <w:rsid w:val="466622E2"/>
    <w:rsid w:val="467852BF"/>
    <w:rsid w:val="469D4D26"/>
    <w:rsid w:val="46AE2A8F"/>
    <w:rsid w:val="46D110ED"/>
    <w:rsid w:val="46E62229"/>
    <w:rsid w:val="474B29D4"/>
    <w:rsid w:val="47605BC6"/>
    <w:rsid w:val="477872C7"/>
    <w:rsid w:val="477A6E15"/>
    <w:rsid w:val="47C10EC0"/>
    <w:rsid w:val="47CD5197"/>
    <w:rsid w:val="480E77C6"/>
    <w:rsid w:val="482A4397"/>
    <w:rsid w:val="4840005F"/>
    <w:rsid w:val="487F0430"/>
    <w:rsid w:val="489932CB"/>
    <w:rsid w:val="48A91760"/>
    <w:rsid w:val="48B62208"/>
    <w:rsid w:val="48C06AA9"/>
    <w:rsid w:val="48EB7FCA"/>
    <w:rsid w:val="48F52BF7"/>
    <w:rsid w:val="49105C83"/>
    <w:rsid w:val="4935292C"/>
    <w:rsid w:val="49D547D7"/>
    <w:rsid w:val="49D66DB1"/>
    <w:rsid w:val="49E669E4"/>
    <w:rsid w:val="4A0330F2"/>
    <w:rsid w:val="4A421E6C"/>
    <w:rsid w:val="4A437992"/>
    <w:rsid w:val="4A993A56"/>
    <w:rsid w:val="4AB12B4E"/>
    <w:rsid w:val="4B0B04B0"/>
    <w:rsid w:val="4B425E9C"/>
    <w:rsid w:val="4B555BCF"/>
    <w:rsid w:val="4B5736F5"/>
    <w:rsid w:val="4B581264"/>
    <w:rsid w:val="4B591595"/>
    <w:rsid w:val="4B5F07FC"/>
    <w:rsid w:val="4B6776B0"/>
    <w:rsid w:val="4B941D1B"/>
    <w:rsid w:val="4BBE19C6"/>
    <w:rsid w:val="4CD60F91"/>
    <w:rsid w:val="4CE216E4"/>
    <w:rsid w:val="4CE865CF"/>
    <w:rsid w:val="4D151ABA"/>
    <w:rsid w:val="4D2E492A"/>
    <w:rsid w:val="4D700A9E"/>
    <w:rsid w:val="4D9D385D"/>
    <w:rsid w:val="4DB14BA7"/>
    <w:rsid w:val="4E061402"/>
    <w:rsid w:val="4E870795"/>
    <w:rsid w:val="4EEA4880"/>
    <w:rsid w:val="4F0C2A48"/>
    <w:rsid w:val="4F1B2C8C"/>
    <w:rsid w:val="4F4E7E9B"/>
    <w:rsid w:val="4F6A776F"/>
    <w:rsid w:val="4FE614EB"/>
    <w:rsid w:val="4FFD7571"/>
    <w:rsid w:val="501047BA"/>
    <w:rsid w:val="50450DD2"/>
    <w:rsid w:val="504F52E3"/>
    <w:rsid w:val="50C555A5"/>
    <w:rsid w:val="50CF3D2E"/>
    <w:rsid w:val="51195FAB"/>
    <w:rsid w:val="51864D34"/>
    <w:rsid w:val="51C13FBE"/>
    <w:rsid w:val="51E67581"/>
    <w:rsid w:val="521340EE"/>
    <w:rsid w:val="52532C9B"/>
    <w:rsid w:val="526F0D33"/>
    <w:rsid w:val="527E0DBE"/>
    <w:rsid w:val="527E3C5D"/>
    <w:rsid w:val="52B5075F"/>
    <w:rsid w:val="531E2D4A"/>
    <w:rsid w:val="5349426B"/>
    <w:rsid w:val="539179C0"/>
    <w:rsid w:val="53BB4A3D"/>
    <w:rsid w:val="53E67D0C"/>
    <w:rsid w:val="54BC0A6D"/>
    <w:rsid w:val="54DE4E87"/>
    <w:rsid w:val="55540CA5"/>
    <w:rsid w:val="55B6370E"/>
    <w:rsid w:val="55B81234"/>
    <w:rsid w:val="56DB78D0"/>
    <w:rsid w:val="56F33A85"/>
    <w:rsid w:val="570204C6"/>
    <w:rsid w:val="574A2360"/>
    <w:rsid w:val="57611741"/>
    <w:rsid w:val="57620717"/>
    <w:rsid w:val="576C677A"/>
    <w:rsid w:val="57802226"/>
    <w:rsid w:val="57C06AC6"/>
    <w:rsid w:val="58262DCD"/>
    <w:rsid w:val="58C148A4"/>
    <w:rsid w:val="58D64D89"/>
    <w:rsid w:val="58FE1816"/>
    <w:rsid w:val="5952374E"/>
    <w:rsid w:val="595474C6"/>
    <w:rsid w:val="5955323E"/>
    <w:rsid w:val="598633F7"/>
    <w:rsid w:val="598D29D8"/>
    <w:rsid w:val="59CC1752"/>
    <w:rsid w:val="5A1D5B0A"/>
    <w:rsid w:val="5A2570B4"/>
    <w:rsid w:val="5A3966BC"/>
    <w:rsid w:val="5A6000EC"/>
    <w:rsid w:val="5A8C2C8F"/>
    <w:rsid w:val="5B351579"/>
    <w:rsid w:val="5B4672E2"/>
    <w:rsid w:val="5B5419FF"/>
    <w:rsid w:val="5B991B08"/>
    <w:rsid w:val="5BC8419B"/>
    <w:rsid w:val="5BE34B31"/>
    <w:rsid w:val="5C294C3A"/>
    <w:rsid w:val="5CD526CC"/>
    <w:rsid w:val="5CFC234E"/>
    <w:rsid w:val="5D1551BE"/>
    <w:rsid w:val="5D3C6BEF"/>
    <w:rsid w:val="5D5A0E23"/>
    <w:rsid w:val="5DBB3FB7"/>
    <w:rsid w:val="5DC15346"/>
    <w:rsid w:val="5DD76917"/>
    <w:rsid w:val="5E0052E4"/>
    <w:rsid w:val="5E1E00A2"/>
    <w:rsid w:val="5E3E48D8"/>
    <w:rsid w:val="5E9E2E5E"/>
    <w:rsid w:val="5EBD3D5F"/>
    <w:rsid w:val="5EDA6976"/>
    <w:rsid w:val="5EDB41E5"/>
    <w:rsid w:val="5EF534F9"/>
    <w:rsid w:val="5F1A2F60"/>
    <w:rsid w:val="5F1D035A"/>
    <w:rsid w:val="5F3D27AA"/>
    <w:rsid w:val="5F681F1D"/>
    <w:rsid w:val="5FB243AF"/>
    <w:rsid w:val="5FF4555F"/>
    <w:rsid w:val="60A70823"/>
    <w:rsid w:val="60C03693"/>
    <w:rsid w:val="614C5F5A"/>
    <w:rsid w:val="615C160D"/>
    <w:rsid w:val="616655F1"/>
    <w:rsid w:val="61EB473F"/>
    <w:rsid w:val="61FC694D"/>
    <w:rsid w:val="6239194F"/>
    <w:rsid w:val="623A1223"/>
    <w:rsid w:val="624A76B8"/>
    <w:rsid w:val="628F156F"/>
    <w:rsid w:val="62917095"/>
    <w:rsid w:val="62954CA3"/>
    <w:rsid w:val="62A63B7B"/>
    <w:rsid w:val="62A72D5C"/>
    <w:rsid w:val="62C51434"/>
    <w:rsid w:val="62F267AE"/>
    <w:rsid w:val="632223E3"/>
    <w:rsid w:val="634A36E8"/>
    <w:rsid w:val="63D57455"/>
    <w:rsid w:val="64194BE3"/>
    <w:rsid w:val="64947310"/>
    <w:rsid w:val="64E33DF4"/>
    <w:rsid w:val="64E831B8"/>
    <w:rsid w:val="652B2F74"/>
    <w:rsid w:val="655F347A"/>
    <w:rsid w:val="65711400"/>
    <w:rsid w:val="65752C9E"/>
    <w:rsid w:val="65907E9B"/>
    <w:rsid w:val="65D11E9E"/>
    <w:rsid w:val="65FF6A0B"/>
    <w:rsid w:val="660109D5"/>
    <w:rsid w:val="66CD2666"/>
    <w:rsid w:val="66E14363"/>
    <w:rsid w:val="66E83943"/>
    <w:rsid w:val="67B6134C"/>
    <w:rsid w:val="67BD2CCE"/>
    <w:rsid w:val="67F24A7A"/>
    <w:rsid w:val="67F72090"/>
    <w:rsid w:val="680447AD"/>
    <w:rsid w:val="68071BA7"/>
    <w:rsid w:val="68DE4FFE"/>
    <w:rsid w:val="691E53FA"/>
    <w:rsid w:val="696C43B8"/>
    <w:rsid w:val="6990454A"/>
    <w:rsid w:val="69A753F0"/>
    <w:rsid w:val="6A0C16F7"/>
    <w:rsid w:val="6A786D8C"/>
    <w:rsid w:val="6AA17968"/>
    <w:rsid w:val="6AAE27AE"/>
    <w:rsid w:val="6AAF0A00"/>
    <w:rsid w:val="6AFC176B"/>
    <w:rsid w:val="6AFC79BD"/>
    <w:rsid w:val="6B030D4C"/>
    <w:rsid w:val="6B427AC6"/>
    <w:rsid w:val="6B8A6D77"/>
    <w:rsid w:val="6B99520C"/>
    <w:rsid w:val="6B9F6CC6"/>
    <w:rsid w:val="6BC06C3D"/>
    <w:rsid w:val="6BD12BF8"/>
    <w:rsid w:val="6BDB75D3"/>
    <w:rsid w:val="6BE7241B"/>
    <w:rsid w:val="6BEE5558"/>
    <w:rsid w:val="6C5E0930"/>
    <w:rsid w:val="6C7A3290"/>
    <w:rsid w:val="6C9C3206"/>
    <w:rsid w:val="6CBF5146"/>
    <w:rsid w:val="6CD96208"/>
    <w:rsid w:val="6CDC7AA6"/>
    <w:rsid w:val="6D042B59"/>
    <w:rsid w:val="6D282CEC"/>
    <w:rsid w:val="6D390A55"/>
    <w:rsid w:val="6D527D69"/>
    <w:rsid w:val="6D543AE1"/>
    <w:rsid w:val="6D7B72BF"/>
    <w:rsid w:val="6DA12AB5"/>
    <w:rsid w:val="6DAA1953"/>
    <w:rsid w:val="6DB4632D"/>
    <w:rsid w:val="6DEA5FB9"/>
    <w:rsid w:val="6E1C32F2"/>
    <w:rsid w:val="6E4B57C5"/>
    <w:rsid w:val="6E58315D"/>
    <w:rsid w:val="6E7741E2"/>
    <w:rsid w:val="6F8E34A0"/>
    <w:rsid w:val="6FBB1BF5"/>
    <w:rsid w:val="6FC41F27"/>
    <w:rsid w:val="70194B6E"/>
    <w:rsid w:val="70C1323B"/>
    <w:rsid w:val="711C643D"/>
    <w:rsid w:val="717464FF"/>
    <w:rsid w:val="71794CEA"/>
    <w:rsid w:val="71AA0173"/>
    <w:rsid w:val="71C61DB6"/>
    <w:rsid w:val="722A671B"/>
    <w:rsid w:val="72343EE1"/>
    <w:rsid w:val="725B76BF"/>
    <w:rsid w:val="72AF58CE"/>
    <w:rsid w:val="72F773E8"/>
    <w:rsid w:val="730748F8"/>
    <w:rsid w:val="736600CA"/>
    <w:rsid w:val="73A11255"/>
    <w:rsid w:val="73ED07EB"/>
    <w:rsid w:val="73F76F74"/>
    <w:rsid w:val="73FB6A64"/>
    <w:rsid w:val="73FC458A"/>
    <w:rsid w:val="74381E70"/>
    <w:rsid w:val="74583EB6"/>
    <w:rsid w:val="74675EA7"/>
    <w:rsid w:val="74695916"/>
    <w:rsid w:val="74844CAB"/>
    <w:rsid w:val="74A54C22"/>
    <w:rsid w:val="74B84FB8"/>
    <w:rsid w:val="74EC2851"/>
    <w:rsid w:val="74F57957"/>
    <w:rsid w:val="750951B1"/>
    <w:rsid w:val="7530273D"/>
    <w:rsid w:val="75526B58"/>
    <w:rsid w:val="75BC66C7"/>
    <w:rsid w:val="7601232C"/>
    <w:rsid w:val="7621477C"/>
    <w:rsid w:val="763C5112"/>
    <w:rsid w:val="765F6E06"/>
    <w:rsid w:val="76650B0D"/>
    <w:rsid w:val="767E397C"/>
    <w:rsid w:val="76AF17F9"/>
    <w:rsid w:val="76E539FB"/>
    <w:rsid w:val="76E61C4D"/>
    <w:rsid w:val="76E9529A"/>
    <w:rsid w:val="76F2437C"/>
    <w:rsid w:val="77336211"/>
    <w:rsid w:val="77672662"/>
    <w:rsid w:val="776E39F1"/>
    <w:rsid w:val="77D45F4A"/>
    <w:rsid w:val="77DB72D8"/>
    <w:rsid w:val="78852DA0"/>
    <w:rsid w:val="7892370F"/>
    <w:rsid w:val="795135CA"/>
    <w:rsid w:val="79667075"/>
    <w:rsid w:val="796B4CD4"/>
    <w:rsid w:val="79825532"/>
    <w:rsid w:val="79A90D10"/>
    <w:rsid w:val="79BD2A0E"/>
    <w:rsid w:val="7A0B5527"/>
    <w:rsid w:val="7A13262E"/>
    <w:rsid w:val="7A351ED1"/>
    <w:rsid w:val="7A37456E"/>
    <w:rsid w:val="7A601D17"/>
    <w:rsid w:val="7A6222E4"/>
    <w:rsid w:val="7A637111"/>
    <w:rsid w:val="7A715CD2"/>
    <w:rsid w:val="7A7C4677"/>
    <w:rsid w:val="7A9B1AE2"/>
    <w:rsid w:val="7A9D399F"/>
    <w:rsid w:val="7B0568FD"/>
    <w:rsid w:val="7B1228E5"/>
    <w:rsid w:val="7B242340"/>
    <w:rsid w:val="7B6E5D6D"/>
    <w:rsid w:val="7BC41E31"/>
    <w:rsid w:val="7BE92EDF"/>
    <w:rsid w:val="7C0641F8"/>
    <w:rsid w:val="7C0D37D8"/>
    <w:rsid w:val="7C66738C"/>
    <w:rsid w:val="7CC16371"/>
    <w:rsid w:val="7CEB1784"/>
    <w:rsid w:val="7D103724"/>
    <w:rsid w:val="7D4E40A8"/>
    <w:rsid w:val="7D524231"/>
    <w:rsid w:val="7D5B0573"/>
    <w:rsid w:val="7D5B67C5"/>
    <w:rsid w:val="7DAC5273"/>
    <w:rsid w:val="7DB36601"/>
    <w:rsid w:val="7DF52776"/>
    <w:rsid w:val="7E176B90"/>
    <w:rsid w:val="7E235535"/>
    <w:rsid w:val="7E2C1045"/>
    <w:rsid w:val="7E2C3CBE"/>
    <w:rsid w:val="7E6A0018"/>
    <w:rsid w:val="7ED54355"/>
    <w:rsid w:val="7F127358"/>
    <w:rsid w:val="7F363046"/>
    <w:rsid w:val="7F427C3D"/>
    <w:rsid w:val="7F6C4CBA"/>
    <w:rsid w:val="7FBD72C3"/>
    <w:rsid w:val="7FCF6F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bCs/>
      <w:kern w:val="44"/>
      <w:sz w:val="48"/>
      <w:szCs w:val="48"/>
    </w:rPr>
  </w:style>
  <w:style w:type="paragraph" w:styleId="3">
    <w:name w:val="heading 2"/>
    <w:basedOn w:val="1"/>
    <w:next w:val="1"/>
    <w:qFormat/>
    <w:uiPriority w:val="0"/>
    <w:pPr>
      <w:spacing w:before="100" w:beforeAutospacing="1" w:after="100" w:afterAutospacing="1"/>
      <w:jc w:val="left"/>
      <w:outlineLvl w:val="1"/>
    </w:pPr>
    <w:rPr>
      <w:rFonts w:hint="eastAsia" w:ascii="宋体" w:hAnsi="宋体"/>
      <w:b/>
      <w:bCs/>
      <w:kern w:val="0"/>
      <w:sz w:val="36"/>
      <w:szCs w:val="36"/>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1"/>
    <w:qFormat/>
    <w:uiPriority w:val="0"/>
    <w:pPr>
      <w:tabs>
        <w:tab w:val="center" w:pos="4153"/>
        <w:tab w:val="right" w:pos="8306"/>
      </w:tabs>
      <w:snapToGrid w:val="0"/>
      <w:jc w:val="left"/>
    </w:pPr>
    <w:rPr>
      <w:sz w:val="18"/>
      <w:szCs w:val="18"/>
    </w:rPr>
  </w:style>
  <w:style w:type="paragraph" w:styleId="5">
    <w:name w:val="header"/>
    <w:basedOn w:val="1"/>
    <w:link w:val="12"/>
    <w:qFormat/>
    <w:uiPriority w:val="0"/>
    <w:pPr>
      <w:tabs>
        <w:tab w:val="center" w:pos="4153"/>
        <w:tab w:val="right" w:pos="8306"/>
      </w:tabs>
      <w:snapToGrid w:val="0"/>
      <w:jc w:val="center"/>
    </w:pPr>
    <w:rPr>
      <w:sz w:val="18"/>
      <w:szCs w:val="18"/>
    </w:rPr>
  </w:style>
  <w:style w:type="paragraph" w:styleId="6">
    <w:name w:val="Normal (Web)"/>
    <w:basedOn w:val="1"/>
    <w:qFormat/>
    <w:uiPriority w:val="0"/>
    <w:pPr>
      <w:spacing w:before="100" w:beforeAutospacing="1" w:after="100" w:afterAutospacing="1"/>
      <w:jc w:val="left"/>
    </w:pPr>
    <w:rPr>
      <w:kern w:val="0"/>
      <w:sz w:val="24"/>
    </w:rPr>
  </w:style>
  <w:style w:type="character" w:styleId="9">
    <w:name w:val="Strong"/>
    <w:qFormat/>
    <w:uiPriority w:val="0"/>
    <w:rPr>
      <w:b/>
    </w:rPr>
  </w:style>
  <w:style w:type="character" w:styleId="10">
    <w:name w:val="Emphasis"/>
    <w:qFormat/>
    <w:uiPriority w:val="0"/>
    <w:rPr>
      <w:i/>
    </w:rPr>
  </w:style>
  <w:style w:type="character" w:customStyle="1" w:styleId="11">
    <w:name w:val="页脚 字符"/>
    <w:link w:val="4"/>
    <w:qFormat/>
    <w:uiPriority w:val="0"/>
    <w:rPr>
      <w:rFonts w:ascii="Calibri" w:hAnsi="Calibri"/>
      <w:kern w:val="2"/>
      <w:sz w:val="18"/>
      <w:szCs w:val="18"/>
    </w:rPr>
  </w:style>
  <w:style w:type="character" w:customStyle="1" w:styleId="12">
    <w:name w:val="页眉 字符"/>
    <w:link w:val="5"/>
    <w:qFormat/>
    <w:uiPriority w:val="0"/>
    <w:rPr>
      <w:rFonts w:ascii="Calibri" w:hAnsi="Calibri"/>
      <w:kern w:val="2"/>
      <w:sz w:val="18"/>
      <w:szCs w:val="18"/>
    </w:rPr>
  </w:style>
  <w:style w:type="table" w:customStyle="1" w:styleId="13">
    <w:name w:val="三线表"/>
    <w:basedOn w:val="7"/>
    <w:qFormat/>
    <w:uiPriority w:val="99"/>
    <w:rPr>
      <w:rFonts w:ascii="Calibri" w:hAnsi="Calibri"/>
      <w:kern w:val="2"/>
      <w:sz w:val="21"/>
      <w:szCs w:val="22"/>
    </w:rPr>
    <w:tblPr>
      <w:tblBorders>
        <w:top w:val="single" w:color="auto" w:sz="12" w:space="0"/>
        <w:bottom w:val="single" w:color="auto" w:sz="12" w:space="0"/>
      </w:tblBorders>
    </w:tblPr>
    <w:tblStylePr w:type="firstRow">
      <w:pPr>
        <w:wordWrap/>
        <w:jc w:val="center"/>
      </w:pPr>
      <w:rPr>
        <w:rFonts w:ascii="Times New Roman" w:hAnsi="Times New Roman" w:eastAsia="Times New Roman"/>
        <w:sz w:val="28"/>
      </w:rPr>
      <w:tcPr>
        <w:tcBorders>
          <w:top w:val="single" w:color="auto" w:sz="12" w:space="0"/>
          <w:left w:val="nil"/>
          <w:bottom w:val="single" w:color="auto" w:sz="6" w:space="0"/>
          <w:right w:val="nil"/>
          <w:insideH w:val="nil"/>
          <w:insideV w:val="nil"/>
          <w:tl2br w:val="nil"/>
          <w:tr2bl w:val="nil"/>
        </w:tcBorders>
      </w:tc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6.tiff"/><Relationship Id="rId8" Type="http://schemas.openxmlformats.org/officeDocument/2006/relationships/image" Target="media/image5.tiff"/><Relationship Id="rId7" Type="http://schemas.openxmlformats.org/officeDocument/2006/relationships/image" Target="media/image4.tiff"/><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image" Target="media/image15.tiff"/><Relationship Id="rId17" Type="http://schemas.openxmlformats.org/officeDocument/2006/relationships/image" Target="media/image14.png"/><Relationship Id="rId16" Type="http://schemas.openxmlformats.org/officeDocument/2006/relationships/image" Target="media/image13.tiff"/><Relationship Id="rId15" Type="http://schemas.openxmlformats.org/officeDocument/2006/relationships/image" Target="media/image12.tiff"/><Relationship Id="rId14" Type="http://schemas.openxmlformats.org/officeDocument/2006/relationships/image" Target="media/image11.tiff"/><Relationship Id="rId13" Type="http://schemas.openxmlformats.org/officeDocument/2006/relationships/image" Target="media/image10.tiff"/><Relationship Id="rId12" Type="http://schemas.openxmlformats.org/officeDocument/2006/relationships/image" Target="media/image9.tiff"/><Relationship Id="rId11" Type="http://schemas.openxmlformats.org/officeDocument/2006/relationships/image" Target="media/image8.png"/><Relationship Id="rId10" Type="http://schemas.openxmlformats.org/officeDocument/2006/relationships/image" Target="media/image7.tif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29</Pages>
  <Words>2595</Words>
  <Characters>14779</Characters>
  <Lines>124</Lines>
  <Paragraphs>35</Paragraphs>
  <TotalTime>29</TotalTime>
  <ScaleCrop>false</ScaleCrop>
  <LinksUpToDate>false</LinksUpToDate>
  <CharactersWithSpaces>17241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2025-12-27T04:34:00Z</dcterms:created>
  <dc:creator>wangming</dc:creator>
  <cp:lastModifiedBy>小小鸟</cp:lastModifiedBy>
  <dcterms:modified xsi:type="dcterms:W3CDTF">2026-06-08T12:42:14Z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eyJoZGlkIjoiMzEwNTM5NzYwMDRjMzkwZTVkZjY2ODkwMGIxNGU0OTUiLCJ1c2VySWQiOiIyMzA5MzI1NDcifQ==</vt:lpwstr>
  </property>
  <property fmtid="{D5CDD505-2E9C-101B-9397-08002B2CF9AE}" pid="4" name="ICV">
    <vt:lpwstr>3840FFEC32CC4F8C81FB9638965202D1_13</vt:lpwstr>
  </property>
</Properties>
</file>