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16A" w:rsidRDefault="00103F3B">
      <w:r w:rsidRPr="00103F3B">
        <w:rPr>
          <w:noProof/>
          <w:lang w:eastAsia="en-IN"/>
        </w:rPr>
        <w:drawing>
          <wp:inline distT="0" distB="0" distL="0" distR="0">
            <wp:extent cx="5731510" cy="2706261"/>
            <wp:effectExtent l="0" t="0" r="2540" b="0"/>
            <wp:docPr id="4" name="Picture 4" descr="H:\journals\Springer\Space\12951\4688\Stage200\Author\Figures\Fig.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journals\Springer\Space\12951\4688\Stage200\Author\Figures\Fig. S1.t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06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F3B" w:rsidRDefault="00103F3B" w:rsidP="00103F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22A8">
        <w:rPr>
          <w:rFonts w:ascii="Times New Roman" w:hAnsi="Times New Roman" w:cs="Times New Roman"/>
          <w:sz w:val="24"/>
          <w:szCs w:val="24"/>
        </w:rPr>
        <w:t>Fig. S1. Surface area of ​​MPDA nanoparticles. The surface area of ​​MPDA nanoparticles determined by nitrogen adsorption testing was 593 m</w:t>
      </w:r>
      <w:r w:rsidRPr="00D222A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222A8">
        <w:rPr>
          <w:rFonts w:ascii="Times New Roman" w:hAnsi="Times New Roman" w:cs="Times New Roman"/>
          <w:sz w:val="24"/>
          <w:szCs w:val="24"/>
        </w:rPr>
        <w:t>/g.</w:t>
      </w:r>
    </w:p>
    <w:p w:rsidR="00103F3B" w:rsidRDefault="00103F3B" w:rsidP="00103F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3F3B" w:rsidRDefault="00103F3B" w:rsidP="00103F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3F3B">
        <w:rPr>
          <w:rFonts w:ascii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731510" cy="4824365"/>
            <wp:effectExtent l="0" t="0" r="2540" b="0"/>
            <wp:docPr id="5" name="Picture 5" descr="H:\journals\Springer\Space\12951\4688\Stage200\Author\Figures\Fig.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journals\Springer\Space\12951\4688\Stage200\Author\Figures\Fig. S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F3B" w:rsidRPr="00D222A8" w:rsidRDefault="00103F3B" w:rsidP="00103F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22A8">
        <w:rPr>
          <w:rFonts w:ascii="Times New Roman" w:hAnsi="Times New Roman" w:cs="Times New Roman"/>
          <w:sz w:val="24"/>
          <w:szCs w:val="24"/>
        </w:rPr>
        <w:t>Fig. S2. Representative images show the macroscopic structure and injectable morphology of the hydrogel.</w:t>
      </w:r>
    </w:p>
    <w:p w:rsidR="00103F3B" w:rsidRPr="00D222A8" w:rsidRDefault="00103F3B" w:rsidP="00103F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3F3B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731510" cy="877098"/>
            <wp:effectExtent l="0" t="0" r="2540" b="0"/>
            <wp:docPr id="6" name="Picture 6" descr="H:\journals\Springer\Space\12951\4688\Stage200\Author\Figures\Fig. 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journals\Springer\Space\12951\4688\Stage200\Author\Figures\Fig. S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7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F3B" w:rsidRPr="00D222A8" w:rsidRDefault="00103F3B" w:rsidP="00103F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22A8">
        <w:rPr>
          <w:rFonts w:ascii="Times New Roman" w:hAnsi="Times New Roman" w:cs="Times New Roman"/>
          <w:sz w:val="24"/>
          <w:szCs w:val="24"/>
        </w:rPr>
        <w:t>Fig. S3. HUVEC tube formation assay. The HUVEC tube formation assay demonstrates that BMPDA@CPMH hydrogel maximally promotes endothelial cell proliferation and angiogenesis, further str</w:t>
      </w:r>
      <w:bookmarkStart w:id="0" w:name="_GoBack"/>
      <w:bookmarkEnd w:id="0"/>
      <w:r w:rsidRPr="00D222A8">
        <w:rPr>
          <w:rFonts w:ascii="Times New Roman" w:hAnsi="Times New Roman" w:cs="Times New Roman"/>
          <w:sz w:val="24"/>
          <w:szCs w:val="24"/>
        </w:rPr>
        <w:t>engthening the evidence for bone-</w:t>
      </w:r>
      <w:proofErr w:type="spellStart"/>
      <w:r w:rsidRPr="00D222A8">
        <w:rPr>
          <w:rFonts w:ascii="Times New Roman" w:hAnsi="Times New Roman" w:cs="Times New Roman"/>
          <w:sz w:val="24"/>
          <w:szCs w:val="24"/>
        </w:rPr>
        <w:t>angiogenic</w:t>
      </w:r>
      <w:proofErr w:type="spellEnd"/>
      <w:r w:rsidRPr="00D222A8">
        <w:rPr>
          <w:rFonts w:ascii="Times New Roman" w:hAnsi="Times New Roman" w:cs="Times New Roman"/>
          <w:sz w:val="24"/>
          <w:szCs w:val="24"/>
        </w:rPr>
        <w:t xml:space="preserve"> coupling.</w:t>
      </w:r>
    </w:p>
    <w:p w:rsidR="00103F3B" w:rsidRDefault="00103F3B"/>
    <w:sectPr w:rsidR="00103F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F3B"/>
    <w:rsid w:val="00103F3B"/>
    <w:rsid w:val="002D7A6C"/>
    <w:rsid w:val="002E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95E72"/>
  <w15:chartTrackingRefBased/>
  <w15:docId w15:val="{8FDCBBA2-C41A-4412-9DC5-34E75A515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Varatharaj Sekar</dc:creator>
  <cp:keywords/>
  <dc:description/>
  <cp:lastModifiedBy>Varatharaj Sekar</cp:lastModifiedBy>
  <cp:revision>1</cp:revision>
  <dcterms:created xsi:type="dcterms:W3CDTF">2026-06-15T10:52:00Z</dcterms:created>
  <dcterms:modified xsi:type="dcterms:W3CDTF">2026-06-15T10:54:00Z</dcterms:modified>
</cp:coreProperties>
</file>