
<file path=[Content_Types].xml><?xml version="1.0" encoding="utf-8"?>
<Types xmlns="http://schemas.openxmlformats.org/package/2006/content-types">
  <Default Extension="tiff" ContentType="image/tif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0D3B7E">
      <w:pPr>
        <w:spacing w:line="240" w:lineRule="auto"/>
        <w:contextualSpacing/>
        <w:jc w:val="both"/>
        <w:rPr>
          <w:rFonts w:hint="default" w:ascii="Times New Roman" w:hAnsi="Times New Roman" w:cs="Times New Roman"/>
          <w:b/>
          <w:bCs/>
          <w:color w:val="auto"/>
          <w:sz w:val="28"/>
          <w:szCs w:val="36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36"/>
        </w:rPr>
        <w:t xml:space="preserve">Hydrogen 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36"/>
          <w:lang w:val="en-US" w:eastAsia="zh-CN"/>
        </w:rPr>
        <w:t>p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36"/>
        </w:rPr>
        <w:t xml:space="preserve">eroxide 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36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36"/>
        </w:rPr>
        <w:t xml:space="preserve">elf-supplied 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36"/>
          <w:lang w:val="en-US" w:eastAsia="zh-CN"/>
        </w:rPr>
        <w:t>n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36"/>
        </w:rPr>
        <w:t xml:space="preserve">anozyme 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36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36"/>
        </w:rPr>
        <w:t xml:space="preserve">ystem for 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36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36"/>
        </w:rPr>
        <w:t xml:space="preserve">ynergistic 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36"/>
          <w:lang w:val="en-US" w:eastAsia="zh-CN"/>
        </w:rPr>
        <w:t>p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36"/>
        </w:rPr>
        <w:t xml:space="preserve">rostate 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36"/>
          <w:lang w:val="en-US" w:eastAsia="zh-CN"/>
        </w:rPr>
        <w:t>c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36"/>
        </w:rPr>
        <w:t xml:space="preserve">ancer 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36"/>
          <w:lang w:val="en-US" w:eastAsia="zh-CN"/>
        </w:rPr>
        <w:t>t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36"/>
        </w:rPr>
        <w:t xml:space="preserve">herapy via 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36"/>
          <w:lang w:val="en-US" w:eastAsia="zh-CN"/>
        </w:rPr>
        <w:t>f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36"/>
        </w:rPr>
        <w:t>erroptosis/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36"/>
          <w:lang w:val="en-US" w:eastAsia="zh-CN"/>
        </w:rPr>
        <w:t>p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36"/>
        </w:rPr>
        <w:t>yroptosis and Ca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36"/>
          <w:vertAlign w:val="superscript"/>
        </w:rPr>
        <w:t>2+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36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36"/>
          <w:lang w:val="en-US" w:eastAsia="zh-CN"/>
        </w:rPr>
        <w:t>o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36"/>
        </w:rPr>
        <w:t xml:space="preserve">verload-induced 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36"/>
          <w:lang w:val="en-US" w:eastAsia="zh-CN"/>
        </w:rPr>
        <w:t>a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36"/>
        </w:rPr>
        <w:t>poptosis</w:t>
      </w:r>
    </w:p>
    <w:p w14:paraId="3202E012">
      <w:pPr>
        <w:spacing w:line="360" w:lineRule="auto"/>
        <w:contextualSpacing/>
        <w:jc w:val="both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Sixu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Chen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 w:val="0"/>
          <w:bCs w:val="0"/>
          <w:iCs/>
          <w:color w:val="auto"/>
          <w:sz w:val="24"/>
          <w:szCs w:val="24"/>
          <w:vertAlign w:val="superscript"/>
        </w:rPr>
        <w:t>†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,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Linnan Yang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1,2</w:t>
      </w:r>
      <w:r>
        <w:rPr>
          <w:rFonts w:ascii="Times New Roman" w:hAnsi="Times New Roman" w:cs="Times New Roman"/>
          <w:b w:val="0"/>
          <w:bCs w:val="0"/>
          <w:iCs/>
          <w:color w:val="auto"/>
          <w:sz w:val="24"/>
          <w:szCs w:val="24"/>
          <w:vertAlign w:val="superscript"/>
        </w:rPr>
        <w:t>†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,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Peng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Wang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3</w:t>
      </w:r>
      <w:r>
        <w:rPr>
          <w:rFonts w:ascii="Times New Roman" w:hAnsi="Times New Roman" w:cs="Times New Roman"/>
          <w:b w:val="0"/>
          <w:bCs w:val="0"/>
          <w:iCs/>
          <w:color w:val="auto"/>
          <w:sz w:val="24"/>
          <w:szCs w:val="24"/>
          <w:vertAlign w:val="superscript"/>
        </w:rPr>
        <w:t>†</w:t>
      </w:r>
      <w:r>
        <w:rPr>
          <w:rFonts w:hint="eastAsia" w:ascii="Times New Roman" w:hAnsi="Times New Roman" w:cs="Times New Roman"/>
          <w:b w:val="0"/>
          <w:bCs w:val="0"/>
          <w:iCs/>
          <w:color w:val="auto"/>
          <w:sz w:val="24"/>
          <w:szCs w:val="24"/>
          <w:vertAlign w:val="baseline"/>
          <w:lang w:val="en-US" w:eastAsia="zh-CN"/>
        </w:rPr>
        <w:t>, Chenghao Wen</w:t>
      </w:r>
      <w:r>
        <w:rPr>
          <w:rFonts w:hint="eastAsia" w:ascii="Times New Roman" w:hAnsi="Times New Roman" w:cs="Times New Roman"/>
          <w:b w:val="0"/>
          <w:bCs w:val="0"/>
          <w:iCs/>
          <w:color w:val="auto"/>
          <w:sz w:val="24"/>
          <w:szCs w:val="24"/>
          <w:vertAlign w:val="superscript"/>
          <w:lang w:val="en-US" w:eastAsia="zh-CN"/>
        </w:rPr>
        <w:t>4</w:t>
      </w:r>
      <w:r>
        <w:rPr>
          <w:rFonts w:ascii="Times New Roman" w:hAnsi="Times New Roman" w:cs="Times New Roman"/>
          <w:b w:val="0"/>
          <w:bCs w:val="0"/>
          <w:iCs/>
          <w:color w:val="auto"/>
          <w:sz w:val="24"/>
          <w:szCs w:val="24"/>
          <w:vertAlign w:val="superscript"/>
        </w:rPr>
        <w:t>†</w:t>
      </w:r>
      <w:r>
        <w:rPr>
          <w:rFonts w:hint="eastAsia" w:ascii="Times New Roman" w:hAnsi="Times New Roman" w:cs="Times New Roman"/>
          <w:b w:val="0"/>
          <w:bCs w:val="0"/>
          <w:iCs/>
          <w:color w:val="auto"/>
          <w:sz w:val="24"/>
          <w:szCs w:val="24"/>
          <w:vertAlign w:val="baseline"/>
          <w:lang w:val="en-US" w:eastAsia="zh-CN"/>
        </w:rPr>
        <w:t>,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Zhaoxu Shi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1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,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Cs/>
          <w:color w:val="auto"/>
          <w:sz w:val="24"/>
          <w:szCs w:val="24"/>
          <w:vertAlign w:val="baseline"/>
          <w:lang w:val="en-US" w:eastAsia="zh-CN"/>
        </w:rPr>
        <w:t>Rui Tan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1</w:t>
      </w:r>
      <w:r>
        <w:rPr>
          <w:rFonts w:hint="eastAsia" w:ascii="Times New Roman" w:hAnsi="Times New Roman" w:cs="Times New Roman"/>
          <w:b w:val="0"/>
          <w:bCs w:val="0"/>
          <w:iCs/>
          <w:color w:val="auto"/>
          <w:sz w:val="24"/>
          <w:szCs w:val="24"/>
          <w:vertAlign w:val="baseline"/>
          <w:lang w:val="en-US" w:eastAsia="zh-CN"/>
        </w:rPr>
        <w:t>, Wenrui Guan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1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,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Guowen Jiang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1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,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Pengfei Zhang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1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, Chaozhao Liang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1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, Xianwen Wang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5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Yunjiao Zhang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6*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, Guilong Zhang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3*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,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Li Zhang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1,2,5*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</w:p>
    <w:p w14:paraId="2448FEAC">
      <w:pPr>
        <w:rPr>
          <w:color w:val="auto"/>
        </w:rPr>
      </w:pPr>
    </w:p>
    <w:p w14:paraId="751C5C8F">
      <w:pPr>
        <w:numPr>
          <w:ilvl w:val="0"/>
          <w:numId w:val="0"/>
        </w:numPr>
        <w:spacing w:line="360" w:lineRule="auto"/>
        <w:rPr>
          <w:rFonts w:ascii="Times New Roman" w:hAnsi="Times New Roman" w:cs="Times New Roman"/>
          <w:iCs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iCs/>
          <w:color w:val="auto"/>
          <w:sz w:val="24"/>
          <w:szCs w:val="24"/>
          <w:vertAlign w:val="superscript"/>
          <w:lang w:val="en-US" w:eastAsia="zh-CN"/>
        </w:rPr>
        <w:t xml:space="preserve">1 </w:t>
      </w:r>
      <w:r>
        <w:rPr>
          <w:rFonts w:ascii="Times New Roman" w:hAnsi="Times New Roman" w:cs="Times New Roman"/>
          <w:iCs/>
          <w:color w:val="auto"/>
          <w:sz w:val="24"/>
          <w:szCs w:val="24"/>
        </w:rPr>
        <w:t>Department of Urology, the First Affiliated Hospital of Anhui Medical University, Anhui Province Key Laboratory of Urological and Andrological Diseases Research and Medical Transformation, Hefei</w:t>
      </w:r>
      <w:r>
        <w:rPr>
          <w:rFonts w:hint="eastAsia" w:ascii="Times New Roman" w:hAnsi="Times New Roman" w:cs="Times New Roman"/>
          <w:iCs/>
          <w:color w:val="auto"/>
          <w:sz w:val="24"/>
          <w:szCs w:val="24"/>
          <w:lang w:val="en-US" w:eastAsia="zh-CN"/>
        </w:rPr>
        <w:t xml:space="preserve"> 230022</w:t>
      </w:r>
      <w:r>
        <w:rPr>
          <w:rFonts w:ascii="Times New Roman" w:hAnsi="Times New Roman" w:cs="Times New Roman"/>
          <w:iCs/>
          <w:color w:val="auto"/>
          <w:sz w:val="24"/>
          <w:szCs w:val="24"/>
        </w:rPr>
        <w:t>, China.</w:t>
      </w:r>
    </w:p>
    <w:p w14:paraId="2A2CAA27">
      <w:pPr>
        <w:numPr>
          <w:ilvl w:val="0"/>
          <w:numId w:val="0"/>
        </w:numPr>
        <w:spacing w:line="360" w:lineRule="auto"/>
        <w:rPr>
          <w:rFonts w:hint="eastAsia" w:ascii="Times New Roman" w:hAnsi="Times New Roman" w:cs="Times New Roman"/>
          <w:bCs/>
          <w:i w:val="0"/>
          <w:i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Cs/>
          <w:i w:val="0"/>
          <w:iCs w:val="0"/>
          <w:color w:val="auto"/>
          <w:sz w:val="24"/>
          <w:szCs w:val="24"/>
          <w:vertAlign w:val="superscript"/>
          <w:lang w:val="en-US" w:eastAsia="zh-CN"/>
        </w:rPr>
        <w:t>2</w:t>
      </w:r>
      <w:r>
        <w:rPr>
          <w:rFonts w:hint="eastAsia" w:ascii="Times New Roman" w:hAnsi="Times New Roman" w:cs="Times New Roman"/>
          <w:bCs/>
          <w:i w:val="0"/>
          <w:iCs w:val="0"/>
          <w:color w:val="auto"/>
          <w:sz w:val="24"/>
          <w:szCs w:val="24"/>
          <w:vertAlign w:val="superscript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i w:val="0"/>
          <w:iCs w:val="0"/>
          <w:color w:val="auto"/>
          <w:sz w:val="24"/>
          <w:szCs w:val="24"/>
          <w:vertAlign w:val="baseline"/>
        </w:rPr>
        <w:t>Center for Scientific Research of the First Affiliated Hospital of Anhui Medical University</w:t>
      </w:r>
      <w:r>
        <w:rPr>
          <w:rFonts w:hint="default" w:ascii="Times New Roman" w:hAnsi="Times New Roman" w:cs="Times New Roman"/>
          <w:bCs/>
          <w:i w:val="0"/>
          <w:iCs w:val="0"/>
          <w:color w:val="auto"/>
          <w:sz w:val="24"/>
          <w:szCs w:val="24"/>
        </w:rPr>
        <w:t>, Hefei</w:t>
      </w:r>
      <w:r>
        <w:rPr>
          <w:rFonts w:hint="eastAsia" w:ascii="Times New Roman" w:hAnsi="Times New Roman" w:cs="Times New Roman"/>
          <w:bCs/>
          <w:i w:val="0"/>
          <w:iCs w:val="0"/>
          <w:color w:val="auto"/>
          <w:sz w:val="24"/>
          <w:szCs w:val="24"/>
          <w:lang w:val="en-US" w:eastAsia="zh-CN"/>
        </w:rPr>
        <w:t xml:space="preserve"> 230088, </w:t>
      </w:r>
      <w:r>
        <w:rPr>
          <w:rFonts w:hint="default" w:ascii="Times New Roman" w:hAnsi="Times New Roman" w:cs="Times New Roman"/>
          <w:bCs/>
          <w:i w:val="0"/>
          <w:iCs w:val="0"/>
          <w:color w:val="auto"/>
          <w:sz w:val="24"/>
          <w:szCs w:val="24"/>
        </w:rPr>
        <w:t>China.</w:t>
      </w:r>
      <w:r>
        <w:rPr>
          <w:rFonts w:hint="eastAsia" w:ascii="Times New Roman" w:hAnsi="Times New Roman" w:cs="Times New Roman"/>
          <w:bCs/>
          <w:i w:val="0"/>
          <w:iCs w:val="0"/>
          <w:color w:val="auto"/>
          <w:sz w:val="24"/>
          <w:szCs w:val="24"/>
          <w:lang w:val="en-US" w:eastAsia="zh-CN"/>
        </w:rPr>
        <w:t xml:space="preserve"> </w:t>
      </w:r>
    </w:p>
    <w:p w14:paraId="16230F89">
      <w:pPr>
        <w:numPr>
          <w:ilvl w:val="0"/>
          <w:numId w:val="0"/>
        </w:numPr>
        <w:spacing w:line="360" w:lineRule="auto"/>
        <w:rPr>
          <w:rFonts w:hint="eastAsia" w:ascii="Times New Roman" w:hAnsi="Times New Roman" w:cs="Times New Roman"/>
          <w:bCs/>
          <w:i w:val="0"/>
          <w:i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iCs/>
          <w:color w:val="auto"/>
          <w:sz w:val="24"/>
          <w:szCs w:val="24"/>
          <w:vertAlign w:val="superscript"/>
          <w:lang w:val="en-US" w:eastAsia="zh-CN"/>
        </w:rPr>
        <w:t xml:space="preserve">3 </w:t>
      </w:r>
      <w:r>
        <w:rPr>
          <w:rFonts w:hint="default" w:ascii="Times New Roman" w:hAnsi="Times New Roman" w:cs="Times New Roman"/>
          <w:bCs/>
          <w:i w:val="0"/>
          <w:iCs w:val="0"/>
          <w:color w:val="auto"/>
          <w:sz w:val="24"/>
          <w:szCs w:val="24"/>
        </w:rPr>
        <w:t>School of Pharmacy, Shandong Technology Innovation Center of Molecular Targeting and Intelligent Diagnosis and Treatment, Shandong Medical and Pharmaceutical University, Yantai</w:t>
      </w:r>
      <w:r>
        <w:rPr>
          <w:rFonts w:hint="eastAsia" w:ascii="Times New Roman" w:hAnsi="Times New Roman" w:cs="Times New Roman"/>
          <w:bCs/>
          <w:i w:val="0"/>
          <w:iCs w:val="0"/>
          <w:color w:val="auto"/>
          <w:sz w:val="24"/>
          <w:szCs w:val="24"/>
          <w:lang w:val="en-US" w:eastAsia="zh-CN"/>
        </w:rPr>
        <w:t xml:space="preserve"> 264003,</w:t>
      </w:r>
      <w:r>
        <w:rPr>
          <w:rFonts w:hint="default" w:ascii="Times New Roman" w:hAnsi="Times New Roman" w:cs="Times New Roman"/>
          <w:bCs/>
          <w:i w:val="0"/>
          <w:iCs w:val="0"/>
          <w:color w:val="auto"/>
          <w:sz w:val="24"/>
          <w:szCs w:val="24"/>
        </w:rPr>
        <w:t xml:space="preserve"> China.</w:t>
      </w:r>
      <w:r>
        <w:rPr>
          <w:rFonts w:hint="eastAsia" w:ascii="Times New Roman" w:hAnsi="Times New Roman" w:cs="Times New Roman"/>
          <w:bCs/>
          <w:i w:val="0"/>
          <w:iCs w:val="0"/>
          <w:color w:val="auto"/>
          <w:sz w:val="24"/>
          <w:szCs w:val="24"/>
          <w:lang w:val="en-US" w:eastAsia="zh-CN"/>
        </w:rPr>
        <w:t xml:space="preserve"> </w:t>
      </w:r>
    </w:p>
    <w:p w14:paraId="655ACAE7">
      <w:pPr>
        <w:numPr>
          <w:ilvl w:val="0"/>
          <w:numId w:val="0"/>
        </w:numPr>
        <w:spacing w:line="360" w:lineRule="auto"/>
        <w:rPr>
          <w:rFonts w:ascii="Times New Roman" w:hAnsi="Times New Roman" w:cs="Times New Roman"/>
          <w:iCs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iCs/>
          <w:color w:val="auto"/>
          <w:sz w:val="24"/>
          <w:szCs w:val="24"/>
          <w:vertAlign w:val="superscript"/>
          <w:lang w:val="en-US" w:eastAsia="zh-CN"/>
        </w:rPr>
        <w:t xml:space="preserve">4 </w:t>
      </w:r>
      <w:r>
        <w:rPr>
          <w:rFonts w:ascii="Times New Roman" w:hAnsi="Times New Roman" w:cs="Times New Roman"/>
          <w:iCs/>
          <w:color w:val="auto"/>
          <w:sz w:val="24"/>
          <w:szCs w:val="24"/>
        </w:rPr>
        <w:t>Department of Urology,</w:t>
      </w:r>
      <w:r>
        <w:rPr>
          <w:rFonts w:hint="eastAsia" w:ascii="Times New Roman" w:hAnsi="Times New Roman" w:cs="Times New Roman"/>
          <w:iCs/>
          <w:color w:val="auto"/>
          <w:sz w:val="24"/>
          <w:szCs w:val="24"/>
          <w:lang w:val="en-US" w:eastAsia="zh-CN"/>
        </w:rPr>
        <w:t xml:space="preserve"> The Second People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'</w:t>
      </w:r>
      <w:r>
        <w:rPr>
          <w:rFonts w:hint="eastAsia" w:ascii="Times New Roman" w:hAnsi="Times New Roman" w:cs="Times New Roman"/>
          <w:iCs/>
          <w:color w:val="auto"/>
          <w:sz w:val="24"/>
          <w:szCs w:val="24"/>
          <w:lang w:val="en-US" w:eastAsia="zh-CN"/>
        </w:rPr>
        <w:t xml:space="preserve">s Hospital of Hefei, </w:t>
      </w:r>
      <w:r>
        <w:rPr>
          <w:rFonts w:ascii="Times New Roman" w:hAnsi="Times New Roman" w:cs="Times New Roman"/>
          <w:iCs/>
          <w:color w:val="auto"/>
          <w:sz w:val="24"/>
          <w:szCs w:val="24"/>
        </w:rPr>
        <w:t>Hefei</w:t>
      </w:r>
      <w:r>
        <w:rPr>
          <w:rFonts w:hint="eastAsia" w:ascii="Times New Roman" w:hAnsi="Times New Roman" w:cs="Times New Roman"/>
          <w:iCs/>
          <w:color w:val="auto"/>
          <w:sz w:val="24"/>
          <w:szCs w:val="24"/>
          <w:lang w:val="en-US" w:eastAsia="zh-CN"/>
        </w:rPr>
        <w:t xml:space="preserve"> 230011</w:t>
      </w:r>
      <w:r>
        <w:rPr>
          <w:rFonts w:ascii="Times New Roman" w:hAnsi="Times New Roman" w:cs="Times New Roman"/>
          <w:iCs/>
          <w:color w:val="auto"/>
          <w:sz w:val="24"/>
          <w:szCs w:val="24"/>
        </w:rPr>
        <w:t>, China.</w:t>
      </w:r>
    </w:p>
    <w:p w14:paraId="5EA603F1">
      <w:pPr>
        <w:numPr>
          <w:ilvl w:val="0"/>
          <w:numId w:val="0"/>
        </w:numPr>
        <w:spacing w:line="360" w:lineRule="auto"/>
        <w:rPr>
          <w:rFonts w:hint="eastAsia" w:ascii="Times New Roman" w:hAnsi="Times New Roman" w:cs="Times New Roman"/>
          <w:bCs/>
          <w:i w:val="0"/>
          <w:i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Cs/>
          <w:i w:val="0"/>
          <w:iCs w:val="0"/>
          <w:color w:val="auto"/>
          <w:sz w:val="24"/>
          <w:szCs w:val="24"/>
          <w:vertAlign w:val="superscript"/>
          <w:lang w:val="en-US" w:eastAsia="zh-CN"/>
        </w:rPr>
        <w:t xml:space="preserve">5 </w:t>
      </w:r>
      <w:r>
        <w:rPr>
          <w:rFonts w:hint="eastAsia" w:ascii="Times New Roman" w:hAnsi="Times New Roman" w:cs="Times New Roman"/>
          <w:bCs/>
          <w:i w:val="0"/>
          <w:iCs w:val="0"/>
          <w:color w:val="auto"/>
          <w:sz w:val="24"/>
          <w:szCs w:val="24"/>
          <w:lang w:val="en-US" w:eastAsia="zh-CN"/>
        </w:rPr>
        <w:t>School of Biomedical Engineering, Anhui Medical University, Hefei 230032, China.</w:t>
      </w:r>
    </w:p>
    <w:p w14:paraId="2C76DB5D">
      <w:pPr>
        <w:numPr>
          <w:ilvl w:val="0"/>
          <w:numId w:val="0"/>
        </w:numPr>
        <w:spacing w:line="360" w:lineRule="auto"/>
        <w:rPr>
          <w:rFonts w:hint="eastAsia" w:ascii="Times New Roman" w:hAnsi="Times New Roman" w:cs="Times New Roman"/>
          <w:bCs/>
          <w:i w:val="0"/>
          <w:i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iCs/>
          <w:color w:val="auto"/>
          <w:sz w:val="24"/>
          <w:szCs w:val="24"/>
          <w:vertAlign w:val="superscript"/>
          <w:lang w:val="en-US" w:eastAsia="zh-CN"/>
        </w:rPr>
        <w:t xml:space="preserve">6 </w:t>
      </w:r>
      <w:r>
        <w:rPr>
          <w:rFonts w:hint="eastAsia" w:ascii="Times New Roman" w:hAnsi="Times New Roman" w:cs="Times New Roman"/>
          <w:iCs/>
          <w:color w:val="auto"/>
          <w:sz w:val="24"/>
          <w:szCs w:val="24"/>
          <w:vertAlign w:val="baseline"/>
          <w:lang w:val="en-US" w:eastAsia="zh-CN"/>
        </w:rPr>
        <w:t>School of Medicine, South China University of Technology, Guangzhou 510006, China.</w:t>
      </w:r>
    </w:p>
    <w:p w14:paraId="23E4DFD5">
      <w:pPr>
        <w:rPr>
          <w:color w:val="auto"/>
        </w:rPr>
      </w:pPr>
    </w:p>
    <w:p w14:paraId="7945D0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 w:eastAsiaTheme="minorEastAsia"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Cs/>
          <w:color w:val="auto"/>
          <w:sz w:val="24"/>
          <w:szCs w:val="24"/>
          <w:vertAlign w:val="superscript"/>
        </w:rPr>
        <w:t>*</w:t>
      </w:r>
      <w:r>
        <w:rPr>
          <w:rFonts w:hint="default" w:ascii="Times New Roman" w:hAnsi="Times New Roman" w:cs="Times New Roman"/>
          <w:bCs/>
          <w:color w:val="auto"/>
          <w:sz w:val="24"/>
          <w:szCs w:val="24"/>
          <w:vertAlign w:val="baseline"/>
          <w:lang w:val="en-US" w:eastAsia="zh-CN"/>
        </w:rPr>
        <w:t>Correspondence</w:t>
      </w:r>
      <w:r>
        <w:rPr>
          <w:rFonts w:hint="eastAsia" w:ascii="Times New Roman" w:hAnsi="Times New Roman" w:cs="Times New Roman"/>
          <w:bCs/>
          <w:color w:val="auto"/>
          <w:sz w:val="24"/>
          <w:szCs w:val="24"/>
          <w:lang w:val="en-US" w:eastAsia="zh-CN"/>
        </w:rPr>
        <w:t>:</w:t>
      </w:r>
    </w:p>
    <w:p w14:paraId="44F9CA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Cs/>
          <w:i w:val="0"/>
          <w:i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HYPERLINK "mailto:zhangyunjiao@scut.edu.cn" </w:instrTex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>
        <w:rPr>
          <w:rFonts w:hint="default" w:ascii="Times New Roman" w:hAnsi="Times New Roman" w:cs="Times New Roman"/>
          <w:bCs/>
          <w:i w:val="0"/>
          <w:iCs w:val="0"/>
          <w:color w:val="auto"/>
          <w:sz w:val="24"/>
          <w:szCs w:val="24"/>
        </w:rPr>
        <w:t>zhangyunjiao@scut.edu.cn</w:t>
      </w:r>
      <w:r>
        <w:rPr>
          <w:rFonts w:hint="default" w:ascii="Times New Roman" w:hAnsi="Times New Roman" w:cs="Times New Roman"/>
          <w:bCs/>
          <w:i w:val="0"/>
          <w:iCs w:val="0"/>
          <w:color w:val="auto"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bCs/>
          <w:i w:val="0"/>
          <w:iCs w:val="0"/>
          <w:color w:val="auto"/>
          <w:sz w:val="24"/>
          <w:szCs w:val="24"/>
          <w:lang w:val="en-US" w:eastAsia="zh-CN"/>
        </w:rPr>
        <w:t xml:space="preserve"> (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</w:rPr>
        <w:t>Yunjiao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</w:rPr>
        <w:t xml:space="preserve"> Zh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</w:rPr>
        <w:t>ang</w:t>
      </w:r>
      <w:r>
        <w:rPr>
          <w:rFonts w:hint="default" w:ascii="Times New Roman" w:hAnsi="Times New Roman" w:cs="Times New Roman"/>
          <w:bCs/>
          <w:i w:val="0"/>
          <w:iCs w:val="0"/>
          <w:color w:val="auto"/>
          <w:sz w:val="24"/>
          <w:szCs w:val="24"/>
          <w:lang w:val="en-US" w:eastAsia="zh-CN"/>
        </w:rPr>
        <w:t>)</w:t>
      </w:r>
      <w:r>
        <w:rPr>
          <w:rFonts w:hint="eastAsia" w:ascii="Times New Roman" w:hAnsi="Times New Roman" w:cs="Times New Roman"/>
          <w:bCs/>
          <w:i w:val="0"/>
          <w:iCs w:val="0"/>
          <w:color w:val="auto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HYPERLINK "mailto:glzhang@bzmc.edu.cn" </w:instrTex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>
        <w:rPr>
          <w:rFonts w:hint="default" w:ascii="Times New Roman" w:hAnsi="Times New Roman" w:cs="Times New Roman"/>
          <w:bCs/>
          <w:i w:val="0"/>
          <w:iCs w:val="0"/>
          <w:color w:val="auto"/>
          <w:sz w:val="24"/>
          <w:szCs w:val="24"/>
        </w:rPr>
        <w:t>glzhang@bzmc.edu.cn</w:t>
      </w:r>
      <w:r>
        <w:rPr>
          <w:rFonts w:hint="default" w:ascii="Times New Roman" w:hAnsi="Times New Roman" w:cs="Times New Roman"/>
          <w:bCs/>
          <w:i w:val="0"/>
          <w:iCs w:val="0"/>
          <w:color w:val="auto"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bCs/>
          <w:i w:val="0"/>
          <w:iCs w:val="0"/>
          <w:color w:val="auto"/>
          <w:sz w:val="24"/>
          <w:szCs w:val="24"/>
          <w:lang w:val="en-US" w:eastAsia="zh-CN"/>
        </w:rPr>
        <w:t xml:space="preserve"> (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</w:rPr>
        <w:t>Guilong Zhang</w:t>
      </w:r>
      <w:r>
        <w:rPr>
          <w:rFonts w:hint="default" w:ascii="Times New Roman" w:hAnsi="Times New Roman" w:cs="Times New Roman"/>
          <w:bCs/>
          <w:i w:val="0"/>
          <w:iCs w:val="0"/>
          <w:color w:val="auto"/>
          <w:sz w:val="24"/>
          <w:szCs w:val="24"/>
          <w:lang w:val="en-US" w:eastAsia="zh-CN"/>
        </w:rPr>
        <w:t xml:space="preserve">), 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HYPERLINK "mailto:lzhang@ahmu.edu.cn" </w:instrTex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>
        <w:rPr>
          <w:rFonts w:hint="default" w:ascii="Times New Roman" w:hAnsi="Times New Roman" w:cs="Times New Roman"/>
          <w:bCs/>
          <w:i w:val="0"/>
          <w:iCs w:val="0"/>
          <w:color w:val="auto"/>
          <w:sz w:val="24"/>
          <w:szCs w:val="24"/>
        </w:rPr>
        <w:t>lzhang@ahmu.edu.cn</w:t>
      </w:r>
      <w:r>
        <w:rPr>
          <w:rFonts w:hint="default" w:ascii="Times New Roman" w:hAnsi="Times New Roman" w:cs="Times New Roman"/>
          <w:bCs/>
          <w:i w:val="0"/>
          <w:iCs w:val="0"/>
          <w:color w:val="auto"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bCs/>
          <w:i w:val="0"/>
          <w:iCs w:val="0"/>
          <w:color w:val="auto"/>
          <w:sz w:val="24"/>
          <w:szCs w:val="24"/>
          <w:lang w:val="en-US" w:eastAsia="zh-CN"/>
        </w:rPr>
        <w:t xml:space="preserve"> (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</w:rPr>
        <w:t>Li Zhang</w:t>
      </w:r>
      <w:r>
        <w:rPr>
          <w:rFonts w:hint="default" w:ascii="Times New Roman" w:hAnsi="Times New Roman" w:cs="Times New Roman"/>
          <w:bCs/>
          <w:i w:val="0"/>
          <w:iCs w:val="0"/>
          <w:color w:val="auto"/>
          <w:sz w:val="24"/>
          <w:szCs w:val="24"/>
          <w:lang w:val="en-US" w:eastAsia="zh-CN"/>
        </w:rPr>
        <w:t>).</w:t>
      </w:r>
    </w:p>
    <w:p w14:paraId="2C3910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Cs/>
          <w:color w:val="auto"/>
          <w:sz w:val="24"/>
          <w:szCs w:val="24"/>
          <w:vertAlign w:val="superscript"/>
          <w:lang w:val="en-US" w:eastAsia="zh-CN"/>
        </w:rPr>
        <w:t>†</w:t>
      </w:r>
      <w:r>
        <w:rPr>
          <w:rFonts w:hint="eastAsia" w:ascii="Times New Roman" w:hAnsi="Times New Roman" w:cs="Times New Roman"/>
          <w:bCs/>
          <w:color w:val="auto"/>
          <w:sz w:val="24"/>
          <w:szCs w:val="24"/>
          <w:vertAlign w:val="superscript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color w:val="auto"/>
          <w:sz w:val="24"/>
          <w:szCs w:val="24"/>
        </w:rPr>
        <w:t>These authors contributed equally to this work.</w:t>
      </w:r>
    </w:p>
    <w:p w14:paraId="75C2EA7A">
      <w:pPr>
        <w:rPr>
          <w:rFonts w:hint="default" w:ascii="Times New Roman" w:hAnsi="Times New Roman" w:eastAsia="楷体_GB2312" w:cs="Times New Roman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28"/>
          <w:szCs w:val="28"/>
          <w:lang w:val="en-US" w:eastAsia="zh-CN"/>
        </w:rPr>
        <w:br w:type="page"/>
      </w:r>
    </w:p>
    <w:p w14:paraId="55047646">
      <w:pPr>
        <w:numPr>
          <w:ilvl w:val="0"/>
          <w:numId w:val="0"/>
        </w:numPr>
        <w:jc w:val="both"/>
        <w:rPr>
          <w:rFonts w:hint="default" w:ascii="Times New Roman" w:hAnsi="Times New Roman" w:eastAsia="楷体_GB2312" w:cs="Times New Roman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28"/>
          <w:szCs w:val="28"/>
          <w:lang w:val="en-US" w:eastAsia="zh-CN"/>
        </w:rPr>
        <w:t>Supplementary Methods</w:t>
      </w:r>
    </w:p>
    <w:p w14:paraId="06263589">
      <w:pPr>
        <w:spacing w:line="360" w:lineRule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Ion release profiles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PFCB was dispersed in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hosphate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uffer solutions at pH 5.5, 6.5, and 7.4, respectively, and incubated at 37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°C with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gentle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shaking. At predetermined time points of 6 h, 12 h, and 24 h, the suspension was collected and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centrifuged at 12,000 rpm for 5 min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. The supernatant was subsequently analyzed by ICP-MS to quantify the released Fe and Ca ions.</w:t>
      </w:r>
    </w:p>
    <w:p w14:paraId="0286E4F3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楷体_GB2312" w:cs="Times New Roman"/>
          <w:b/>
          <w:bCs/>
          <w:color w:val="auto"/>
          <w:sz w:val="24"/>
          <w:szCs w:val="24"/>
          <w:lang w:val="en-US" w:eastAsia="zh-CN"/>
        </w:rPr>
      </w:pPr>
    </w:p>
    <w:p w14:paraId="752B316A">
      <w:pPr>
        <w:numPr>
          <w:ilvl w:val="1"/>
          <w:numId w:val="0"/>
        </w:numPr>
        <w:spacing w:line="360" w:lineRule="auto"/>
        <w:ind w:left="0" w:leftChars="0" w:firstLine="0" w:firstLineChars="0"/>
        <w:jc w:val="both"/>
        <w:rPr>
          <w:rFonts w:hint="eastAsia" w:ascii="Times New Roman" w:hAnsi="Times New Roman" w:cs="Times New Roman"/>
          <w:b/>
          <w:bCs/>
          <w:i w:val="0"/>
          <w:iCs w:val="0"/>
          <w:color w:val="auto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color w:val="auto"/>
          <w:sz w:val="24"/>
          <w:szCs w:val="24"/>
          <w:highlight w:val="none"/>
        </w:rPr>
        <w:t>Lysosomes disruption assay</w:t>
      </w:r>
    </w:p>
    <w:p w14:paraId="6C902634">
      <w:pPr>
        <w:spacing w:line="360" w:lineRule="auto"/>
        <w:jc w:val="both"/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kern w:val="0"/>
          <w:sz w:val="24"/>
          <w:szCs w:val="24"/>
        </w:rPr>
        <w:t>Lysosom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kern w:val="0"/>
          <w:sz w:val="24"/>
          <w:szCs w:val="24"/>
          <w:lang w:val="en-US" w:eastAsia="zh-CN"/>
        </w:rPr>
        <w:t>es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kern w:val="0"/>
          <w:sz w:val="24"/>
          <w:szCs w:val="24"/>
        </w:rPr>
        <w:t xml:space="preserve"> disruption was assessed using acridine orange (AO) staining.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eastAsia="zh-CN"/>
          <w14:ligatures w14:val="standardContextual"/>
        </w:rPr>
        <w:t xml:space="preserve">Following seeding onto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  <w:t>24-well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eastAsia="zh-CN"/>
          <w14:ligatures w14:val="standardContextual"/>
        </w:rPr>
        <w:t xml:space="preserve"> plates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  <w:t xml:space="preserve"> (1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eastAsia="zh-CN"/>
          <w14:ligatures w14:val="standardContextual"/>
        </w:rPr>
        <w:t xml:space="preserve"> × 10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vertAlign w:val="superscript"/>
          <w:lang w:val="en-US" w:eastAsia="zh-CN"/>
          <w14:ligatures w14:val="standardContextual"/>
        </w:rPr>
        <w:t>5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eastAsia="zh-CN"/>
          <w14:ligatures w14:val="standardContextual"/>
        </w:rPr>
        <w:t xml:space="preserve"> cells per well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  <w:t>)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eastAsia="zh-CN"/>
          <w14:ligatures w14:val="standardContextual"/>
        </w:rPr>
        <w:t xml:space="preserve">, PC-3 cells were incubated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  <w:t>overnight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eastAsia="zh-CN"/>
          <w14:ligatures w14:val="standardContextual"/>
        </w:rPr>
        <w:t>.</w:t>
      </w: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Afterward, cells were treated with Fe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vertAlign w:val="subscript"/>
          <w:lang w:val="en-US" w:eastAsia="zh-CN"/>
        </w:rPr>
        <w:t>3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O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vertAlign w:val="subscript"/>
          <w:lang w:val="en-US" w:eastAsia="zh-CN"/>
        </w:rPr>
        <w:t>4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, FC, FCB, or PFCB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eastAsia="zh-CN"/>
        </w:rPr>
        <w:t>at equivalent concentrations (Fe: 25 μg/mL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)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for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24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h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eastAsia="zh-CN"/>
        </w:rPr>
        <w:t>.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PC-3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 xml:space="preserve"> cells were 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then 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 xml:space="preserve">washed 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twice with PBS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and 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>incubated with</w:t>
      </w: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 xml:space="preserve"> AO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(5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eastAsia="zh-CN"/>
        </w:rPr>
        <w:t>μ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M) </w:t>
      </w: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>for 20 min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in dark.</w:t>
      </w: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>After incubation, the cells were washed twice with PBS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followed by 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 xml:space="preserve">fresh PBS 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supplement.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 xml:space="preserve">The images were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documented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by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 xml:space="preserve">using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the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fluorescence microscope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(IX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73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, Olympus, Japan).</w:t>
      </w:r>
    </w:p>
    <w:p w14:paraId="7F413DED">
      <w:pPr>
        <w:spacing w:line="360" w:lineRule="auto"/>
        <w:jc w:val="both"/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pPr>
    </w:p>
    <w:p w14:paraId="2AC85281">
      <w:pPr>
        <w:spacing w:line="360" w:lineRule="auto"/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Survival analysis in</w:t>
      </w: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tumor-bearing mice</w:t>
      </w:r>
    </w:p>
    <w:p w14:paraId="56091853">
      <w:pPr>
        <w:spacing w:line="360" w:lineRule="auto"/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>To establish the murine prostate cancer model, 8 × 10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vertAlign w:val="superscript"/>
          <w:lang w:val="en-US" w:eastAsia="zh-CN" w:bidi="ar"/>
          <w14:ligatures w14:val="standardContextual"/>
        </w:rPr>
        <w:t xml:space="preserve">5 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>RM-1 cells resuspended in 100 μL sterile PBS were subcutaneously injected into the right flank of each male C57BL/6J mouse. When the tumor volume reached approximately 200 mm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vertAlign w:val="superscript"/>
          <w:lang w:val="en-US" w:eastAsia="zh-CN" w:bidi="ar"/>
          <w14:ligatures w14:val="standardContextual"/>
        </w:rPr>
        <w:t>3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 xml:space="preserve">, the mice were randomly divided into five groups and intravenously injected with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normal 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>saline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(NS) or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 xml:space="preserve"> Fe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vertAlign w:val="subscript"/>
          <w:lang w:val="en-US" w:eastAsia="zh-CN" w:bidi="ar"/>
          <w14:ligatures w14:val="standardContextual"/>
        </w:rPr>
        <w:t>3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>O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vertAlign w:val="subscript"/>
          <w:lang w:val="en-US" w:eastAsia="zh-CN" w:bidi="ar"/>
          <w14:ligatures w14:val="standardContextual"/>
        </w:rPr>
        <w:t>4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 xml:space="preserve">, FC, FCB,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and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 xml:space="preserve"> PFCB at equivalent ion concentration (Fe: 10 mg/kg)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, respectively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 xml:space="preserve">. The treatments were administered every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2 days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 xml:space="preserve"> for a total of four injections. After the fourth injection on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D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 xml:space="preserve">ay 6,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each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 xml:space="preserve"> administration was discontinued, and tumor volumes were continuously measured every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2 days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until D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>ay 20. Tumor length and width were measured using precision digital calipers, and tumor volume was calculated according to the formula: volume = 0.5 × length × width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vertAlign w:val="superscript"/>
          <w:lang w:val="en-US" w:eastAsia="zh-CN" w:bidi="ar"/>
          <w14:ligatures w14:val="standardContextual"/>
        </w:rPr>
        <w:t>2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 xml:space="preserve">. For survival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rate 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>analysis, mice were continuously monitored after treatment. When the tumor volume reached 1500 mm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vertAlign w:val="superscript"/>
          <w:lang w:val="en-US" w:eastAsia="zh-CN" w:bidi="ar"/>
          <w14:ligatures w14:val="standardContextual"/>
        </w:rPr>
        <w:t>3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>, the mouse was considered to have reached the humane endpoint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 xml:space="preserve">and humane euthanasia was performed.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The 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 xml:space="preserve">survival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rate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>s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of mice were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 xml:space="preserve"> recorded until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D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>ay 20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, starting from 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>the first treatment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at Day 0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>.</w:t>
      </w:r>
    </w:p>
    <w:p w14:paraId="3C67FA65">
      <w:pPr>
        <w:spacing w:line="360" w:lineRule="auto"/>
        <w:jc w:val="both"/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pPr>
    </w:p>
    <w:p w14:paraId="776A2843">
      <w:pPr>
        <w:widowControl w:val="0"/>
        <w:numPr>
          <w:ilvl w:val="0"/>
          <w:numId w:val="0"/>
        </w:numPr>
        <w:jc w:val="both"/>
        <w:rPr>
          <w:rFonts w:hint="eastAsia" w:ascii="Times New Roman" w:hAnsi="Times New Roman" w:eastAsia="楷体_GB2312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_GB2312" w:cs="Times New Roman"/>
          <w:b/>
          <w:bCs/>
          <w:color w:val="auto"/>
          <w:sz w:val="24"/>
          <w:szCs w:val="24"/>
          <w:lang w:val="en-US" w:eastAsia="zh-CN"/>
        </w:rPr>
        <w:t>Hemolysis assay</w:t>
      </w:r>
    </w:p>
    <w:p w14:paraId="042303A9">
      <w:pPr>
        <w:spacing w:line="360" w:lineRule="auto"/>
        <w:jc w:val="both"/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eastAsia="zh-CN" w:bidi="ar"/>
          <w14:ligatures w14:val="standardContextual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Hemolytic activit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y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 of </w:t>
      </w:r>
      <w:bookmarkStart w:id="0" w:name="_Hlk208992353"/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eastAsia="zh-CN"/>
        </w:rPr>
        <w:t>PFCB</w:t>
      </w:r>
      <w:bookmarkEnd w:id="0"/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was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 evaluated by monitoring the hemoglobin release from m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>ouse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 red blood cells (RBCs). RBCs isolated from 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  <w14:ligatures w14:val="standardContextual"/>
        </w:rPr>
        <w:t>C57BL/6J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mice were diluted with PBS to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form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 a suspension. Various doses of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eastAsia="zh-CN"/>
        </w:rPr>
        <w:t>PFCB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, 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dispersed in PBS,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were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 added to the RBC suspension to achieve the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predetermined 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concentrations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 xml:space="preserve"> (Fe: 6.25, 12.5, 25, 50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μ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>g/mL)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. Following a 6-hour incubation at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  <w:t>room temperature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, the samples were centrifuged at 12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,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000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×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g for 5 min. PBS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and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14:ligatures w14:val="standardContextual"/>
        </w:rPr>
        <w:t>deionized water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 were used as negative and positive controls, respectively. The optical density (OD) of the supernatants 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eastAsia="zh-CN" w:bidi="ar"/>
          <w14:ligatures w14:val="standardContextual"/>
        </w:rPr>
        <w:t xml:space="preserve">was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measure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eastAsia="zh-CN" w:bidi="ar"/>
          <w14:ligatures w14:val="standardContextual"/>
        </w:rPr>
        <w:t>d at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 545 nm 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eastAsia="zh-CN" w:bidi="ar"/>
          <w14:ligatures w14:val="standardContextual"/>
        </w:rPr>
        <w:t xml:space="preserve">by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using the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eastAsia="zh-CN" w:bidi="ar"/>
          <w14:ligatures w14:val="standardContextual"/>
        </w:rPr>
        <w:t xml:space="preserve"> microplate reader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</w:t>
      </w:r>
      <w:r>
        <w:rPr>
          <w:rFonts w:ascii="Times New Roman" w:hAnsi="Times New Roman" w:cs="Times New Roman"/>
          <w:color w:val="auto"/>
          <w:sz w:val="24"/>
        </w:rPr>
        <w:t>(Infinite M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 Nano</w:t>
      </w:r>
      <w:r>
        <w:rPr>
          <w:rFonts w:ascii="Times New Roman" w:hAnsi="Times New Roman" w:cs="Times New Roman"/>
          <w:color w:val="auto"/>
          <w:sz w:val="24"/>
        </w:rPr>
        <w:t>, Tecan, Switzerland)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eastAsia="zh-CN" w:bidi="ar"/>
          <w14:ligatures w14:val="standardContextual"/>
        </w:rPr>
        <w:t>.</w:t>
      </w:r>
    </w:p>
    <w:p w14:paraId="62EC5BAB">
      <w:pPr>
        <w:spacing w:line="360" w:lineRule="auto"/>
        <w:jc w:val="both"/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eastAsia="zh-CN" w:bidi="ar"/>
          <w14:ligatures w14:val="standardContextual"/>
        </w:rPr>
      </w:pPr>
    </w:p>
    <w:p w14:paraId="44B2AF7C">
      <w:pPr>
        <w:spacing w:line="360" w:lineRule="auto"/>
        <w:jc w:val="both"/>
        <w:rPr>
          <w:rFonts w:hint="default" w:ascii="Times New Roman" w:hAnsi="Times New Roman" w:eastAsia="楷体_GB2312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24"/>
          <w:szCs w:val="24"/>
          <w:lang w:val="en-US" w:eastAsia="zh-CN"/>
        </w:rPr>
        <w:t>In vivo bio</w:t>
      </w:r>
      <w:r>
        <w:rPr>
          <w:rFonts w:hint="eastAsia" w:ascii="Times New Roman" w:hAnsi="Times New Roman" w:eastAsia="楷体_GB2312" w:cs="Times New Roman"/>
          <w:b/>
          <w:bCs/>
          <w:color w:val="auto"/>
          <w:sz w:val="24"/>
          <w:szCs w:val="24"/>
          <w:lang w:val="en-US" w:eastAsia="zh-CN"/>
        </w:rPr>
        <w:t>compatibility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24"/>
          <w:szCs w:val="24"/>
          <w:lang w:val="en-US" w:eastAsia="zh-CN"/>
        </w:rPr>
        <w:t xml:space="preserve"> evaluation</w:t>
      </w:r>
    </w:p>
    <w:p w14:paraId="0B1C57C2">
      <w:pPr>
        <w:spacing w:line="360" w:lineRule="auto"/>
        <w:jc w:val="both"/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  <w:t>B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  <w:t>iochemical markers that serve as indicators of hepatic and renal function underwent quantitative analys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  <w:t>e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  <w:t xml:space="preserve">s utilizing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  <w:t>the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  <w:t xml:space="preserve"> automated biochemical analyzer (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  <w:t>Chemray 420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  <w:t xml:space="preserve">, Rayto Life,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  <w:t>China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  <w:t xml:space="preserve">). Once major organ specimens had been harvested from the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  <w:t xml:space="preserve">mice received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  <w:t>corresponding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  <w:t>treat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  <w:t>ments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  <w:t xml:space="preserve">, they were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  <w:t xml:space="preserve">immediately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  <w:t xml:space="preserve">subjected to a standardized histological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  <w:t>workflow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  <w:t xml:space="preserve">. For the purpose of histopathological evaluation, these as-prepared tissue sections were examined with a digital slide scanning system (KF-PRO-005-EX, Konfoong,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  <w:t>China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  <w:t>).</w:t>
      </w:r>
    </w:p>
    <w:p w14:paraId="024903FD">
      <w:pPr>
        <w:spacing w:line="360" w:lineRule="auto"/>
        <w:jc w:val="both"/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  <w14:ligatures w14:val="standardContextual"/>
        </w:rPr>
      </w:pPr>
    </w:p>
    <w:p w14:paraId="2E0E1483">
      <w:pPr>
        <w:numPr>
          <w:ilvl w:val="0"/>
          <w:numId w:val="0"/>
        </w:numPr>
        <w:jc w:val="both"/>
        <w:rPr>
          <w:rFonts w:hint="eastAsia" w:ascii="Times New Roman" w:hAnsi="Times New Roman" w:eastAsia="楷体_GB2312" w:cs="Times New Roman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28"/>
          <w:szCs w:val="28"/>
          <w:lang w:val="en-GB" w:eastAsia="zh-CN"/>
        </w:rPr>
        <w:t>Supplemental Table</w:t>
      </w:r>
    </w:p>
    <w:p w14:paraId="037EA4E5">
      <w:pPr>
        <w:numPr>
          <w:ilvl w:val="0"/>
          <w:numId w:val="0"/>
        </w:numPr>
        <w:spacing w:line="360" w:lineRule="auto"/>
        <w:jc w:val="both"/>
        <w:rPr>
          <w:rFonts w:ascii="Times New Roman" w:hAnsi="Times New Roman"/>
          <w:bCs/>
          <w:color w:val="auto"/>
          <w:sz w:val="24"/>
        </w:rPr>
      </w:pPr>
      <w:r>
        <w:rPr>
          <w:rFonts w:ascii="Times New Roman" w:hAnsi="Times New Roman" w:eastAsia="Times New Roman Bold" w:cs="Times New Roman"/>
          <w:b/>
          <w:bCs/>
          <w:i w:val="0"/>
          <w:iCs w:val="0"/>
          <w:color w:val="auto"/>
          <w:kern w:val="0"/>
          <w:sz w:val="24"/>
          <w:lang w:bidi="ar"/>
        </w:rPr>
        <w:t>Table S1</w:t>
      </w:r>
      <w:r>
        <w:rPr>
          <w:rFonts w:ascii="Times New Roman" w:hAnsi="Times New Roman" w:eastAsia="Times New Roman Bold" w:cs="Times New Roman"/>
          <w:b w:val="0"/>
          <w:bCs w:val="0"/>
          <w:i/>
          <w:iCs/>
          <w:color w:val="auto"/>
          <w:kern w:val="0"/>
          <w:sz w:val="24"/>
          <w:lang w:bidi="ar"/>
        </w:rPr>
        <w:t>.</w:t>
      </w:r>
      <w:r>
        <w:rPr>
          <w:rFonts w:ascii="Times New Roman" w:hAnsi="Times New Roman" w:eastAsia="Times New Roman Bold" w:cs="Times New Roman"/>
          <w:b/>
          <w:bCs/>
          <w:color w:val="auto"/>
          <w:kern w:val="0"/>
          <w:sz w:val="24"/>
          <w:lang w:bidi="ar"/>
        </w:rPr>
        <w:t xml:space="preserve"> </w:t>
      </w:r>
      <w:r>
        <w:rPr>
          <w:rFonts w:ascii="Times New Roman" w:hAnsi="Times New Roman" w:eastAsia="宋体" w:cs="Times New Roman"/>
          <w:color w:val="auto"/>
          <w:kern w:val="0"/>
          <w:sz w:val="24"/>
          <w:lang w:bidi="ar"/>
        </w:rPr>
        <w:t>The main materials and agents used in the experi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lang w:bidi="ar"/>
        </w:rPr>
        <w:t>m</w:t>
      </w:r>
      <w:r>
        <w:rPr>
          <w:rFonts w:ascii="Times New Roman" w:hAnsi="Times New Roman" w:eastAsia="宋体" w:cs="Times New Roman"/>
          <w:color w:val="auto"/>
          <w:kern w:val="0"/>
          <w:sz w:val="24"/>
          <w:lang w:bidi="ar"/>
        </w:rPr>
        <w:t>ents.</w:t>
      </w:r>
    </w:p>
    <w:tbl>
      <w:tblPr>
        <w:tblStyle w:val="2"/>
        <w:tblW w:w="8751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9"/>
        <w:gridCol w:w="2050"/>
        <w:gridCol w:w="2292"/>
      </w:tblGrid>
      <w:tr w14:paraId="2AB15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40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4D1705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/>
                <w:bCs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/>
                <w:bCs/>
                <w:i w:val="0"/>
                <w:color w:val="auto"/>
                <w:kern w:val="0"/>
                <w:sz w:val="24"/>
                <w:lang w:bidi="ar"/>
              </w:rPr>
              <w:t>Materials</w:t>
            </w:r>
          </w:p>
        </w:tc>
        <w:tc>
          <w:tcPr>
            <w:tcW w:w="20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1CFF90C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/>
                <w:bCs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/>
                <w:bCs/>
                <w:i w:val="0"/>
                <w:color w:val="auto"/>
                <w:kern w:val="0"/>
                <w:sz w:val="24"/>
                <w:lang w:bidi="ar"/>
              </w:rPr>
              <w:t>Catalog number</w:t>
            </w:r>
          </w:p>
        </w:tc>
        <w:tc>
          <w:tcPr>
            <w:tcW w:w="22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2921EB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/>
                <w:bCs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/>
                <w:bCs/>
                <w:i w:val="0"/>
                <w:color w:val="auto"/>
                <w:kern w:val="0"/>
                <w:sz w:val="24"/>
                <w:lang w:bidi="ar"/>
              </w:rPr>
              <w:t>Company</w:t>
            </w:r>
          </w:p>
        </w:tc>
      </w:tr>
      <w:tr w14:paraId="1EC5D1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9AFFC6">
            <w:pPr>
              <w:widowControl/>
              <w:spacing w:line="360" w:lineRule="auto"/>
              <w:jc w:val="center"/>
              <w:textAlignment w:val="center"/>
              <w:rPr>
                <w:rStyle w:val="4"/>
                <w:rFonts w:ascii="Times New Roman" w:hAnsi="Times New Roman" w:eastAsia="宋体"/>
                <w:b w:val="0"/>
                <w:i w:val="0"/>
                <w:color w:val="auto"/>
                <w:lang w:bidi="ar"/>
              </w:rPr>
            </w:pPr>
            <w:r>
              <w:rPr>
                <w:rStyle w:val="4"/>
                <w:rFonts w:hint="eastAsia" w:ascii="Times New Roman" w:hAnsi="Times New Roman" w:eastAsia="宋体"/>
                <w:b w:val="0"/>
                <w:i w:val="0"/>
                <w:color w:val="auto"/>
                <w:lang w:bidi="ar"/>
              </w:rPr>
              <w:t>Ferric</w:t>
            </w:r>
            <w:r>
              <w:rPr>
                <w:rStyle w:val="4"/>
                <w:rFonts w:hint="eastAsia" w:ascii="Times New Roman" w:hAnsi="Times New Roman" w:eastAsia="宋体"/>
                <w:b w:val="0"/>
                <w:i w:val="0"/>
                <w:color w:val="auto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Times New Roman" w:hAnsi="Times New Roman" w:eastAsia="宋体"/>
                <w:b w:val="0"/>
                <w:i w:val="0"/>
                <w:color w:val="auto"/>
                <w:lang w:bidi="ar"/>
              </w:rPr>
              <w:t>acetylacetonate</w:t>
            </w:r>
          </w:p>
        </w:tc>
        <w:tc>
          <w:tcPr>
            <w:tcW w:w="20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53552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>14024-18-1</w:t>
            </w:r>
          </w:p>
        </w:tc>
        <w:tc>
          <w:tcPr>
            <w:tcW w:w="22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F592C1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Chemical Book</w:t>
            </w:r>
          </w:p>
          <w:p w14:paraId="350BBFB2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eastAsia="zh-CN"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Wuhan,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China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)</w:t>
            </w:r>
          </w:p>
        </w:tc>
      </w:tr>
      <w:tr w14:paraId="181DB5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25FE352E">
            <w:pPr>
              <w:widowControl/>
              <w:spacing w:line="360" w:lineRule="auto"/>
              <w:jc w:val="center"/>
              <w:textAlignment w:val="center"/>
              <w:rPr>
                <w:rStyle w:val="4"/>
                <w:rFonts w:ascii="Times New Roman" w:hAnsi="Times New Roman" w:eastAsia="宋体"/>
                <w:b w:val="0"/>
                <w:i w:val="0"/>
                <w:color w:val="auto"/>
                <w:lang w:bidi="ar"/>
              </w:rPr>
            </w:pPr>
            <w:r>
              <w:rPr>
                <w:rStyle w:val="4"/>
                <w:rFonts w:hint="eastAsia" w:ascii="Times New Roman" w:hAnsi="Times New Roman" w:eastAsia="宋体"/>
                <w:b w:val="0"/>
                <w:i w:val="0"/>
                <w:color w:val="auto"/>
                <w:lang w:bidi="ar"/>
              </w:rPr>
              <w:t xml:space="preserve">Ethylene </w:t>
            </w:r>
            <w:r>
              <w:rPr>
                <w:rStyle w:val="4"/>
                <w:rFonts w:hint="eastAsia" w:ascii="Times New Roman" w:hAnsi="Times New Roman" w:eastAsia="宋体"/>
                <w:b w:val="0"/>
                <w:i w:val="0"/>
                <w:color w:val="auto"/>
                <w:lang w:val="en-US" w:eastAsia="zh-CN" w:bidi="ar"/>
              </w:rPr>
              <w:t>g</w:t>
            </w:r>
            <w:r>
              <w:rPr>
                <w:rStyle w:val="4"/>
                <w:rFonts w:hint="eastAsia" w:ascii="Times New Roman" w:hAnsi="Times New Roman" w:eastAsia="宋体"/>
                <w:b w:val="0"/>
                <w:i w:val="0"/>
                <w:color w:val="auto"/>
                <w:lang w:bidi="ar"/>
              </w:rPr>
              <w:t>lycol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244AEF5E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ZY131118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65879AB7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ZYBio</w:t>
            </w:r>
          </w:p>
          <w:p w14:paraId="132BF333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eastAsia="zh-CN"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Shanghai,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China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)</w:t>
            </w:r>
          </w:p>
        </w:tc>
      </w:tr>
      <w:tr w14:paraId="657A6F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CAF41C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auto"/>
                <w:sz w:val="24"/>
              </w:rPr>
              <w:t>Diethylene glycol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03A2B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D110833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C988F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Aladdin</w:t>
            </w:r>
          </w:p>
          <w:p w14:paraId="2990AA8B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eastAsia="zh-CN"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Shanghai,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China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)</w:t>
            </w:r>
          </w:p>
        </w:tc>
      </w:tr>
      <w:tr w14:paraId="5FCAF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251C97AC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auto"/>
                <w:sz w:val="24"/>
                <w:lang w:val="en-US" w:eastAsia="zh-CN"/>
              </w:rPr>
              <w:t>S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auto"/>
                <w:sz w:val="24"/>
              </w:rPr>
              <w:t>odium acrylate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54F3734E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S742463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558B65BD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eastAsia="zh-CN"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M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>acklin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br w:type="textWrapping"/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Shanghai,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China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)</w:t>
            </w:r>
          </w:p>
        </w:tc>
      </w:tr>
      <w:tr w14:paraId="09EAA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605DFB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A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>nhydrous ethanol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021DDA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 xml:space="preserve">E708068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4032D4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M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>acklin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br w:type="textWrapping"/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Shanghai,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China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)</w:t>
            </w:r>
          </w:p>
        </w:tc>
      </w:tr>
      <w:tr w14:paraId="5C883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564044B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H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vertAlign w:val="subscript"/>
              </w:rPr>
              <w:t>2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O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vertAlign w:val="subscript"/>
              </w:rPr>
              <w:t>2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7A9848A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color w:val="auto"/>
                <w:sz w:val="24"/>
              </w:rPr>
              <w:t>H112519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3F288018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Aladdin</w:t>
            </w:r>
          </w:p>
          <w:p w14:paraId="0FC6E693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Shanghai,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China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)</w:t>
            </w:r>
          </w:p>
        </w:tc>
      </w:tr>
      <w:tr w14:paraId="0B802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94848F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Glacial acetic acid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CB52F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A433222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8EBD17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Aladdin</w:t>
            </w:r>
          </w:p>
          <w:p w14:paraId="0E59D1BB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eastAsia="zh-CN"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Shanghai,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China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)</w:t>
            </w:r>
          </w:p>
        </w:tc>
      </w:tr>
      <w:tr w14:paraId="4F877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0D00B83E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Sodium acetate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256199E8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S431676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0B8AABF6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Aladdin</w:t>
            </w:r>
          </w:p>
          <w:p w14:paraId="4A6FA7A8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eastAsia="zh-CN"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Shanghai,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China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)</w:t>
            </w:r>
          </w:p>
        </w:tc>
      </w:tr>
      <w:tr w14:paraId="68DE6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5D398225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olor w:val="auto"/>
                <w:sz w:val="24"/>
              </w:rPr>
              <w:t>Methanol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7125A370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/>
              </w:rPr>
              <w:t>67-56-1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079A219F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YongDa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(Tianjin, China)</w:t>
            </w:r>
          </w:p>
        </w:tc>
      </w:tr>
      <w:tr w14:paraId="1CA38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2FB1642A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olor w:val="auto"/>
                <w:sz w:val="24"/>
              </w:rPr>
              <w:t>Trichloromethane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78DE28F7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67-66-3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2E1D85DE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ZhanYun</w:t>
            </w:r>
          </w:p>
          <w:p w14:paraId="09470E6A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(Wuxi, China)</w:t>
            </w:r>
          </w:p>
        </w:tc>
      </w:tr>
      <w:tr w14:paraId="6CF33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A6E2C6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olor w:val="auto"/>
                <w:sz w:val="24"/>
              </w:rPr>
              <w:t>Calcium chloride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BE47A1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color w:val="auto"/>
                <w:sz w:val="24"/>
              </w:rPr>
              <w:t>C805225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7F1ED5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Arial"/>
                <w:color w:val="auto"/>
                <w:kern w:val="0"/>
                <w:sz w:val="24"/>
                <w:lang w:bidi="ar"/>
              </w:rPr>
              <w:t>Macklin</w:t>
            </w:r>
          </w:p>
          <w:p w14:paraId="7E04F6DC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Arial"/>
                <w:color w:val="auto"/>
                <w:kern w:val="0"/>
                <w:sz w:val="24"/>
                <w:lang w:bidi="ar"/>
              </w:rPr>
              <w:t>(Shanghai, China)</w:t>
            </w:r>
          </w:p>
        </w:tc>
      </w:tr>
      <w:tr w14:paraId="5A1C1B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C86A3C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PEG 200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8E6A8B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color w:val="auto"/>
                <w:sz w:val="24"/>
              </w:rPr>
              <w:t>P3015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FA01AB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SigmaAldrich</w:t>
            </w:r>
          </w:p>
          <w:p w14:paraId="6EFB2513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(Shanghai, China)</w:t>
            </w:r>
          </w:p>
        </w:tc>
      </w:tr>
      <w:tr w14:paraId="35254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D03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Style w:val="4"/>
                <w:rFonts w:ascii="Times New Roman" w:hAnsi="Times New Roman" w:eastAsia="宋体"/>
                <w:color w:val="auto"/>
                <w:lang w:val="en-US" w:eastAsia="zh-CN" w:bidi="ar"/>
              </w:rPr>
              <w:t>DSPE-PEG-NH</w:t>
            </w:r>
            <w:r>
              <w:rPr>
                <w:rStyle w:val="5"/>
                <w:rFonts w:ascii="Times New Roman" w:hAnsi="Times New Roman" w:eastAsia="宋体"/>
                <w:color w:val="auto"/>
                <w:lang w:val="en-US" w:eastAsia="zh-CN" w:bidi="ar"/>
              </w:rPr>
              <w:t>2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BC1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Arial"/>
                <w:color w:val="auto"/>
                <w:sz w:val="24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608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Macklin </w:t>
            </w:r>
            <w:r>
              <w:rPr>
                <w:rFonts w:hint="default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(Shanghai, China)</w:t>
            </w:r>
          </w:p>
        </w:tc>
      </w:tr>
      <w:tr w14:paraId="46618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782E29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Ammonia water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F6AF92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color w:val="auto"/>
                <w:sz w:val="24"/>
              </w:rPr>
              <w:t>A291779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9F00C0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Aladdin</w:t>
            </w:r>
          </w:p>
          <w:p w14:paraId="2A0B31DC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Shanghai,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China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)</w:t>
            </w:r>
          </w:p>
        </w:tc>
      </w:tr>
      <w:tr w14:paraId="3B3E07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7F5581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BzATP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035CDA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Arial"/>
                <w:color w:val="auto"/>
                <w:sz w:val="24"/>
                <w:lang w:val="en-US"/>
              </w:rPr>
            </w:pPr>
            <w:r>
              <w:rPr>
                <w:rFonts w:hint="default" w:ascii="Times New Roman" w:hAnsi="Times New Roman" w:eastAsia="宋体" w:cs="Arial"/>
                <w:color w:val="auto"/>
                <w:sz w:val="24"/>
              </w:rPr>
              <w:t>HY-18745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743819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MedChemExpress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Shanghai,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China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)</w:t>
            </w:r>
          </w:p>
        </w:tc>
      </w:tr>
      <w:tr w14:paraId="4D42BB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43949C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TMB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7818D3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T100416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F6BC0A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Aladdin</w:t>
            </w:r>
          </w:p>
          <w:p w14:paraId="71182983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eastAsia="zh-CN"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Shanghai,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China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)</w:t>
            </w:r>
          </w:p>
        </w:tc>
      </w:tr>
      <w:tr w14:paraId="380F8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753B594D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MB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55F2958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M13438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7104B98C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Aladdin</w:t>
            </w:r>
          </w:p>
          <w:p w14:paraId="1829384A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Shanghai,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China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)</w:t>
            </w:r>
          </w:p>
        </w:tc>
      </w:tr>
      <w:tr w14:paraId="7EF3B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CB63A4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Style w:val="4"/>
                <w:rFonts w:hint="eastAsia" w:ascii="Times New Roman" w:hAnsi="Times New Roman" w:eastAsia="宋体"/>
                <w:b w:val="0"/>
                <w:i w:val="0"/>
                <w:color w:val="auto"/>
                <w:lang w:bidi="ar"/>
              </w:rPr>
              <w:t>PC</w:t>
            </w:r>
            <w:r>
              <w:rPr>
                <w:rStyle w:val="4"/>
                <w:rFonts w:hint="eastAsia" w:ascii="Times New Roman" w:hAnsi="Times New Roman" w:eastAsia="宋体"/>
                <w:b w:val="0"/>
                <w:i w:val="0"/>
                <w:color w:val="auto"/>
                <w:lang w:val="en-US" w:eastAsia="zh-CN" w:bidi="ar"/>
              </w:rPr>
              <w:t>-</w:t>
            </w:r>
            <w:r>
              <w:rPr>
                <w:rStyle w:val="4"/>
                <w:rFonts w:hint="eastAsia" w:ascii="Times New Roman" w:hAnsi="Times New Roman" w:eastAsia="宋体"/>
                <w:b w:val="0"/>
                <w:i w:val="0"/>
                <w:color w:val="auto"/>
                <w:lang w:bidi="ar"/>
              </w:rPr>
              <w:t xml:space="preserve">3 </w:t>
            </w: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  <w:t>cells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BA8FF4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CL-0185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314367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Pricella Biotechnology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Wuhan,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China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)</w:t>
            </w:r>
          </w:p>
        </w:tc>
      </w:tr>
      <w:tr w14:paraId="35934A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66A7CF7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F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etal bovine serum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4ED02084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C04001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4F17376C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 xml:space="preserve">VivaCell </w:t>
            </w:r>
          </w:p>
          <w:p w14:paraId="217C3894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(Shanghai, China)</w:t>
            </w:r>
          </w:p>
        </w:tc>
      </w:tr>
      <w:tr w14:paraId="1790A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9733B5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RPMI-1640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medium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A793A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A1049101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D7381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  <w14:ligatures w14:val="standardContextual"/>
              </w:rPr>
              <w:t>GlpBio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br w:type="textWrapping"/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(Gaithersburg, USA)</w:t>
            </w:r>
          </w:p>
        </w:tc>
      </w:tr>
      <w:tr w14:paraId="5DFEF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242F7BF7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>RM-1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 xml:space="preserve"> cells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4CB372B8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>CL-0198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52C5CFCF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>Pricella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 xml:space="preserve"> </w:t>
            </w:r>
          </w:p>
          <w:p w14:paraId="3B9F013A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>(Wuhan, China)</w:t>
            </w:r>
          </w:p>
        </w:tc>
      </w:tr>
      <w:tr w14:paraId="0FEBB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F69198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DMEM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medium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3C257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PM150210B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FA0106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Pricella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</w:t>
            </w:r>
          </w:p>
          <w:p w14:paraId="0C756D38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(Wuhan, China)</w:t>
            </w:r>
          </w:p>
        </w:tc>
      </w:tr>
      <w:tr w14:paraId="7F7B7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731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  <w:r>
              <w:rPr>
                <w:rFonts w:hint="default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rypsin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49D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C0203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304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Beyotime </w:t>
            </w:r>
            <w:r>
              <w:rPr>
                <w:rFonts w:hint="default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(Jiangsu, China)</w:t>
            </w:r>
          </w:p>
        </w:tc>
      </w:tr>
      <w:tr w14:paraId="3DD8A5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442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enicillin/streptomycin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725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C0222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546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Beyotime </w:t>
            </w:r>
            <w:r>
              <w:rPr>
                <w:rFonts w:hint="default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(Jiangsu, China)</w:t>
            </w:r>
          </w:p>
        </w:tc>
      </w:tr>
      <w:tr w14:paraId="72FF0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6121ABFE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MTT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63D017F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E-CK-A341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4133959A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Elabscience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br w:type="textWrapping"/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(Wuhan, China)</w:t>
            </w:r>
          </w:p>
        </w:tc>
      </w:tr>
      <w:tr w14:paraId="05093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491951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DMSO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5CFD95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>D8372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79301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Chemical Book</w:t>
            </w:r>
          </w:p>
          <w:p w14:paraId="5935EE71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(Wuhan, China)</w:t>
            </w:r>
          </w:p>
        </w:tc>
      </w:tr>
      <w:tr w14:paraId="2A4F3A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4EC1625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A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nti-GAPDH antibody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6BE7ABC7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AF7021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1FBC917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 xml:space="preserve">Affinity </w:t>
            </w:r>
          </w:p>
          <w:p w14:paraId="31B5E64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(Jiangsu,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China)</w:t>
            </w:r>
          </w:p>
        </w:tc>
      </w:tr>
      <w:tr w14:paraId="4AC98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41CBF786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A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nti-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β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-actin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 xml:space="preserve"> antibody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3B2982D4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20536-1-AP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5714C79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Proteintech</w:t>
            </w:r>
          </w:p>
          <w:p w14:paraId="67854533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(Wuhan,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China)</w:t>
            </w:r>
          </w:p>
        </w:tc>
      </w:tr>
      <w:tr w14:paraId="13B75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60CCD3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nti-GPX4 antibody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643FC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ab125066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9053D6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Abcam</w:t>
            </w:r>
          </w:p>
          <w:p w14:paraId="0F9F3094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i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(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London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 xml:space="preserve"> UK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)</w:t>
            </w:r>
          </w:p>
        </w:tc>
      </w:tr>
      <w:tr w14:paraId="4EC39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3585B4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nti-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pro-caspase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-1 antibody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8A6545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31020-1-AP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AF3E77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Proteintech</w:t>
            </w:r>
          </w:p>
          <w:p w14:paraId="1CA8BB7D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(Wuhan,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China)</w:t>
            </w:r>
          </w:p>
        </w:tc>
      </w:tr>
      <w:tr w14:paraId="44C55E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4EB2AE98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nti-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cleaved caspase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-1 antibody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338BB92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>22915-1-AP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1DFD634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Proteintech</w:t>
            </w:r>
          </w:p>
          <w:p w14:paraId="4B6F2531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(Wuhan,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China)</w:t>
            </w:r>
          </w:p>
        </w:tc>
      </w:tr>
      <w:tr w14:paraId="670208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28C427CC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nti-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pro-IL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-1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auto"/>
                <w:sz w:val="24"/>
                <w:lang w:val="en-US" w:eastAsia="zh-CN"/>
              </w:rPr>
              <w:t>β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 xml:space="preserve"> antibody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3042DA9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16806-1-AP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41AEA5B4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Proteintech</w:t>
            </w:r>
          </w:p>
          <w:p w14:paraId="29763940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(Wuhan,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China)</w:t>
            </w:r>
          </w:p>
        </w:tc>
      </w:tr>
      <w:tr w14:paraId="7CCA5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27938B30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nti-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IL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-1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auto"/>
                <w:sz w:val="24"/>
                <w:lang w:val="en-US" w:eastAsia="zh-CN"/>
              </w:rPr>
              <w:t>β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 xml:space="preserve"> antibody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6EA55014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ab254360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1ABE3513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Abcam</w:t>
            </w:r>
          </w:p>
          <w:p w14:paraId="0A9724AC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(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London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 xml:space="preserve"> UK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)</w:t>
            </w:r>
          </w:p>
        </w:tc>
      </w:tr>
      <w:tr w14:paraId="40119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AB4619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nti-GSDMD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antibody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CDC20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ER1901-37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3AF040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Huabio</w:t>
            </w:r>
          </w:p>
          <w:p w14:paraId="3EFDF14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(Wuhan,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China)</w:t>
            </w:r>
          </w:p>
        </w:tc>
      </w:tr>
      <w:tr w14:paraId="44259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744144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A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nti-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Bax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 xml:space="preserve"> antibody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C0124B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50599-2-Ig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BDBB7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Proteintech</w:t>
            </w:r>
          </w:p>
          <w:p w14:paraId="74AF7861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(Wuhan,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China)</w:t>
            </w:r>
          </w:p>
        </w:tc>
      </w:tr>
      <w:tr w14:paraId="01F43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C4A01A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A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nti-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Bcl-2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 xml:space="preserve"> antibody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69A09F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12789-1-AP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2A1AFC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Proteintech</w:t>
            </w:r>
          </w:p>
          <w:p w14:paraId="2BDC8EF9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(Wuhan,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China)</w:t>
            </w:r>
          </w:p>
        </w:tc>
      </w:tr>
      <w:tr w14:paraId="73D4BF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971FA2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A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nti-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p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ro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-caspase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-3 antibody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5CC432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AF1261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E4D446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 xml:space="preserve">Beyotime 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br w:type="textWrapping"/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(Jiangsu,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China)</w:t>
            </w:r>
          </w:p>
        </w:tc>
      </w:tr>
      <w:tr w14:paraId="69137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A3EEC6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A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nti-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c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 xml:space="preserve">leaved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caspase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-3 antibody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BF7377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AC033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4139EA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 xml:space="preserve">Beyotime 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br w:type="textWrapping"/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(Jiangsu,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China)</w:t>
            </w:r>
          </w:p>
        </w:tc>
      </w:tr>
      <w:tr w14:paraId="19807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6411B0B2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HRP-conjugated goat anti-rabbit IgG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noWrap/>
            <w:vAlign w:val="center"/>
          </w:tcPr>
          <w:p w14:paraId="15B49A2C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SA00001-2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6DE6A5B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Proteintech</w:t>
            </w:r>
          </w:p>
          <w:p w14:paraId="52A7935F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(Wuhan,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China)</w:t>
            </w:r>
          </w:p>
        </w:tc>
      </w:tr>
      <w:tr w14:paraId="53A73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D969D4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A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nti-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c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 xml:space="preserve">leaved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caspase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-3 antibody</w:t>
            </w:r>
          </w:p>
          <w:p w14:paraId="700768A7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for IHC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46CDE5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GB11532-50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769369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Servicebio</w:t>
            </w:r>
          </w:p>
          <w:p w14:paraId="027DB6F1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Wuhan,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China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)</w:t>
            </w:r>
          </w:p>
        </w:tc>
      </w:tr>
      <w:tr w14:paraId="660DB5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046A2F83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nti-GPX4 antibody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 xml:space="preserve"> </w:t>
            </w:r>
          </w:p>
          <w:p w14:paraId="522C9C5D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for IHC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noWrap/>
            <w:vAlign w:val="center"/>
          </w:tcPr>
          <w:p w14:paraId="1477866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GB115275-50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5BC7007D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Servicebio</w:t>
            </w:r>
          </w:p>
          <w:p w14:paraId="18AAFF7C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Wuhan,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China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)</w:t>
            </w:r>
          </w:p>
        </w:tc>
      </w:tr>
      <w:tr w14:paraId="06326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2D2DD1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Anti-GSDMD N-terminal antibody</w:t>
            </w:r>
          </w:p>
          <w:p w14:paraId="4439AD57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 xml:space="preserve"> for IHC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1B3A34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DF13758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BB7537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Affinity</w:t>
            </w:r>
          </w:p>
          <w:p w14:paraId="4D99AFD9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(Jiangsu,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China)</w:t>
            </w:r>
          </w:p>
        </w:tc>
      </w:tr>
      <w:tr w14:paraId="2E56B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noWrap/>
            <w:vAlign w:val="center"/>
          </w:tcPr>
          <w:p w14:paraId="36EB28FB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One-step color PAGE gel rapid preparation kit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noWrap/>
            <w:vAlign w:val="center"/>
          </w:tcPr>
          <w:p w14:paraId="768FE52B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PG214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0957A77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Epizyme</w:t>
            </w:r>
          </w:p>
          <w:p w14:paraId="02C08263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Shanghai,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China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)</w:t>
            </w:r>
          </w:p>
        </w:tc>
      </w:tr>
      <w:tr w14:paraId="7B288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noWrap/>
            <w:vAlign w:val="center"/>
          </w:tcPr>
          <w:p w14:paraId="157A6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Ultra High Sensitivity ECL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noWrap/>
            <w:vAlign w:val="center"/>
          </w:tcPr>
          <w:p w14:paraId="10B2C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GK1008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59DDE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Glp</w:t>
            </w:r>
            <w:r>
              <w:rPr>
                <w:rFonts w:hint="eastAsia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io</w:t>
            </w:r>
            <w:r>
              <w:rPr>
                <w:rFonts w:hint="default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(Montclair, USA)</w:t>
            </w:r>
          </w:p>
        </w:tc>
      </w:tr>
      <w:tr w14:paraId="57179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noWrap/>
            <w:vAlign w:val="center"/>
          </w:tcPr>
          <w:p w14:paraId="75839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BCA protein assay kit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noWrap/>
            <w:vAlign w:val="center"/>
          </w:tcPr>
          <w:p w14:paraId="2122F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C503021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6AE84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Sangon Biotech</w:t>
            </w:r>
            <w:r>
              <w:rPr>
                <w:rFonts w:hint="default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(Shanghai, China)</w:t>
            </w:r>
          </w:p>
        </w:tc>
      </w:tr>
      <w:tr w14:paraId="7EF95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3212CC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 xml:space="preserve">GSH/GSSG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 xml:space="preserve">olorimetric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 xml:space="preserve">ssay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k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it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07E4CA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>E-BC-K097-M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E0FA91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Elabscience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br w:type="textWrapping"/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(Wuhan, China)</w:t>
            </w:r>
          </w:p>
        </w:tc>
      </w:tr>
      <w:tr w14:paraId="0C650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3E8022EA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 xml:space="preserve">GPX4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a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 xml:space="preserve">ctivity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a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 xml:space="preserve">ssay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k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 xml:space="preserve">it 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noWrap/>
            <w:vAlign w:val="center"/>
          </w:tcPr>
          <w:p w14:paraId="54C837A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>E-BC-K883-M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200C2144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Elabscience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br w:type="textWrapping"/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(Wuhan, China)</w:t>
            </w:r>
          </w:p>
        </w:tc>
      </w:tr>
      <w:tr w14:paraId="2C4FE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B2679A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 xml:space="preserve">MDA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 xml:space="preserve">olorimetric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 xml:space="preserve">ssay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k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 xml:space="preserve">it 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39AAC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E-BC-K025-M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1514B1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Elabscience</w:t>
            </w:r>
          </w:p>
          <w:p w14:paraId="1ACE1E96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(Wuhan, China)</w:t>
            </w:r>
          </w:p>
        </w:tc>
      </w:tr>
      <w:tr w14:paraId="3DCAF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1A43F827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 xml:space="preserve">Acridine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o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>range hydrochloride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noWrap/>
            <w:vAlign w:val="center"/>
          </w:tcPr>
          <w:p w14:paraId="3C93C1EA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color w:val="auto"/>
                <w:sz w:val="24"/>
              </w:rPr>
              <w:t>HY-101896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5FECF106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MedChemExpress</w:t>
            </w:r>
          </w:p>
          <w:p w14:paraId="0B830E5E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Shanghai,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China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)</w:t>
            </w:r>
          </w:p>
        </w:tc>
      </w:tr>
      <w:tr w14:paraId="15C969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55E7BE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>DCFH-DA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A82C7B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>S1105S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BF36F6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 xml:space="preserve">Beyotime </w:t>
            </w:r>
          </w:p>
          <w:p w14:paraId="48AC51C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>(Jiangsu,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>China)</w:t>
            </w:r>
          </w:p>
        </w:tc>
      </w:tr>
      <w:tr w14:paraId="10257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6AEF8D84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C11-BODIPY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vertAlign w:val="superscript"/>
                <w:lang w:val="en-US" w:eastAsia="zh-CN" w:bidi="ar"/>
              </w:rPr>
              <w:t>581/591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vertAlign w:val="baseline"/>
                <w:lang w:val="en-US" w:eastAsia="zh-CN" w:bidi="ar"/>
              </w:rPr>
              <w:t xml:space="preserve"> 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noWrap/>
            <w:vAlign w:val="center"/>
          </w:tcPr>
          <w:p w14:paraId="0314E45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GC40165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53877F24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Glp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B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io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br w:type="textWrapping"/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(Montclair, USA)</w:t>
            </w:r>
          </w:p>
        </w:tc>
      </w:tr>
      <w:tr w14:paraId="6EB45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3DCE1B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 xml:space="preserve">Cytotoxicity LDH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a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 xml:space="preserve">ssay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k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it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188BF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GK10003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BF733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Glp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B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io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br w:type="textWrapping"/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(Montclair, USA)</w:t>
            </w:r>
          </w:p>
        </w:tc>
      </w:tr>
      <w:tr w14:paraId="20F79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noWrap/>
            <w:vAlign w:val="center"/>
          </w:tcPr>
          <w:p w14:paraId="187D54F6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 xml:space="preserve"> Human IL-1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auto"/>
                <w:sz w:val="24"/>
              </w:rPr>
              <w:t>β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 xml:space="preserve">ELISA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k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it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noWrap/>
            <w:vAlign w:val="center"/>
          </w:tcPr>
          <w:p w14:paraId="1B311C7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E-HSEL-H0001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461EA6F3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Elabscience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br w:type="textWrapping"/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(Wuhan, China)</w:t>
            </w:r>
          </w:p>
        </w:tc>
      </w:tr>
      <w:tr w14:paraId="330A2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DB588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 xml:space="preserve">Human HMGB-1 ELISA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k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>it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DF0AA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E-EL-H1554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A9896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Elabscience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br w:type="textWrapping"/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(Wuhan, China)</w:t>
            </w:r>
          </w:p>
        </w:tc>
      </w:tr>
      <w:tr w14:paraId="0D84C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noWrap/>
            <w:vAlign w:val="center"/>
          </w:tcPr>
          <w:p w14:paraId="5628AA15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Fluo-4 AM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noWrap/>
            <w:vAlign w:val="center"/>
          </w:tcPr>
          <w:p w14:paraId="542D95E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273221-67-3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7BB5DF8E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eastAsia="zh-CN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MedChemExpress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Shanghai,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China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)</w:t>
            </w:r>
          </w:p>
        </w:tc>
      </w:tr>
      <w:tr w14:paraId="46844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5B3784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 xml:space="preserve">Mitochondrial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m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 xml:space="preserve">embrane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p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 xml:space="preserve">otential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a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 xml:space="preserve">ssay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k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it (JC-1)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9C9D8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E-CK-A301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299DD7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Elabscience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br w:type="textWrapping"/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(Wuhan, China)</w:t>
            </w:r>
          </w:p>
        </w:tc>
      </w:tr>
      <w:tr w14:paraId="6D52B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noWrap/>
            <w:vAlign w:val="center"/>
          </w:tcPr>
          <w:p w14:paraId="30DFCC9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Annexin V-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FITC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 xml:space="preserve">/PI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a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 xml:space="preserve">poptosis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k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it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noWrap/>
            <w:vAlign w:val="center"/>
          </w:tcPr>
          <w:p w14:paraId="54BF22CA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eastAsia="zh-CN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E-CK-A21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237C58A6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Elabscience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br w:type="textWrapping"/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  <w:t>(Wuhan, China)</w:t>
            </w:r>
          </w:p>
        </w:tc>
      </w:tr>
      <w:tr w14:paraId="3A9B12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noWrap/>
            <w:vAlign w:val="center"/>
          </w:tcPr>
          <w:p w14:paraId="4EEAC1F8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RWPE-1 cells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noWrap/>
            <w:vAlign w:val="center"/>
          </w:tcPr>
          <w:p w14:paraId="559420DA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CL-0200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343D3FD6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>Pricella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 xml:space="preserve"> </w:t>
            </w:r>
          </w:p>
          <w:p w14:paraId="5E5E727B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>(Wuhan, China)</w:t>
            </w:r>
          </w:p>
        </w:tc>
      </w:tr>
      <w:tr w14:paraId="457BC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noWrap/>
            <w:vAlign w:val="center"/>
          </w:tcPr>
          <w:p w14:paraId="4ABA86B5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 xml:space="preserve">Recombinant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h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 xml:space="preserve">uman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e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 xml:space="preserve">pidermal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g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 xml:space="preserve">rowth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f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actor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noWrap/>
            <w:vAlign w:val="center"/>
          </w:tcPr>
          <w:p w14:paraId="46DC864A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105-04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7369679E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 xml:space="preserve">Sciencell </w:t>
            </w:r>
          </w:p>
          <w:p w14:paraId="51D03EB3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(California, USA)</w:t>
            </w:r>
          </w:p>
        </w:tc>
      </w:tr>
      <w:tr w14:paraId="51DD1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noWrap/>
            <w:vAlign w:val="center"/>
          </w:tcPr>
          <w:p w14:paraId="019A71E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Keratinocyte Medium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noWrap/>
            <w:vAlign w:val="center"/>
          </w:tcPr>
          <w:p w14:paraId="3D654D11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2101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BFBFB"/>
            <w:vAlign w:val="center"/>
          </w:tcPr>
          <w:p w14:paraId="1FC2D507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 xml:space="preserve">Sciencell </w:t>
            </w:r>
          </w:p>
          <w:p w14:paraId="6A213DEB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>(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California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 xml:space="preserve">,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USA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>)</w:t>
            </w:r>
          </w:p>
        </w:tc>
      </w:tr>
      <w:tr w14:paraId="230C73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B358EC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 xml:space="preserve">Isopropyl 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</w:rPr>
              <w:t>lcohol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 xml:space="preserve"> (IPA)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F5B903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I766839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86309E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 xml:space="preserve">Macklin </w:t>
            </w:r>
          </w:p>
          <w:p w14:paraId="7A622389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>(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Shanghai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>, China)</w:t>
            </w:r>
          </w:p>
        </w:tc>
      </w:tr>
      <w:tr w14:paraId="4C988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21C8A2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Tert-butyl alcohol (TBA)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F1BF6A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0"/>
                <w:sz w:val="24"/>
                <w:lang w:val="en-US" w:eastAsia="zh-CN" w:bidi="ar"/>
              </w:rPr>
              <w:t>T819473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EFDAF0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 xml:space="preserve">Macklin </w:t>
            </w:r>
          </w:p>
          <w:p w14:paraId="7657D840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>(</w:t>
            </w:r>
            <w:r>
              <w:rPr>
                <w:rFonts w:hint="eastAsia" w:ascii="Times New Roman" w:hAnsi="Times New Roman" w:eastAsia="宋体" w:cs="Arial"/>
                <w:b w:val="0"/>
                <w:i w:val="0"/>
                <w:color w:val="auto"/>
                <w:sz w:val="24"/>
                <w:lang w:val="en-US" w:eastAsia="zh-CN"/>
              </w:rPr>
              <w:t>Shanghai</w:t>
            </w:r>
            <w:r>
              <w:rPr>
                <w:rFonts w:ascii="Times New Roman" w:hAnsi="Times New Roman" w:eastAsia="宋体" w:cs="Arial"/>
                <w:b w:val="0"/>
                <w:i w:val="0"/>
                <w:color w:val="auto"/>
                <w:sz w:val="24"/>
              </w:rPr>
              <w:t>, China)</w:t>
            </w:r>
          </w:p>
        </w:tc>
      </w:tr>
    </w:tbl>
    <w:p w14:paraId="0A03C45D">
      <w:pPr>
        <w:spacing w:line="360" w:lineRule="auto"/>
        <w:jc w:val="both"/>
        <w:rPr>
          <w:rFonts w:hint="eastAsia" w:ascii="Arial" w:hAnsi="Arial" w:eastAsia="楷体_GB2312" w:cs="Arial"/>
          <w:b/>
          <w:bCs/>
          <w:color w:val="auto"/>
          <w:sz w:val="24"/>
          <w:szCs w:val="24"/>
          <w:lang w:val="en-US" w:eastAsia="zh-CN"/>
        </w:rPr>
      </w:pPr>
    </w:p>
    <w:p w14:paraId="5366C3CA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28"/>
          <w:szCs w:val="28"/>
          <w:lang w:val="en-GB" w:eastAsia="zh-CN"/>
        </w:rPr>
        <w:t>Supplemental Figures</w:t>
      </w:r>
    </w:p>
    <w:p w14:paraId="4A9EBDFF">
      <w:pPr>
        <w:spacing w:line="360" w:lineRule="auto"/>
        <w:jc w:val="center"/>
        <w:rPr>
          <w:rFonts w:hint="eastAsia" w:ascii="Times New Roman" w:hAnsi="Times New Roman" w:cs="Times New Roman" w:eastAsiaTheme="minorEastAsia"/>
          <w:b w:val="0"/>
          <w:bCs w:val="0"/>
          <w:color w:val="auto"/>
          <w:sz w:val="21"/>
          <w:szCs w:val="21"/>
          <w:lang w:eastAsia="zh-CN"/>
        </w:rPr>
      </w:pPr>
      <w:r>
        <w:rPr>
          <w:rFonts w:hint="eastAsia" w:ascii="Times New Roman" w:hAnsi="Times New Roman" w:cs="Times New Roman" w:eastAsiaTheme="minorEastAsia"/>
          <w:b w:val="0"/>
          <w:bCs w:val="0"/>
          <w:color w:val="auto"/>
          <w:sz w:val="21"/>
          <w:szCs w:val="21"/>
          <w:lang w:eastAsia="zh-CN"/>
        </w:rPr>
        <w:drawing>
          <wp:inline distT="0" distB="0" distL="114300" distR="114300">
            <wp:extent cx="2145665" cy="1868170"/>
            <wp:effectExtent l="0" t="0" r="6985" b="17780"/>
            <wp:docPr id="16" name="图片 16" descr="X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XP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45665" cy="186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C2F9A">
      <w:pPr>
        <w:spacing w:line="360" w:lineRule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</w:rPr>
        <w:t xml:space="preserve">Fig. </w:t>
      </w: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1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Full XPS spectrum of FC.</w:t>
      </w:r>
    </w:p>
    <w:p w14:paraId="53595FC1">
      <w:pPr>
        <w:spacing w:line="360" w:lineRule="auto"/>
        <w:jc w:val="center"/>
        <w:rPr>
          <w:rFonts w:hint="eastAsia" w:ascii="Times New Roman" w:hAnsi="Times New Roman" w:cs="Times New Roman" w:eastAsiaTheme="minorEastAsia"/>
          <w:color w:val="auto"/>
          <w:lang w:eastAsia="zh-CN"/>
        </w:rPr>
      </w:pPr>
      <w:r>
        <w:rPr>
          <w:rFonts w:hint="eastAsia" w:ascii="Times New Roman" w:hAnsi="Times New Roman" w:cs="Times New Roman" w:eastAsiaTheme="minorEastAsia"/>
          <w:color w:val="auto"/>
          <w:lang w:eastAsia="zh-CN"/>
        </w:rPr>
        <w:drawing>
          <wp:inline distT="0" distB="0" distL="114300" distR="114300">
            <wp:extent cx="2483485" cy="2004695"/>
            <wp:effectExtent l="0" t="0" r="12065" b="14605"/>
            <wp:docPr id="4" name="图片 4" descr="材料线基线校正问题相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材料线基线校正问题相关"/>
                    <pic:cNvPicPr>
                      <a:picLocks noChangeAspect="1"/>
                    </pic:cNvPicPr>
                  </pic:nvPicPr>
                  <pic:blipFill>
                    <a:blip r:embed="rId5"/>
                    <a:srcRect l="1205" t="51144" r="53373" b="-495"/>
                    <a:stretch>
                      <a:fillRect/>
                    </a:stretch>
                  </pic:blipFill>
                  <pic:spPr>
                    <a:xfrm>
                      <a:off x="0" y="0"/>
                      <a:ext cx="2483485" cy="200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58BCD"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Fig. S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2</w:t>
      </w:r>
      <w:r>
        <w:rPr>
          <w:rFonts w:hint="eastAsia" w:ascii="Times New Roman" w:hAnsi="Times New Roman" w:eastAsia="楷体_GB2312" w:cs="Times New Roman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Non-linear least squares fitting (NLLSF) analysis of Fe 2p XPS spectrum of FC.</w:t>
      </w:r>
    </w:p>
    <w:p w14:paraId="2E3050CA"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</w:p>
    <w:p w14:paraId="3CB057CC">
      <w:pPr>
        <w:spacing w:line="360" w:lineRule="auto"/>
        <w:rPr>
          <w:rFonts w:hint="eastAsia" w:ascii="Times New Roman" w:hAnsi="Times New Roman" w:cs="Times New Roman" w:eastAsiaTheme="minorEastAsia"/>
          <w:b w:val="0"/>
          <w:bCs w:val="0"/>
          <w:color w:val="auto"/>
          <w:sz w:val="21"/>
          <w:szCs w:val="21"/>
          <w:lang w:eastAsia="zh-CN"/>
        </w:rPr>
      </w:pPr>
      <w:r>
        <w:rPr>
          <w:rFonts w:hint="eastAsia" w:eastAsiaTheme="minorEastAsia"/>
          <w:color w:val="auto"/>
          <w:lang w:eastAsia="zh-CN"/>
        </w:rPr>
        <w:drawing>
          <wp:inline distT="0" distB="0" distL="114300" distR="114300">
            <wp:extent cx="5269865" cy="1804670"/>
            <wp:effectExtent l="0" t="0" r="6985" b="5080"/>
            <wp:docPr id="5" name="图片 5" descr="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15E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</w:rPr>
        <w:t xml:space="preserve">Fig. </w:t>
      </w: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3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</w:rPr>
        <w:t xml:space="preserve"> Release profile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</w:rPr>
        <w:t xml:space="preserve"> of Fe (A) and Ca (B) 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ions 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</w:rPr>
        <w:t xml:space="preserve">from PFCB after incubation in 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p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</w:rPr>
        <w:t xml:space="preserve">hosphate 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b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</w:rPr>
        <w:t>uffer at pH 5.5, 6.5, and 7.4 for indicated time points (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sz w:val="21"/>
          <w:szCs w:val="21"/>
        </w:rPr>
        <w:t>n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</w:rPr>
        <w:t xml:space="preserve"> = 3). </w:t>
      </w:r>
      <w:r>
        <w:rPr>
          <w:rFonts w:hint="eastAsia" w:ascii="Times New Roman" w:hAnsi="Times New Roman" w:eastAsia="楷体_GB2312" w:cs="Times New Roman"/>
          <w:b w:val="0"/>
          <w:bCs w:val="0"/>
          <w:color w:val="auto"/>
          <w:sz w:val="21"/>
          <w:szCs w:val="21"/>
          <w:lang w:val="en-US" w:eastAsia="zh-CN"/>
        </w:rPr>
        <w:t>The m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21"/>
          <w:szCs w:val="21"/>
        </w:rPr>
        <w:t>ean values are shown and error bars represent ± SD.</w:t>
      </w:r>
    </w:p>
    <w:p w14:paraId="4CC487C8"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</w:p>
    <w:p w14:paraId="44BA9288">
      <w:pPr>
        <w:spacing w:line="360" w:lineRule="auto"/>
        <w:rPr>
          <w:rFonts w:hint="eastAsia" w:ascii="Times New Roman" w:hAnsi="Times New Roman" w:cs="Times New Roman" w:eastAsiaTheme="minorEastAsia"/>
          <w:b w:val="0"/>
          <w:bCs w:val="0"/>
          <w:color w:val="auto"/>
          <w:sz w:val="21"/>
          <w:szCs w:val="21"/>
          <w:lang w:eastAsia="zh-CN"/>
        </w:rPr>
      </w:pPr>
      <w:r>
        <w:rPr>
          <w:rFonts w:hint="eastAsia" w:ascii="Times New Roman" w:hAnsi="Times New Roman" w:cs="Times New Roman" w:eastAsiaTheme="minorEastAsia"/>
          <w:b w:val="0"/>
          <w:bCs w:val="0"/>
          <w:color w:val="auto"/>
          <w:sz w:val="21"/>
          <w:szCs w:val="21"/>
          <w:lang w:eastAsia="zh-CN"/>
        </w:rPr>
        <w:drawing>
          <wp:inline distT="0" distB="0" distL="114300" distR="114300">
            <wp:extent cx="5229860" cy="1697990"/>
            <wp:effectExtent l="0" t="0" r="8890" b="16510"/>
            <wp:docPr id="13" name="图片 13" descr="放到Si的图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放到Si的图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29860" cy="169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258C6">
      <w:pPr>
        <w:spacing w:line="360" w:lineRule="auto"/>
        <w:rPr>
          <w:rFonts w:hint="eastAsia" w:ascii="Times New Roman" w:hAnsi="Times New Roman" w:cs="Times New Roman" w:eastAsiaTheme="minorEastAsia"/>
          <w:b w:val="0"/>
          <w:bCs w:val="0"/>
          <w:color w:val="auto"/>
          <w:sz w:val="21"/>
          <w:szCs w:val="21"/>
          <w:lang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</w:rPr>
        <w:t xml:space="preserve">Fig. </w:t>
      </w: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 xml:space="preserve"> Schematic illustration of the POD-like activities exhibited by PFCB. </w:t>
      </w:r>
    </w:p>
    <w:p w14:paraId="3E3D5DA6">
      <w:pPr>
        <w:spacing w:line="360" w:lineRule="auto"/>
        <w:rPr>
          <w:rFonts w:hint="eastAsia" w:ascii="Times New Roman" w:hAnsi="Times New Roman" w:cs="Times New Roman" w:eastAsiaTheme="minorEastAsia"/>
          <w:b w:val="0"/>
          <w:bCs w:val="0"/>
          <w:color w:val="auto"/>
          <w:sz w:val="21"/>
          <w:szCs w:val="21"/>
          <w:lang w:eastAsia="zh-CN"/>
        </w:rPr>
      </w:pPr>
    </w:p>
    <w:p w14:paraId="4D2F3DE9">
      <w:pPr>
        <w:numPr>
          <w:ilvl w:val="0"/>
          <w:numId w:val="0"/>
        </w:numPr>
        <w:jc w:val="both"/>
        <w:rPr>
          <w:rFonts w:hint="eastAsia" w:ascii="Times New Roman" w:hAnsi="Times New Roman" w:eastAsia="楷体_GB2312" w:cs="Times New Roman"/>
          <w:b/>
          <w:bCs/>
          <w:color w:val="auto"/>
          <w:kern w:val="2"/>
          <w:sz w:val="24"/>
          <w:szCs w:val="24"/>
          <w:lang w:val="en-GB" w:eastAsia="zh-CN" w:bidi="ar-SA"/>
        </w:rPr>
      </w:pPr>
    </w:p>
    <w:p w14:paraId="0AC95E1B">
      <w:pPr>
        <w:spacing w:line="360" w:lineRule="auto"/>
        <w:jc w:val="both"/>
        <w:rPr>
          <w:rFonts w:hint="eastAsia" w:ascii="Times New Roman" w:hAnsi="Times New Roman" w:eastAsia="楷体_GB2312" w:cs="Times New Roman"/>
          <w:b/>
          <w:bCs/>
          <w:color w:val="auto"/>
          <w:sz w:val="24"/>
          <w:szCs w:val="24"/>
          <w:lang w:val="en-GB" w:eastAsia="zh-CN"/>
        </w:rPr>
      </w:pPr>
      <w:r>
        <w:rPr>
          <w:rFonts w:hint="eastAsia" w:ascii="Times New Roman" w:hAnsi="Times New Roman" w:eastAsia="楷体_GB2312" w:cs="Times New Roman"/>
          <w:b/>
          <w:bCs/>
          <w:color w:val="auto"/>
          <w:sz w:val="24"/>
          <w:szCs w:val="24"/>
          <w:lang w:val="en-GB" w:eastAsia="zh-CN"/>
        </w:rPr>
        <w:drawing>
          <wp:inline distT="0" distB="0" distL="114300" distR="114300">
            <wp:extent cx="5271135" cy="2520950"/>
            <wp:effectExtent l="0" t="0" r="5715" b="12700"/>
            <wp:docPr id="6" name="图片 6" descr="Si1.GSH GSSG 分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i1.GSH GSSG 分开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E37C5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ascii="Times New Roman" w:hAnsi="Times New Roman" w:cs="Times New Roman"/>
          <w:b/>
          <w:bCs/>
          <w:color w:val="auto"/>
          <w:sz w:val="21"/>
          <w:szCs w:val="21"/>
        </w:rPr>
        <w:t>Fig. S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5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Levels of 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>GSH (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A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>) and GSSG (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B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 xml:space="preserve">)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 xml:space="preserve">in PC-3 cells treated with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different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 xml:space="preserve"> nanoparticles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(</w:t>
      </w:r>
      <w:r>
        <w:rPr>
          <w:rFonts w:hint="default" w:ascii="Times New Roman" w:hAnsi="Times New Roman" w:eastAsia="宋体" w:cs="Times New Roman"/>
          <w:i/>
          <w:iCs/>
          <w:color w:val="auto"/>
          <w:sz w:val="21"/>
          <w:szCs w:val="21"/>
          <w:highlight w:val="none"/>
          <w:lang w:val="en-US" w:eastAsia="zh-CN"/>
        </w:rPr>
        <w:t>n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= 5)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eastAsia="楷体_GB2312" w:cs="Times New Roman"/>
          <w:b w:val="0"/>
          <w:bCs w:val="0"/>
          <w:color w:val="auto"/>
          <w:sz w:val="21"/>
          <w:szCs w:val="21"/>
          <w:lang w:val="en-US" w:eastAsia="zh-CN"/>
        </w:rPr>
        <w:t>The m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21"/>
          <w:szCs w:val="21"/>
        </w:rPr>
        <w:t>ean values are shown and error bars represent ± SD.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</w:t>
      </w:r>
    </w:p>
    <w:p w14:paraId="04D41EE0">
      <w:pPr>
        <w:keepNext w:val="0"/>
        <w:keepLines w:val="0"/>
        <w:widowControl/>
        <w:suppressLineNumbers w:val="0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</w:p>
    <w:p w14:paraId="2F729B6C">
      <w:pPr>
        <w:spacing w:before="312" w:beforeLines="100" w:line="360" w:lineRule="auto"/>
        <w:jc w:val="both"/>
        <w:outlineLvl w:val="2"/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               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drawing>
          <wp:inline distT="0" distB="0" distL="114300" distR="114300">
            <wp:extent cx="3090545" cy="2533650"/>
            <wp:effectExtent l="0" t="0" r="14605" b="0"/>
            <wp:docPr id="15" name="图片 15" descr="Si4.ROS流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Si4.ROS流式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9054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75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line="240" w:lineRule="auto"/>
        <w:textAlignment w:val="auto"/>
        <w:outlineLvl w:val="2"/>
        <w:rPr>
          <w:rFonts w:hint="eastAsia" w:eastAsiaTheme="minorEastAsia"/>
          <w:color w:val="auto"/>
          <w:sz w:val="21"/>
          <w:szCs w:val="21"/>
          <w:lang w:eastAsia="zh-CN"/>
        </w:rPr>
      </w:pPr>
      <w:r>
        <w:rPr>
          <w:rFonts w:ascii="Times New Roman" w:hAnsi="Times New Roman" w:cs="Times New Roman"/>
          <w:b/>
          <w:bCs/>
          <w:color w:val="auto"/>
          <w:sz w:val="21"/>
          <w:szCs w:val="21"/>
        </w:rPr>
        <w:t>Fig. S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 xml:space="preserve">6 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 xml:space="preserve">Fluorescent intensities of PC-3 cells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stained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 xml:space="preserve"> with DCFH-DA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after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treat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ment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 xml:space="preserve"> with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different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nanoparticles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.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</w:p>
    <w:p w14:paraId="16E359FD">
      <w:pPr>
        <w:spacing w:line="360" w:lineRule="auto"/>
        <w:rPr>
          <w:rFonts w:hint="eastAsia" w:eastAsiaTheme="minorEastAsia"/>
          <w:color w:val="auto"/>
          <w:sz w:val="21"/>
          <w:szCs w:val="21"/>
          <w:lang w:eastAsia="zh-CN"/>
        </w:rPr>
      </w:pPr>
      <w:r>
        <w:rPr>
          <w:rFonts w:hint="eastAsia"/>
          <w:color w:val="auto"/>
          <w:sz w:val="21"/>
          <w:szCs w:val="21"/>
          <w:lang w:val="en-US" w:eastAsia="zh-CN"/>
        </w:rPr>
        <w:t xml:space="preserve">                  </w:t>
      </w:r>
      <w:r>
        <w:rPr>
          <w:rFonts w:hint="eastAsia" w:eastAsiaTheme="minorEastAsia"/>
          <w:color w:val="auto"/>
          <w:sz w:val="21"/>
          <w:szCs w:val="21"/>
          <w:lang w:eastAsia="zh-CN"/>
        </w:rPr>
        <w:drawing>
          <wp:inline distT="0" distB="0" distL="114300" distR="114300">
            <wp:extent cx="2978150" cy="2761615"/>
            <wp:effectExtent l="0" t="0" r="12700" b="635"/>
            <wp:docPr id="8" name="图片 8" descr="Si5.ROS 定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Si5.ROS 定量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78150" cy="276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2EC5B">
      <w:pPr>
        <w:keepNext w:val="0"/>
        <w:keepLines w:val="0"/>
        <w:widowControl/>
        <w:suppressLineNumbers w:val="0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ascii="Times New Roman" w:hAnsi="Times New Roman" w:cs="Times New Roman"/>
          <w:b/>
          <w:bCs/>
          <w:color w:val="auto"/>
          <w:sz w:val="21"/>
          <w:szCs w:val="21"/>
        </w:rPr>
        <w:t>Fig. S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 xml:space="preserve">7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T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>he corresponding quanti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fication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 xml:space="preserve"> of DCFH-DA fluorescen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t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 xml:space="preserve"> intensit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ies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 xml:space="preserve"> in Fig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. 3O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(</w:t>
      </w:r>
      <w:r>
        <w:rPr>
          <w:rFonts w:hint="eastAsia" w:ascii="Times New Roman" w:hAnsi="Times New Roman" w:eastAsia="宋体" w:cs="Times New Roman"/>
          <w:i/>
          <w:iCs/>
          <w:color w:val="auto"/>
          <w:sz w:val="21"/>
          <w:szCs w:val="21"/>
          <w:highlight w:val="none"/>
          <w:lang w:val="en-US" w:eastAsia="zh-CN"/>
        </w:rPr>
        <w:t>n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= 3)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>.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楷体_GB2312" w:cs="Times New Roman"/>
          <w:b w:val="0"/>
          <w:bCs w:val="0"/>
          <w:color w:val="auto"/>
          <w:sz w:val="21"/>
          <w:szCs w:val="21"/>
          <w:lang w:val="en-US" w:eastAsia="zh-CN"/>
        </w:rPr>
        <w:t>The m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21"/>
          <w:szCs w:val="21"/>
        </w:rPr>
        <w:t>ean values are shown and error bars represent ± SD.</w:t>
      </w:r>
    </w:p>
    <w:p w14:paraId="0755D89A">
      <w:pPr>
        <w:spacing w:before="312" w:beforeLines="100" w:line="360" w:lineRule="auto"/>
        <w:outlineLvl w:val="2"/>
        <w:rPr>
          <w:rFonts w:hint="eastAsia" w:eastAsiaTheme="minorEastAsia"/>
          <w:color w:val="auto"/>
          <w:sz w:val="21"/>
          <w:szCs w:val="21"/>
          <w:lang w:val="en-US" w:eastAsia="zh-CN"/>
        </w:rPr>
      </w:pPr>
    </w:p>
    <w:p w14:paraId="2ABA7117">
      <w:pPr>
        <w:spacing w:line="360" w:lineRule="auto"/>
        <w:jc w:val="center"/>
        <w:rPr>
          <w:rFonts w:hint="eastAsia" w:eastAsiaTheme="minorEastAsia"/>
          <w:color w:val="auto"/>
          <w:sz w:val="21"/>
          <w:szCs w:val="21"/>
          <w:lang w:eastAsia="zh-CN"/>
        </w:rPr>
      </w:pPr>
      <w:r>
        <w:rPr>
          <w:rFonts w:hint="eastAsia" w:eastAsiaTheme="minorEastAsia"/>
          <w:color w:val="auto"/>
          <w:sz w:val="21"/>
          <w:szCs w:val="21"/>
          <w:lang w:eastAsia="zh-CN"/>
        </w:rPr>
        <w:drawing>
          <wp:inline distT="0" distB="0" distL="114300" distR="114300">
            <wp:extent cx="2965450" cy="2776855"/>
            <wp:effectExtent l="0" t="0" r="6350" b="4445"/>
            <wp:docPr id="1" name="图片 1" descr="Si4.oxC11-BODIPY 定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i4.oxC11-BODIPY 定量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65450" cy="277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72793FD1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ascii="Times New Roman" w:hAnsi="Times New Roman" w:cs="Times New Roman"/>
          <w:b/>
          <w:bCs/>
          <w:color w:val="auto"/>
          <w:sz w:val="21"/>
          <w:szCs w:val="21"/>
        </w:rPr>
        <w:t>Fig. S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8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T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>he corresponding quanti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fication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 xml:space="preserve"> of oxC11-BODIPY fluorescen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t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 xml:space="preserve"> intensit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ies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 xml:space="preserve"> in Fig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.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3P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(</w:t>
      </w:r>
      <w:r>
        <w:rPr>
          <w:rFonts w:hint="eastAsia" w:ascii="Times New Roman" w:hAnsi="Times New Roman" w:eastAsia="宋体" w:cs="Times New Roman"/>
          <w:i/>
          <w:iCs/>
          <w:color w:val="auto"/>
          <w:sz w:val="21"/>
          <w:szCs w:val="21"/>
          <w:highlight w:val="none"/>
          <w:lang w:val="en-US" w:eastAsia="zh-CN"/>
        </w:rPr>
        <w:t>n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= 3)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>.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The mean values are shown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and error bars represent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±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SD. </w:t>
      </w:r>
    </w:p>
    <w:p w14:paraId="75305465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drawing>
          <wp:inline distT="0" distB="0" distL="114300" distR="114300">
            <wp:extent cx="5271135" cy="1400175"/>
            <wp:effectExtent l="0" t="0" r="5715" b="9525"/>
            <wp:docPr id="11" name="图片 11" descr="铁死亡拆分 C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铁死亡拆分 C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DCE8F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ascii="Times New Roman" w:hAnsi="Times New Roman" w:cs="Times New Roman"/>
          <w:b/>
          <w:bCs/>
          <w:color w:val="auto"/>
          <w:sz w:val="21"/>
          <w:szCs w:val="21"/>
        </w:rPr>
        <w:t>Fig. S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9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Fluorescent microscopy images of RWPE-1 cells stained with C11-BODIPY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vertAlign w:val="superscript"/>
        </w:rPr>
        <w:t>581/591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 xml:space="preserve"> probe after treatment with Fe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vertAlign w:val="subscript"/>
        </w:rPr>
        <w:t>3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O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vertAlign w:val="subscript"/>
        </w:rPr>
        <w:t>4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, FC, FCB, and PFCB (equivalent Fe concentration of 25 μg/mL). Scale bars, 100 μm.</w:t>
      </w:r>
    </w:p>
    <w:p w14:paraId="473951EF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</w:p>
    <w:p w14:paraId="178B159F">
      <w:pPr>
        <w:spacing w:line="360" w:lineRule="auto"/>
        <w:rPr>
          <w:rFonts w:hint="eastAsia" w:eastAsiaTheme="minorEastAsia"/>
          <w:color w:val="auto"/>
          <w:sz w:val="21"/>
          <w:szCs w:val="21"/>
          <w:lang w:eastAsia="zh-CN"/>
        </w:rPr>
      </w:pPr>
      <w:r>
        <w:rPr>
          <w:rFonts w:hint="eastAsia" w:eastAsiaTheme="minorEastAsia"/>
          <w:color w:val="auto"/>
          <w:sz w:val="21"/>
          <w:szCs w:val="21"/>
          <w:lang w:eastAsia="zh-CN"/>
        </w:rPr>
        <w:drawing>
          <wp:inline distT="0" distB="0" distL="114300" distR="114300">
            <wp:extent cx="5267325" cy="1913890"/>
            <wp:effectExtent l="0" t="0" r="9525" b="10160"/>
            <wp:docPr id="14" name="图片 14" descr="Si3.AO染色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Si3.AO染色-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1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D2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line="240" w:lineRule="auto"/>
        <w:jc w:val="both"/>
        <w:textAlignment w:val="auto"/>
        <w:outlineLvl w:val="2"/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  <w:r>
        <w:rPr>
          <w:rFonts w:ascii="Times New Roman" w:hAnsi="Times New Roman" w:cs="Times New Roman"/>
          <w:b/>
          <w:bCs/>
          <w:color w:val="auto"/>
          <w:sz w:val="21"/>
          <w:szCs w:val="21"/>
        </w:rPr>
        <w:t>Fig. S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10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Fluorescen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t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 xml:space="preserve"> images</w:t>
      </w:r>
      <w:r>
        <w:rPr>
          <w:rFonts w:hint="eastAsia" w:ascii="Times New Roman" w:hAnsi="Times New Roman" w:cs="Times New Roman"/>
          <w:b/>
          <w:bCs/>
          <w:i w:val="0"/>
          <w:iCs w:val="0"/>
          <w:color w:val="auto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of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eastAsia="zh-CN"/>
        </w:rPr>
        <w:t>PC-3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 xml:space="preserve"> cells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stained with AO after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treat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ment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 xml:space="preserve"> with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different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nanoparticles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 xml:space="preserve"> Scale bar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s,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 xml:space="preserve"> 20 μm.</w:t>
      </w:r>
    </w:p>
    <w:p w14:paraId="06018BA6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</w:p>
    <w:p w14:paraId="329832B2">
      <w:pPr>
        <w:keepNext w:val="0"/>
        <w:keepLines w:val="0"/>
        <w:widowControl/>
        <w:suppressLineNumbers w:val="0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eastAsia="楷体_GB2312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drawing>
          <wp:inline distT="0" distB="0" distL="114300" distR="114300">
            <wp:extent cx="5271135" cy="2513330"/>
            <wp:effectExtent l="0" t="0" r="5715" b="1270"/>
            <wp:docPr id="12" name="图片 12" descr="明场RWPE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明场RWPE-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1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E5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line="240" w:lineRule="auto"/>
        <w:textAlignment w:val="auto"/>
        <w:outlineLvl w:val="2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1"/>
          <w:szCs w:val="21"/>
          <w:highlight w:val="none"/>
          <w:lang w:val="en-US" w:eastAsia="zh-CN"/>
        </w:rPr>
        <w:t>Fig. S11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Representative bright-field microscopy images of RWPE-1 cells after treatment with Fe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vertAlign w:val="subscript"/>
        </w:rPr>
        <w:t>3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O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vertAlign w:val="subscript"/>
        </w:rPr>
        <w:t>4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, FC, FCB, and PFCB (equivalent Fe concentration of 25 μg/mL). Scale bars, 20 μm.</w:t>
      </w:r>
    </w:p>
    <w:p w14:paraId="0F82EB24">
      <w:pPr>
        <w:spacing w:before="312" w:beforeLines="100" w:line="360" w:lineRule="auto"/>
        <w:outlineLvl w:val="2"/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</w:p>
    <w:p w14:paraId="0195639C">
      <w:pPr>
        <w:spacing w:line="360" w:lineRule="auto"/>
        <w:rPr>
          <w:rFonts w:hint="eastAsia"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hint="eastAsia"/>
          <w:color w:val="auto"/>
          <w:sz w:val="21"/>
          <w:szCs w:val="21"/>
          <w:lang w:val="en-US" w:eastAsia="zh-CN"/>
        </w:rPr>
        <w:t xml:space="preserve">                 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eastAsia="zh-CN"/>
        </w:rPr>
        <w:drawing>
          <wp:inline distT="0" distB="0" distL="114300" distR="114300">
            <wp:extent cx="2889250" cy="2761615"/>
            <wp:effectExtent l="0" t="0" r="6350" b="635"/>
            <wp:docPr id="9" name="图片 9" descr="Si6.Fluo 4am 定量 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Si6.Fluo 4am 定量 Si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89250" cy="276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7BE2A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ascii="Times New Roman" w:hAnsi="Times New Roman" w:cs="Times New Roman"/>
          <w:b/>
          <w:bCs/>
          <w:color w:val="auto"/>
          <w:sz w:val="21"/>
          <w:szCs w:val="21"/>
        </w:rPr>
        <w:t>Fig. S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12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T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>he corresponding quanti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fication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 xml:space="preserve"> of Fluo-4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AM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 xml:space="preserve"> fluorescen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t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 xml:space="preserve"> intensit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ies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 xml:space="preserve"> in Fig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.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5A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(</w:t>
      </w:r>
      <w:r>
        <w:rPr>
          <w:rFonts w:hint="eastAsia" w:ascii="Times New Roman" w:hAnsi="Times New Roman" w:eastAsia="宋体" w:cs="Times New Roman"/>
          <w:i/>
          <w:iCs/>
          <w:color w:val="auto"/>
          <w:sz w:val="21"/>
          <w:szCs w:val="21"/>
          <w:highlight w:val="none"/>
          <w:lang w:val="en-US" w:eastAsia="zh-CN"/>
        </w:rPr>
        <w:t>n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= 3)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>.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楷体_GB2312" w:cs="Times New Roman"/>
          <w:b w:val="0"/>
          <w:bCs w:val="0"/>
          <w:color w:val="auto"/>
          <w:sz w:val="21"/>
          <w:szCs w:val="21"/>
          <w:lang w:val="en-US" w:eastAsia="zh-CN"/>
        </w:rPr>
        <w:t>The m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21"/>
          <w:szCs w:val="21"/>
        </w:rPr>
        <w:t>ean values are shown and error bars represent ± SD.</w:t>
      </w:r>
    </w:p>
    <w:p w14:paraId="33588221">
      <w:pPr>
        <w:spacing w:before="312" w:beforeLines="100" w:line="360" w:lineRule="auto"/>
        <w:jc w:val="both"/>
        <w:outlineLvl w:val="2"/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</w:p>
    <w:p w14:paraId="793D86C0">
      <w:pPr>
        <w:rPr>
          <w:rFonts w:hint="default" w:ascii="Times New Roman" w:hAnsi="Times New Roman" w:cs="Times New Roman" w:eastAsiaTheme="minorEastAsia"/>
          <w:color w:val="auto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auto"/>
          <w:lang w:val="en-US" w:eastAsia="zh-CN"/>
        </w:rPr>
        <w:drawing>
          <wp:inline distT="0" distB="0" distL="114300" distR="114300">
            <wp:extent cx="5268595" cy="1129030"/>
            <wp:effectExtent l="0" t="0" r="8255" b="13970"/>
            <wp:docPr id="3" name="图片 3" descr="FS13 老鼠示意图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S13 老鼠示意图(1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12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07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color w:val="auto"/>
          <w:sz w:val="21"/>
          <w:szCs w:val="21"/>
          <w:lang w:val="en-US" w:eastAsia="zh-CN"/>
        </w:rPr>
        <w:t>Fig. S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13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urvival analysis of RM-1 tumor-bearing mice. (A) Schematic illustration of the treatment schedule for RM-1 tumor-bearing mice. Upon the tumor volume reaching around 200 mm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perscript"/>
          <w:lang w:val="en-US" w:eastAsia="zh-CN"/>
        </w:rPr>
        <w:t>3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, mice were randomly separated into five groups and treated with NS, Fe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bscript"/>
          <w:lang w:val="en-US" w:eastAsia="zh-CN"/>
        </w:rPr>
        <w:t>3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O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bscript"/>
          <w:lang w:val="en-US" w:eastAsia="zh-CN"/>
        </w:rPr>
        <w:t>4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, FC, FCB, and PFCB (equivalent Fe concentration of 10 mg/kg for the latter four groups). All therapeutic agents were intravenously injected every two days for a total of four injections, after which treatment was discontinued and the mice were continuously observed until Day 20. (B) Survival rates of RM-1 tumor-bearing mice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received aforementioned treatments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(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n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 = 5).</w:t>
      </w:r>
    </w:p>
    <w:p w14:paraId="035766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</w:pPr>
    </w:p>
    <w:p w14:paraId="0056E8E9">
      <w:pPr>
        <w:keepNext w:val="0"/>
        <w:keepLines w:val="0"/>
        <w:widowControl/>
        <w:suppressLineNumbers w:val="0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</w:p>
    <w:p w14:paraId="67DC920A">
      <w:pPr>
        <w:spacing w:line="360" w:lineRule="auto"/>
        <w:rPr>
          <w:rFonts w:hint="eastAsia" w:eastAsiaTheme="minorEastAsia"/>
          <w:color w:val="auto"/>
          <w:sz w:val="21"/>
          <w:szCs w:val="21"/>
          <w:lang w:eastAsia="zh-CN"/>
        </w:rPr>
      </w:pPr>
      <w:r>
        <w:rPr>
          <w:rFonts w:hint="eastAsia" w:eastAsiaTheme="minorEastAsia"/>
          <w:color w:val="auto"/>
          <w:sz w:val="21"/>
          <w:szCs w:val="21"/>
          <w:lang w:eastAsia="zh-CN"/>
        </w:rPr>
        <w:drawing>
          <wp:inline distT="0" distB="0" distL="114300" distR="114300">
            <wp:extent cx="5271135" cy="2550795"/>
            <wp:effectExtent l="0" t="0" r="5715" b="1905"/>
            <wp:docPr id="10" name="图片 10" descr="Si7.溶血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Si7.溶血Si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5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E67DF">
      <w:pPr>
        <w:keepNext w:val="0"/>
        <w:keepLines w:val="0"/>
        <w:widowControl/>
        <w:suppressLineNumbers w:val="0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ascii="Times New Roman" w:hAnsi="Times New Roman" w:cs="Times New Roman"/>
          <w:b/>
          <w:bCs/>
          <w:color w:val="auto"/>
          <w:sz w:val="21"/>
          <w:szCs w:val="21"/>
        </w:rPr>
        <w:t>Fig. S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14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H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>emolysis rate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analysis of PFCB. 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</w:rPr>
        <w:t>Absorbance of blood supernatant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s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</w:rPr>
        <w:t xml:space="preserve"> at 545 nm 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after 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</w:rPr>
        <w:t>incubat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ion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</w:rPr>
        <w:t xml:space="preserve"> with various concentrations of 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>PFCB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(equivalent Fe concentration of 6.25, 12.5, 25 and 50 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μ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g/mL, respectively)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</w:rPr>
        <w:t xml:space="preserve"> for 6 h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>(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A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 xml:space="preserve">) and the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corresponding calculation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 xml:space="preserve"> of the hemolysis rate (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B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>)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(</w:t>
      </w:r>
      <w:r>
        <w:rPr>
          <w:rFonts w:hint="eastAsia" w:ascii="Times New Roman" w:hAnsi="Times New Roman" w:eastAsia="宋体" w:cs="Times New Roman"/>
          <w:i/>
          <w:iCs/>
          <w:color w:val="auto"/>
          <w:sz w:val="21"/>
          <w:szCs w:val="21"/>
          <w:highlight w:val="none"/>
          <w:lang w:val="en-US" w:eastAsia="zh-CN"/>
        </w:rPr>
        <w:t>n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= 5)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>.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楷体_GB2312" w:cs="Times New Roman"/>
          <w:b w:val="0"/>
          <w:bCs w:val="0"/>
          <w:color w:val="auto"/>
          <w:sz w:val="21"/>
          <w:szCs w:val="21"/>
          <w:lang w:val="en-US" w:eastAsia="zh-CN"/>
        </w:rPr>
        <w:t>The m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21"/>
          <w:szCs w:val="21"/>
        </w:rPr>
        <w:t>ean values are shown and error bars represent ± SD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i/>
          <w:iCs/>
          <w:color w:val="auto"/>
          <w:sz w:val="21"/>
          <w:szCs w:val="21"/>
          <w:highlight w:val="none"/>
          <w:lang w:val="en-US" w:eastAsia="zh-CN"/>
        </w:rPr>
        <w:t xml:space="preserve">P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≥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0.05 was considered not statistically significant (ns).</w:t>
      </w:r>
    </w:p>
    <w:p w14:paraId="35DAC38C">
      <w:pPr>
        <w:spacing w:before="312" w:beforeLines="100" w:line="360" w:lineRule="auto"/>
        <w:outlineLvl w:val="2"/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</w:p>
    <w:p w14:paraId="3618DA09">
      <w:pPr>
        <w:spacing w:line="360" w:lineRule="auto"/>
        <w:rPr>
          <w:rFonts w:hint="eastAsia" w:eastAsiaTheme="minorEastAsia"/>
          <w:color w:val="auto"/>
          <w:sz w:val="21"/>
          <w:szCs w:val="21"/>
          <w:lang w:eastAsia="zh-CN"/>
        </w:rPr>
      </w:pPr>
      <w:r>
        <w:rPr>
          <w:rFonts w:hint="eastAsia" w:eastAsiaTheme="minorEastAsia"/>
          <w:color w:val="auto"/>
          <w:sz w:val="21"/>
          <w:szCs w:val="21"/>
          <w:lang w:eastAsia="zh-CN"/>
        </w:rPr>
        <w:drawing>
          <wp:inline distT="0" distB="0" distL="114300" distR="114300">
            <wp:extent cx="5267960" cy="3578225"/>
            <wp:effectExtent l="0" t="0" r="8890" b="3175"/>
            <wp:docPr id="17" name="图片 17" descr="Si8.重要器官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Si8.重要器官Si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57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92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line="240" w:lineRule="auto"/>
        <w:textAlignment w:val="auto"/>
        <w:outlineLvl w:val="2"/>
        <w:rPr>
          <w:rFonts w:hint="eastAsia" w:ascii="Times New Roman" w:hAnsi="Times New Roman" w:cs="Times New Roman" w:eastAsiaTheme="minorEastAsia"/>
          <w:color w:val="auto"/>
          <w:sz w:val="21"/>
          <w:szCs w:val="21"/>
          <w:lang w:eastAsia="zh-CN"/>
        </w:rPr>
      </w:pPr>
      <w:r>
        <w:rPr>
          <w:rFonts w:ascii="Times New Roman" w:hAnsi="Times New Roman" w:cs="Times New Roman"/>
          <w:b/>
          <w:bCs/>
          <w:color w:val="auto"/>
          <w:sz w:val="21"/>
          <w:szCs w:val="21"/>
        </w:rPr>
        <w:t>Fig. S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15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 xml:space="preserve">Histopathological examination of the major organs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from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 xml:space="preserve"> tumor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-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 xml:space="preserve">bearing mice after intravenous injection of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normal saline (NS)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>, Fe</w:t>
      </w:r>
      <w:r>
        <w:rPr>
          <w:rFonts w:hint="eastAsia" w:ascii="Times New Roman" w:hAnsi="Times New Roman" w:cs="Times New Roman"/>
          <w:color w:val="auto"/>
          <w:sz w:val="21"/>
          <w:szCs w:val="21"/>
          <w:vertAlign w:val="subscript"/>
        </w:rPr>
        <w:t>3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>O</w:t>
      </w:r>
      <w:r>
        <w:rPr>
          <w:rFonts w:hint="eastAsia" w:ascii="Times New Roman" w:hAnsi="Times New Roman" w:cs="Times New Roman"/>
          <w:color w:val="auto"/>
          <w:sz w:val="21"/>
          <w:szCs w:val="21"/>
          <w:vertAlign w:val="subscript"/>
        </w:rPr>
        <w:t>4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 xml:space="preserve">, FC, FCB and PFCB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(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equivalent Fe concentration of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10 mg/kg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for the latter four groups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)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 xml:space="preserve">for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8 d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>. Scale bar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s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 xml:space="preserve">, 200 </w:t>
      </w:r>
      <w:r>
        <w:rPr>
          <w:rFonts w:ascii="Times New Roman" w:hAnsi="Times New Roman" w:cs="Times New Roman"/>
          <w:color w:val="auto"/>
          <w:sz w:val="21"/>
          <w:szCs w:val="21"/>
        </w:rPr>
        <w:t>μ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>m.</w:t>
      </w:r>
    </w:p>
    <w:p w14:paraId="169D9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line="240" w:lineRule="auto"/>
        <w:textAlignment w:val="auto"/>
        <w:outlineLvl w:val="2"/>
        <w:rPr>
          <w:rFonts w:hint="eastAsia" w:ascii="Times New Roman" w:hAnsi="Times New Roman" w:cs="Times New Roman" w:eastAsiaTheme="minorEastAsia"/>
          <w:color w:val="auto"/>
          <w:sz w:val="21"/>
          <w:szCs w:val="21"/>
          <w:lang w:eastAsia="zh-CN"/>
        </w:rPr>
      </w:pPr>
    </w:p>
    <w:p w14:paraId="49692470">
      <w:pPr>
        <w:spacing w:before="312" w:beforeLines="100" w:line="360" w:lineRule="auto"/>
        <w:outlineLvl w:val="2"/>
        <w:rPr>
          <w:rFonts w:hint="eastAsia" w:ascii="Times New Roman" w:hAnsi="Times New Roman" w:cs="Times New Roman" w:eastAsiaTheme="minorEastAsia"/>
          <w:color w:val="auto"/>
          <w:sz w:val="21"/>
          <w:szCs w:val="21"/>
          <w:lang w:eastAsia="zh-CN"/>
        </w:rPr>
      </w:pPr>
      <w:r>
        <w:rPr>
          <w:rFonts w:hint="eastAsia" w:ascii="Times New Roman" w:hAnsi="Times New Roman" w:cs="Times New Roman" w:eastAsiaTheme="minorEastAsia"/>
          <w:color w:val="auto"/>
          <w:sz w:val="21"/>
          <w:szCs w:val="21"/>
          <w:lang w:eastAsia="zh-CN"/>
        </w:rPr>
        <w:drawing>
          <wp:inline distT="0" distB="0" distL="114300" distR="114300">
            <wp:extent cx="5271770" cy="4839970"/>
            <wp:effectExtent l="0" t="0" r="5080" b="17780"/>
            <wp:docPr id="2" name="图片 2" descr="Si9.血清尿素氮动物实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i9.血清尿素氮动物实验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83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588F8">
      <w:pPr>
        <w:keepNext w:val="0"/>
        <w:keepLines w:val="0"/>
        <w:widowControl/>
        <w:suppressLineNumbers w:val="0"/>
        <w:jc w:val="both"/>
        <w:rPr>
          <w:color w:val="auto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auto"/>
          <w:sz w:val="21"/>
          <w:szCs w:val="21"/>
        </w:rPr>
        <w:t>Fig. S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 xml:space="preserve">16 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Biocompatibility profile of Fe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vertAlign w:val="subscript"/>
          <w:lang w:val="en-US" w:eastAsia="zh-CN"/>
        </w:rPr>
        <w:t>3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O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vertAlign w:val="subscript"/>
          <w:lang w:val="en-US" w:eastAsia="zh-CN"/>
        </w:rPr>
        <w:t>4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, FC, FCB and PFCB. (A-D)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Liver and renal function of 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>tumor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-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 xml:space="preserve">bearing mice after intravenous injection of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NS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>, Fe</w:t>
      </w:r>
      <w:r>
        <w:rPr>
          <w:rFonts w:hint="eastAsia" w:ascii="Times New Roman" w:hAnsi="Times New Roman" w:cs="Times New Roman"/>
          <w:color w:val="auto"/>
          <w:sz w:val="21"/>
          <w:szCs w:val="21"/>
          <w:vertAlign w:val="subscript"/>
        </w:rPr>
        <w:t>3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>O</w:t>
      </w:r>
      <w:r>
        <w:rPr>
          <w:rFonts w:hint="eastAsia" w:ascii="Times New Roman" w:hAnsi="Times New Roman" w:cs="Times New Roman"/>
          <w:color w:val="auto"/>
          <w:sz w:val="21"/>
          <w:szCs w:val="21"/>
          <w:vertAlign w:val="subscript"/>
        </w:rPr>
        <w:t>4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 xml:space="preserve">, FC, FCB and PFCB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(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equivalent Fe concentration of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10 mg/kg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for the latter four groups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)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 xml:space="preserve">for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8 d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, which was assessed by 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>alanine aminotransferase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(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>ALT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)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(A)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, a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>spartate aminotransferase (AST)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(B), b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>lood ur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ea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 xml:space="preserve"> nitrogen (BUN)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(C) and 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>creatinine (CRE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A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>)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(D)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(</w:t>
      </w:r>
      <w:r>
        <w:rPr>
          <w:rFonts w:hint="eastAsia" w:ascii="Times New Roman" w:hAnsi="Times New Roman" w:eastAsia="宋体" w:cs="Times New Roman"/>
          <w:i/>
          <w:iCs/>
          <w:color w:val="auto"/>
          <w:sz w:val="21"/>
          <w:szCs w:val="21"/>
          <w:highlight w:val="none"/>
          <w:lang w:val="en-US" w:eastAsia="zh-CN"/>
        </w:rPr>
        <w:t>n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= 5).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楷体_GB2312" w:cs="Times New Roman"/>
          <w:b w:val="0"/>
          <w:bCs w:val="0"/>
          <w:color w:val="auto"/>
          <w:sz w:val="21"/>
          <w:szCs w:val="21"/>
          <w:lang w:val="en-US" w:eastAsia="zh-CN"/>
        </w:rPr>
        <w:t>The m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21"/>
          <w:szCs w:val="21"/>
        </w:rPr>
        <w:t>ean values are shown and error bars represent ± SD.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i/>
          <w:iCs/>
          <w:color w:val="auto"/>
          <w:sz w:val="21"/>
          <w:szCs w:val="21"/>
          <w:highlight w:val="none"/>
          <w:lang w:val="en-US" w:eastAsia="zh-CN"/>
        </w:rPr>
        <w:t xml:space="preserve">P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≥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0.05 was considered not statistically significant (ns).</w:t>
      </w:r>
    </w:p>
    <w:p w14:paraId="293BC560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cript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 Bold"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E6FD6"/>
    <w:rsid w:val="062D2982"/>
    <w:rsid w:val="06735651"/>
    <w:rsid w:val="06D97D74"/>
    <w:rsid w:val="078D4CFD"/>
    <w:rsid w:val="08847C27"/>
    <w:rsid w:val="09491F2A"/>
    <w:rsid w:val="09F9539C"/>
    <w:rsid w:val="0AB94024"/>
    <w:rsid w:val="0C5E7618"/>
    <w:rsid w:val="0DE7775D"/>
    <w:rsid w:val="192E5A7C"/>
    <w:rsid w:val="19E25E4D"/>
    <w:rsid w:val="208C4F63"/>
    <w:rsid w:val="20F92E21"/>
    <w:rsid w:val="237C3219"/>
    <w:rsid w:val="23FD2796"/>
    <w:rsid w:val="24871705"/>
    <w:rsid w:val="26E441E5"/>
    <w:rsid w:val="27A35964"/>
    <w:rsid w:val="2F1314FD"/>
    <w:rsid w:val="30745AD5"/>
    <w:rsid w:val="3CA45A0B"/>
    <w:rsid w:val="3D000F68"/>
    <w:rsid w:val="3EAA48DB"/>
    <w:rsid w:val="44A36F5A"/>
    <w:rsid w:val="459444E5"/>
    <w:rsid w:val="45EA380F"/>
    <w:rsid w:val="46A33E77"/>
    <w:rsid w:val="46EA3058"/>
    <w:rsid w:val="4BB97216"/>
    <w:rsid w:val="4F3A68C6"/>
    <w:rsid w:val="5042720E"/>
    <w:rsid w:val="52FD3F39"/>
    <w:rsid w:val="54A51C0D"/>
    <w:rsid w:val="586777FD"/>
    <w:rsid w:val="58FE313F"/>
    <w:rsid w:val="61320103"/>
    <w:rsid w:val="636176EE"/>
    <w:rsid w:val="63AE3127"/>
    <w:rsid w:val="66B36BA9"/>
    <w:rsid w:val="68860F57"/>
    <w:rsid w:val="69C30DC7"/>
    <w:rsid w:val="6D645230"/>
    <w:rsid w:val="709150B8"/>
    <w:rsid w:val="70AC2257"/>
    <w:rsid w:val="74BC3D04"/>
    <w:rsid w:val="75911227"/>
    <w:rsid w:val="77EF359F"/>
    <w:rsid w:val="7AF1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5">
    <w:name w:val="font41"/>
    <w:basedOn w:val="3"/>
    <w:qFormat/>
    <w:uiPriority w:val="0"/>
    <w:rPr>
      <w:rFonts w:hint="default" w:ascii="Arial" w:hAnsi="Arial" w:cs="Arial"/>
      <w:color w:val="000000"/>
      <w:sz w:val="24"/>
      <w:szCs w:val="24"/>
      <w:u w:val="none"/>
      <w:vertAlign w:val="subscript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png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1683</Words>
  <Characters>10078</Characters>
  <Lines>0</Lines>
  <Paragraphs>0</Paragraphs>
  <TotalTime>1</TotalTime>
  <ScaleCrop>false</ScaleCrop>
  <LinksUpToDate>false</LinksUpToDate>
  <CharactersWithSpaces>11553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2026-03-27T13:00:00Z</dcterms:created>
  <dc:creator>10197</dc:creator>
  <cp:lastModifiedBy>whisper</cp:lastModifiedBy>
  <dcterms:modified xsi:type="dcterms:W3CDTF">2026-06-24T03:58:49Z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eyJoZGlkIjoiYWQ0YmQzZTc1MjQwMDI2ZjI0ZmYzMjU5ODg5ODgxNjUiLCJ1c2VySWQiOiIzNjMwMTIxMDMifQ==</vt:lpwstr>
  </property>
  <property fmtid="{D5CDD505-2E9C-101B-9397-08002B2CF9AE}" pid="4" name="ICV">
    <vt:lpwstr>B600882517714406AD9EE95496F3D4B0_13</vt:lpwstr>
  </property>
</Properties>
</file>