
<file path=[Content_Types].xml><?xml version="1.0" encoding="utf-8"?>
<Types xmlns="http://schemas.openxmlformats.org/package/2006/content-types">
  <Default Extension="tiff" ContentType="image/tiff"/>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EF6564">
      <w:pPr>
        <w:spacing w:line="276" w:lineRule="auto"/>
        <w:jc w:val="left"/>
        <w:rPr>
          <w:rFonts w:ascii="Calibri" w:hAnsi="Calibri" w:cs="Calibri"/>
          <w:b/>
          <w:color w:val="auto"/>
          <w:sz w:val="28"/>
          <w:szCs w:val="28"/>
        </w:rPr>
      </w:pPr>
      <w:bookmarkStart w:id="0" w:name="_Hlk227695461"/>
      <w:bookmarkEnd w:id="0"/>
      <w:bookmarkStart w:id="11" w:name="_GoBack"/>
      <w:r>
        <w:rPr>
          <w:rFonts w:ascii="Calibri" w:hAnsi="Calibri" w:cs="Calibri"/>
          <w:b/>
          <w:color w:val="auto"/>
          <w:sz w:val="32"/>
          <w:szCs w:val="40"/>
        </w:rPr>
        <w:t>Additional f</w:t>
      </w:r>
      <w:r>
        <w:rPr>
          <w:rFonts w:hint="eastAsia" w:ascii="Calibri" w:hAnsi="Calibri" w:cs="Calibri"/>
          <w:b/>
          <w:color w:val="auto"/>
          <w:sz w:val="32"/>
          <w:szCs w:val="40"/>
        </w:rPr>
        <w:t>i</w:t>
      </w:r>
      <w:r>
        <w:rPr>
          <w:rFonts w:ascii="Calibri" w:hAnsi="Calibri" w:cs="Calibri"/>
          <w:b/>
          <w:color w:val="auto"/>
          <w:sz w:val="32"/>
          <w:szCs w:val="40"/>
        </w:rPr>
        <w:t>le 1</w:t>
      </w:r>
      <w:r>
        <w:rPr>
          <w:rFonts w:hint="eastAsia" w:ascii="Calibri" w:hAnsi="Calibri" w:cs="Calibri"/>
          <w:b/>
          <w:color w:val="auto"/>
          <w:sz w:val="32"/>
          <w:szCs w:val="40"/>
        </w:rPr>
        <w:t xml:space="preserve">: </w:t>
      </w:r>
      <w:r>
        <w:rPr>
          <w:rFonts w:ascii="Calibri" w:hAnsi="Calibri" w:cs="Calibri"/>
          <w:b/>
          <w:color w:val="auto"/>
          <w:sz w:val="28"/>
          <w:szCs w:val="28"/>
        </w:rPr>
        <w:t>Supplementary materials</w:t>
      </w:r>
    </w:p>
    <w:p w14:paraId="5C119D45">
      <w:pPr>
        <w:adjustRightInd w:val="0"/>
        <w:contextualSpacing/>
        <w:jc w:val="center"/>
        <w:rPr>
          <w:rFonts w:ascii="Times New Roman" w:hAnsi="Times New Roman" w:cs="Times New Roman"/>
          <w:b/>
          <w:bCs/>
          <w:color w:val="auto"/>
          <w:sz w:val="24"/>
          <w:szCs w:val="24"/>
        </w:rPr>
      </w:pPr>
    </w:p>
    <w:p w14:paraId="2ACB4825">
      <w:pPr>
        <w:spacing w:line="276" w:lineRule="auto"/>
        <w:jc w:val="center"/>
        <w:rPr>
          <w:rFonts w:ascii="Calibri" w:hAnsi="Calibri" w:cs="Calibri"/>
          <w:b/>
          <w:color w:val="auto"/>
          <w:sz w:val="24"/>
          <w:szCs w:val="24"/>
        </w:rPr>
      </w:pPr>
      <w:r>
        <w:rPr>
          <w:rFonts w:hint="eastAsia" w:ascii="Calibri" w:hAnsi="Calibri" w:cs="Calibri"/>
          <w:b/>
          <w:color w:val="auto"/>
          <w:sz w:val="24"/>
          <w:szCs w:val="24"/>
        </w:rPr>
        <w:t>Effects and Mechanism of Carrier</w:t>
      </w:r>
      <w:r>
        <w:rPr>
          <w:rFonts w:hint="eastAsia" w:ascii="Calibri" w:hAnsi="Calibri" w:cs="Calibri"/>
          <w:b/>
          <w:color w:val="auto"/>
          <w:sz w:val="24"/>
          <w:szCs w:val="24"/>
        </w:rPr>
        <w:noBreakHyphen/>
      </w:r>
      <w:r>
        <w:rPr>
          <w:rFonts w:hint="eastAsia" w:ascii="Calibri" w:hAnsi="Calibri" w:cs="Calibri"/>
          <w:b/>
          <w:color w:val="auto"/>
          <w:sz w:val="24"/>
          <w:szCs w:val="24"/>
        </w:rPr>
        <w:t>Free Self</w:t>
      </w:r>
      <w:r>
        <w:rPr>
          <w:rFonts w:hint="eastAsia" w:ascii="Calibri" w:hAnsi="Calibri" w:cs="Calibri"/>
          <w:b/>
          <w:color w:val="auto"/>
          <w:sz w:val="24"/>
          <w:szCs w:val="24"/>
        </w:rPr>
        <w:noBreakHyphen/>
      </w:r>
      <w:r>
        <w:rPr>
          <w:rFonts w:hint="eastAsia" w:ascii="Calibri" w:hAnsi="Calibri" w:cs="Calibri"/>
          <w:b/>
          <w:color w:val="auto"/>
          <w:sz w:val="24"/>
          <w:szCs w:val="24"/>
        </w:rPr>
        <w:t>Assembled Nanoparticles of Natural Products in Attenuating Pulmonary Edema</w:t>
      </w:r>
    </w:p>
    <w:p w14:paraId="539B7261">
      <w:pPr>
        <w:jc w:val="center"/>
        <w:rPr>
          <w:rFonts w:ascii="Times New Roman" w:hAnsi="Times New Roman" w:cs="Times New Roman"/>
          <w:b/>
          <w:color w:val="auto"/>
          <w:sz w:val="24"/>
          <w:szCs w:val="24"/>
        </w:rPr>
      </w:pPr>
    </w:p>
    <w:p w14:paraId="0D7FE342">
      <w:pPr>
        <w:adjustRightInd w:val="0"/>
        <w:contextualSpacing/>
        <w:rPr>
          <w:rFonts w:ascii="Times New Roman" w:hAnsi="Times New Roman" w:cs="Times New Roman"/>
          <w:color w:val="auto"/>
          <w:szCs w:val="21"/>
        </w:rPr>
      </w:pPr>
      <w:r>
        <w:rPr>
          <w:rFonts w:hint="eastAsia" w:ascii="Times New Roman" w:hAnsi="Times New Roman" w:cs="Times New Roman"/>
          <w:color w:val="auto"/>
          <w:szCs w:val="21"/>
        </w:rPr>
        <w:t>Jin Yan</w:t>
      </w:r>
      <w:r>
        <w:rPr>
          <w:rFonts w:hint="eastAsia" w:ascii="Times New Roman" w:hAnsi="Times New Roman" w:cs="Times New Roman"/>
          <w:color w:val="auto"/>
          <w:szCs w:val="21"/>
          <w:vertAlign w:val="superscript"/>
        </w:rPr>
        <w:t>1</w:t>
      </w:r>
      <w:r>
        <w:rPr>
          <w:rFonts w:hint="eastAsia" w:ascii="Times New Roman" w:hAnsi="Times New Roman" w:cs="Times New Roman"/>
          <w:color w:val="auto"/>
          <w:szCs w:val="21"/>
        </w:rPr>
        <w:t>, Kaixin Liu</w:t>
      </w:r>
      <w:r>
        <w:rPr>
          <w:rFonts w:hint="eastAsia" w:ascii="Times New Roman" w:hAnsi="Times New Roman" w:cs="Times New Roman"/>
          <w:color w:val="auto"/>
          <w:szCs w:val="21"/>
          <w:vertAlign w:val="superscript"/>
        </w:rPr>
        <w:t>1</w:t>
      </w:r>
      <w:r>
        <w:rPr>
          <w:rFonts w:hint="eastAsia" w:ascii="Times New Roman" w:hAnsi="Times New Roman" w:cs="Times New Roman"/>
          <w:color w:val="auto"/>
          <w:szCs w:val="21"/>
        </w:rPr>
        <w:t>, Yuqi Yan</w:t>
      </w:r>
      <w:r>
        <w:rPr>
          <w:rFonts w:hint="eastAsia" w:ascii="Times New Roman" w:hAnsi="Times New Roman" w:cs="Times New Roman"/>
          <w:color w:val="auto"/>
          <w:szCs w:val="21"/>
          <w:vertAlign w:val="superscript"/>
        </w:rPr>
        <w:t>1</w:t>
      </w:r>
      <w:r>
        <w:rPr>
          <w:rFonts w:hint="eastAsia" w:ascii="Times New Roman" w:hAnsi="Times New Roman" w:cs="Times New Roman"/>
          <w:color w:val="auto"/>
          <w:szCs w:val="21"/>
        </w:rPr>
        <w:t>, Zhenzhen Wang</w:t>
      </w:r>
      <w:r>
        <w:rPr>
          <w:rFonts w:hint="eastAsia" w:ascii="Times New Roman" w:hAnsi="Times New Roman" w:cs="Times New Roman"/>
          <w:color w:val="auto"/>
          <w:szCs w:val="21"/>
          <w:vertAlign w:val="superscript"/>
        </w:rPr>
        <w:t>1</w:t>
      </w:r>
      <w:r>
        <w:rPr>
          <w:rFonts w:hint="eastAsia" w:ascii="Times New Roman" w:hAnsi="Times New Roman" w:cs="Times New Roman"/>
          <w:color w:val="auto"/>
          <w:szCs w:val="21"/>
        </w:rPr>
        <w:t>, Junfang Wang</w:t>
      </w:r>
      <w:r>
        <w:rPr>
          <w:rFonts w:hint="eastAsia" w:ascii="Times New Roman" w:hAnsi="Times New Roman" w:cs="Times New Roman"/>
          <w:color w:val="auto"/>
          <w:szCs w:val="21"/>
          <w:vertAlign w:val="superscript"/>
        </w:rPr>
        <w:t>1</w:t>
      </w:r>
      <w:r>
        <w:rPr>
          <w:rFonts w:hint="eastAsia" w:ascii="Times New Roman" w:hAnsi="Times New Roman" w:cs="Times New Roman"/>
          <w:color w:val="auto"/>
          <w:szCs w:val="21"/>
        </w:rPr>
        <w:t>,</w:t>
      </w:r>
      <w:r>
        <w:rPr>
          <w:rFonts w:hint="eastAsia" w:ascii="Times New Roman" w:hAnsi="Times New Roman" w:cs="Times New Roman"/>
          <w:color w:val="auto"/>
          <w:szCs w:val="21"/>
        </w:rPr>
        <w:t xml:space="preserve"> Yingbo Wang</w:t>
      </w:r>
      <w:r>
        <w:rPr>
          <w:rFonts w:hint="eastAsia" w:ascii="Times New Roman" w:hAnsi="Times New Roman" w:cs="Times New Roman"/>
          <w:color w:val="auto"/>
          <w:szCs w:val="21"/>
          <w:vertAlign w:val="superscript"/>
        </w:rPr>
        <w:t>1</w:t>
      </w:r>
      <w:r>
        <w:rPr>
          <w:rFonts w:hint="eastAsia" w:ascii="Times New Roman" w:hAnsi="Times New Roman" w:cs="Times New Roman"/>
          <w:color w:val="auto"/>
          <w:szCs w:val="21"/>
        </w:rPr>
        <w:t>, Yuanyuan Hou</w:t>
      </w:r>
      <w:r>
        <w:rPr>
          <w:rFonts w:hint="eastAsia" w:ascii="Times New Roman" w:hAnsi="Times New Roman" w:cs="Times New Roman"/>
          <w:color w:val="auto"/>
          <w:szCs w:val="21"/>
          <w:vertAlign w:val="superscript"/>
        </w:rPr>
        <w:t>1</w:t>
      </w:r>
      <w:r>
        <w:rPr>
          <w:rFonts w:hint="eastAsia" w:ascii="Times New Roman" w:hAnsi="Times New Roman" w:cs="Times New Roman"/>
          <w:color w:val="auto"/>
          <w:szCs w:val="21"/>
        </w:rPr>
        <w:t>, Erwei Hao</w:t>
      </w:r>
      <w:r>
        <w:rPr>
          <w:rFonts w:hint="eastAsia" w:ascii="Times New Roman" w:hAnsi="Times New Roman" w:cs="Times New Roman"/>
          <w:color w:val="auto"/>
          <w:szCs w:val="21"/>
          <w:vertAlign w:val="superscript"/>
        </w:rPr>
        <w:t>2</w:t>
      </w:r>
      <w:r>
        <w:rPr>
          <w:rFonts w:hint="eastAsia" w:ascii="Times New Roman" w:hAnsi="Times New Roman" w:cs="Times New Roman"/>
          <w:color w:val="auto"/>
          <w:szCs w:val="21"/>
        </w:rPr>
        <w:t>, Xiaotao Hou</w:t>
      </w:r>
      <w:r>
        <w:rPr>
          <w:rFonts w:hint="eastAsia" w:ascii="Times New Roman" w:hAnsi="Times New Roman" w:cs="Times New Roman"/>
          <w:color w:val="auto"/>
          <w:szCs w:val="21"/>
          <w:vertAlign w:val="superscript"/>
        </w:rPr>
        <w:t>2</w:t>
      </w:r>
      <w:r>
        <w:rPr>
          <w:rFonts w:hint="eastAsia" w:ascii="Times New Roman" w:hAnsi="Times New Roman" w:cs="Times New Roman"/>
          <w:color w:val="auto"/>
          <w:szCs w:val="21"/>
        </w:rPr>
        <w:t>*, Jie Gao</w:t>
      </w:r>
      <w:r>
        <w:rPr>
          <w:rFonts w:hint="eastAsia" w:ascii="Times New Roman" w:hAnsi="Times New Roman" w:cs="Times New Roman"/>
          <w:color w:val="auto"/>
          <w:szCs w:val="21"/>
          <w:vertAlign w:val="superscript"/>
        </w:rPr>
        <w:t>1</w:t>
      </w:r>
      <w:r>
        <w:rPr>
          <w:rFonts w:hint="eastAsia" w:ascii="Times New Roman" w:hAnsi="Times New Roman" w:cs="Times New Roman"/>
          <w:color w:val="auto"/>
          <w:szCs w:val="21"/>
        </w:rPr>
        <w:t xml:space="preserve">*, </w:t>
      </w:r>
      <w:r>
        <w:rPr>
          <w:rFonts w:ascii="Times New Roman" w:hAnsi="Times New Roman" w:cs="Times New Roman"/>
          <w:color w:val="auto"/>
          <w:szCs w:val="21"/>
        </w:rPr>
        <w:t>Gang Bai</w:t>
      </w:r>
      <w:r>
        <w:rPr>
          <w:rFonts w:hint="eastAsia" w:ascii="Times New Roman" w:hAnsi="Times New Roman" w:cs="Times New Roman"/>
          <w:color w:val="auto"/>
          <w:szCs w:val="21"/>
          <w:vertAlign w:val="superscript"/>
        </w:rPr>
        <w:t>1</w:t>
      </w:r>
      <w:r>
        <w:rPr>
          <w:rFonts w:hint="eastAsia" w:ascii="Times New Roman" w:hAnsi="Times New Roman" w:cs="Times New Roman"/>
          <w:color w:val="auto"/>
          <w:szCs w:val="21"/>
        </w:rPr>
        <w:t>*</w:t>
      </w:r>
    </w:p>
    <w:p w14:paraId="7E3E23A7">
      <w:pPr>
        <w:adjustRightInd w:val="0"/>
        <w:contextualSpacing/>
        <w:rPr>
          <w:rFonts w:ascii="Times New Roman" w:hAnsi="Times New Roman" w:cs="Times New Roman"/>
          <w:color w:val="auto"/>
          <w:szCs w:val="21"/>
        </w:rPr>
      </w:pPr>
    </w:p>
    <w:p w14:paraId="30EAC537">
      <w:pPr>
        <w:pStyle w:val="36"/>
        <w:numPr>
          <w:ilvl w:val="0"/>
          <w:numId w:val="1"/>
        </w:numPr>
        <w:adjustRightInd w:val="0"/>
        <w:rPr>
          <w:rFonts w:ascii="Times New Roman" w:hAnsi="Times New Roman" w:cs="Times New Roman"/>
          <w:color w:val="auto"/>
          <w:sz w:val="21"/>
          <w:szCs w:val="21"/>
        </w:rPr>
      </w:pPr>
      <w:bookmarkStart w:id="1" w:name="OLE_LINK9"/>
      <w:r>
        <w:rPr>
          <w:rFonts w:ascii="Times New Roman" w:hAnsi="Times New Roman" w:cs="Times New Roman"/>
          <w:color w:val="auto"/>
          <w:sz w:val="21"/>
          <w:szCs w:val="21"/>
        </w:rPr>
        <w:t>State Key Laboratory of Medicinal Chemical Biology, College of Pharmacy and Tianjin Key Laboratory of Molecular Drug Research, Nankai University, Tianjin 300350, China</w:t>
      </w:r>
    </w:p>
    <w:p w14:paraId="399C9916">
      <w:pPr>
        <w:pStyle w:val="36"/>
        <w:numPr>
          <w:ilvl w:val="0"/>
          <w:numId w:val="1"/>
        </w:numPr>
        <w:adjustRightInd w:val="0"/>
        <w:rPr>
          <w:rFonts w:ascii="Times New Roman" w:hAnsi="Times New Roman" w:cs="Times New Roman"/>
          <w:color w:val="auto"/>
          <w:sz w:val="21"/>
          <w:szCs w:val="21"/>
        </w:rPr>
      </w:pPr>
      <w:r>
        <w:rPr>
          <w:rFonts w:hint="eastAsia" w:ascii="Times New Roman" w:hAnsi="Times New Roman" w:cs="Times New Roman"/>
          <w:color w:val="auto"/>
          <w:sz w:val="21"/>
          <w:szCs w:val="21"/>
        </w:rPr>
        <w:t>Guangxi Key Laboratory of Efficacy Study on Chinese Materia Medica, Guangxi University of Chinese Medicine, Nanning 530200, China</w:t>
      </w:r>
    </w:p>
    <w:bookmarkEnd w:id="1"/>
    <w:p w14:paraId="47A9AD1F">
      <w:pPr>
        <w:rPr>
          <w:rFonts w:ascii="Calibri" w:hAnsi="Calibri" w:cs="Calibri"/>
          <w:b/>
          <w:color w:val="auto"/>
          <w:szCs w:val="21"/>
        </w:rPr>
      </w:pPr>
    </w:p>
    <w:p w14:paraId="536346B7">
      <w:pPr>
        <w:rPr>
          <w:rFonts w:ascii="Calibri" w:hAnsi="Calibri" w:cs="Calibri"/>
          <w:b/>
          <w:color w:val="auto"/>
          <w:szCs w:val="21"/>
        </w:rPr>
      </w:pPr>
      <w:r>
        <w:rPr>
          <w:rFonts w:hint="eastAsia" w:ascii="Calibri" w:hAnsi="Calibri" w:cs="Calibri"/>
          <w:b/>
          <w:color w:val="auto"/>
          <w:szCs w:val="21"/>
        </w:rPr>
        <w:t xml:space="preserve">1. </w:t>
      </w:r>
      <w:r>
        <w:rPr>
          <w:rFonts w:ascii="Calibri" w:hAnsi="Calibri" w:cs="Calibri"/>
          <w:b/>
          <w:color w:val="auto"/>
          <w:szCs w:val="21"/>
        </w:rPr>
        <w:t xml:space="preserve">Synthesis and </w:t>
      </w:r>
      <w:r>
        <w:rPr>
          <w:rFonts w:hint="eastAsia" w:ascii="Calibri" w:hAnsi="Calibri" w:cs="Calibri"/>
          <w:b/>
          <w:color w:val="auto"/>
          <w:szCs w:val="21"/>
        </w:rPr>
        <w:t>identification</w:t>
      </w:r>
      <w:r>
        <w:rPr>
          <w:rFonts w:ascii="Calibri" w:hAnsi="Calibri" w:cs="Calibri"/>
          <w:b/>
          <w:color w:val="auto"/>
          <w:szCs w:val="21"/>
        </w:rPr>
        <w:t xml:space="preserve"> of</w:t>
      </w:r>
      <w:r>
        <w:rPr>
          <w:rFonts w:hint="eastAsia" w:ascii="Calibri" w:hAnsi="Calibri" w:cs="Calibri"/>
          <w:b/>
          <w:color w:val="auto"/>
          <w:szCs w:val="21"/>
        </w:rPr>
        <w:t xml:space="preserve"> Al-Mag and</w:t>
      </w:r>
      <w:r>
        <w:rPr>
          <w:rFonts w:ascii="Calibri" w:hAnsi="Calibri" w:cs="Calibri"/>
          <w:b/>
          <w:color w:val="auto"/>
          <w:szCs w:val="21"/>
        </w:rPr>
        <w:t xml:space="preserve"> Ve-ATI Probe</w:t>
      </w:r>
      <w:r>
        <w:rPr>
          <w:rFonts w:hint="eastAsia" w:ascii="Calibri" w:hAnsi="Calibri" w:cs="Calibri"/>
          <w:b/>
          <w:color w:val="auto"/>
          <w:szCs w:val="21"/>
        </w:rPr>
        <w:t>s</w:t>
      </w:r>
    </w:p>
    <w:p w14:paraId="229CCD1F">
      <w:pPr>
        <w:rPr>
          <w:rFonts w:hint="eastAsia"/>
          <w:color w:val="auto"/>
        </w:rPr>
      </w:pPr>
      <w:r>
        <w:rPr>
          <w:rFonts w:hint="eastAsia" w:ascii="Times New Roman" w:hAnsi="Times New Roman" w:cs="Times New Roman"/>
          <w:color w:val="auto"/>
          <w:szCs w:val="21"/>
        </w:rPr>
        <w:t>Magnolol (266.3 mg, 1.5 mmol) and sodium bicarbonate (252.0 mg, 3.0 mmol) were added to dry N,N-dimethylformamide (5 mL). The mixture was cooled in an ice bath, and propargyl bromide (181.95 mg, 1.5 mmol) was added dropwise. After the addition, the ice bath was removed. The reaction mixture was stirred at room temperature and monitored by TLC, reaching completion in 12 hours. The mixture was then acidified with 1 mol/L hydrochloric acid and extracted with dichloromethane. The aqueous layer was extracted twice with dichloromethane. The combined organic layers were dried over anhydrous sodium sulfate and concentrated under reduced pressure to obtain the crude product.</w:t>
      </w:r>
      <w:r>
        <w:rPr>
          <w:rFonts w:hint="eastAsia"/>
          <w:color w:val="auto"/>
        </w:rPr>
        <w:t xml:space="preserve"> </w:t>
      </w:r>
      <w:r>
        <w:rPr>
          <w:rFonts w:hint="eastAsia" w:ascii="Times New Roman" w:hAnsi="Times New Roman" w:cs="Times New Roman"/>
          <w:color w:val="auto"/>
          <w:szCs w:val="21"/>
        </w:rPr>
        <w:t>Then, the probe Mag modified with alkyne (Al-Mag) was obtained by column chromatography, appearing as a brown oily substance (243.7 mg, 79%).</w:t>
      </w:r>
      <w:r>
        <w:rPr>
          <w:rFonts w:hint="eastAsia"/>
          <w:color w:val="auto"/>
        </w:rPr>
        <w:t xml:space="preserve"> </w:t>
      </w:r>
    </w:p>
    <w:p w14:paraId="7475F4A7">
      <w:pPr>
        <w:ind w:firstLine="210" w:firstLineChars="100"/>
        <w:rPr>
          <w:rFonts w:ascii="Times New Roman" w:hAnsi="Times New Roman" w:cs="Times New Roman"/>
          <w:color w:val="auto"/>
          <w:szCs w:val="21"/>
        </w:rPr>
      </w:pPr>
      <w:r>
        <w:rPr>
          <w:color w:val="auto"/>
        </w:rPr>
        <w:drawing>
          <wp:anchor distT="0" distB="0" distL="114300" distR="114300" simplePos="0" relativeHeight="251661312" behindDoc="0" locked="0" layoutInCell="1" allowOverlap="1">
            <wp:simplePos x="0" y="0"/>
            <wp:positionH relativeFrom="column">
              <wp:posOffset>-76200</wp:posOffset>
            </wp:positionH>
            <wp:positionV relativeFrom="paragraph">
              <wp:posOffset>1088390</wp:posOffset>
            </wp:positionV>
            <wp:extent cx="5401310" cy="4037965"/>
            <wp:effectExtent l="0" t="0" r="8890" b="635"/>
            <wp:wrapTopAndBottom/>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4" cstate="print">
                      <a:extLst>
                        <a:ext uri="{28A0092B-C50C-407E-A947-70E740481C1C}">
                          <a14:useLocalDpi xmlns:a14="http://schemas.microsoft.com/office/drawing/2010/main" val="0"/>
                        </a:ext>
                      </a:extLst>
                    </a:blip>
                    <a:srcRect t="1" b="57942"/>
                    <a:stretch>
                      <a:fillRect/>
                    </a:stretch>
                  </pic:blipFill>
                  <pic:spPr>
                    <a:xfrm>
                      <a:off x="0" y="0"/>
                      <a:ext cx="5401310" cy="4037965"/>
                    </a:xfrm>
                    <a:prstGeom prst="rect">
                      <a:avLst/>
                    </a:prstGeom>
                    <a:noFill/>
                    <a:ln>
                      <a:noFill/>
                    </a:ln>
                  </pic:spPr>
                </pic:pic>
              </a:graphicData>
            </a:graphic>
          </wp:anchor>
        </w:drawing>
      </w:r>
      <w:r>
        <w:rPr>
          <w:rFonts w:hint="eastAsia" w:ascii="Times New Roman" w:hAnsi="Times New Roman" w:cs="Times New Roman"/>
          <w:color w:val="auto"/>
          <w:szCs w:val="21"/>
        </w:rPr>
        <w:t xml:space="preserve">Proton NMR results: </w:t>
      </w:r>
      <w:r>
        <w:rPr>
          <w:rFonts w:hint="eastAsia" w:ascii="Times New Roman" w:hAnsi="Times New Roman" w:cs="Times New Roman"/>
          <w:color w:val="auto"/>
          <w:szCs w:val="21"/>
          <w:vertAlign w:val="superscript"/>
        </w:rPr>
        <w:t>1</w:t>
      </w:r>
      <w:r>
        <w:rPr>
          <w:rFonts w:hint="eastAsia" w:ascii="Times New Roman" w:hAnsi="Times New Roman" w:cs="Times New Roman"/>
          <w:color w:val="auto"/>
          <w:szCs w:val="21"/>
        </w:rPr>
        <w:t>H NMR (400 MHz, CDCl</w:t>
      </w:r>
      <w:r>
        <w:rPr>
          <w:rFonts w:hint="eastAsia" w:ascii="Times New Roman" w:hAnsi="Times New Roman" w:cs="Times New Roman"/>
          <w:color w:val="auto"/>
          <w:szCs w:val="21"/>
          <w:vertAlign w:val="subscript"/>
        </w:rPr>
        <w:t>3</w:t>
      </w:r>
      <w:r>
        <w:rPr>
          <w:rFonts w:hint="eastAsia" w:ascii="Times New Roman" w:hAnsi="Times New Roman" w:cs="Times New Roman"/>
          <w:color w:val="auto"/>
          <w:szCs w:val="21"/>
        </w:rPr>
        <w:t>) δ 7.19 (dd, J = 8.4, 2.3 Hz, 1H), 7.14 (d, J = 2.3 Hz, 1H), 7.12 - 7.07 (m, 2H), 7.04 (d, J = 2.3 Hz, 1H), 6.93 (d, J = 8.2 Hz, 1H), 6.07 - 5.87 (m, 2H), 5.28 - 4.87 (m, 4H), 4.67 (d, J = 2.4 Hz, 2H), 3.38 (d, J = 6.6 Hz, 2H), 3.36 (d, J = 6.7 Hz, 2H), 2.51 (t, J = 2.4 Hz, 1H).</w:t>
      </w:r>
      <w:r>
        <w:rPr>
          <w:rFonts w:ascii="Times New Roman" w:hAnsi="Times New Roman" w:cs="Times New Roman"/>
          <w:color w:val="auto"/>
          <w:szCs w:val="21"/>
        </w:rPr>
        <w:t>The synthesis route is provided in Fig</w:t>
      </w:r>
      <w:r>
        <w:rPr>
          <w:rFonts w:hint="eastAsia" w:ascii="Times New Roman" w:hAnsi="Times New Roman" w:cs="Times New Roman"/>
          <w:color w:val="auto"/>
          <w:szCs w:val="21"/>
        </w:rPr>
        <w:t>.</w:t>
      </w:r>
      <w:r>
        <w:rPr>
          <w:rFonts w:ascii="Times New Roman" w:hAnsi="Times New Roman" w:cs="Times New Roman"/>
          <w:color w:val="auto"/>
          <w:szCs w:val="21"/>
        </w:rPr>
        <w:t xml:space="preserve"> S</w:t>
      </w:r>
      <w:r>
        <w:rPr>
          <w:rFonts w:hint="eastAsia" w:ascii="Times New Roman" w:hAnsi="Times New Roman" w:cs="Times New Roman"/>
          <w:color w:val="auto"/>
          <w:szCs w:val="21"/>
        </w:rPr>
        <w:t>1</w:t>
      </w:r>
      <w:r>
        <w:rPr>
          <w:rFonts w:ascii="Times New Roman" w:hAnsi="Times New Roman" w:cs="Times New Roman"/>
          <w:color w:val="auto"/>
          <w:szCs w:val="21"/>
        </w:rPr>
        <w:t>A, and the NMR results are presented in Fig</w:t>
      </w:r>
      <w:r>
        <w:rPr>
          <w:rFonts w:hint="eastAsia" w:ascii="Times New Roman" w:hAnsi="Times New Roman" w:cs="Times New Roman"/>
          <w:color w:val="auto"/>
          <w:szCs w:val="21"/>
        </w:rPr>
        <w:t>.</w:t>
      </w:r>
      <w:r>
        <w:rPr>
          <w:rFonts w:ascii="Times New Roman" w:hAnsi="Times New Roman" w:cs="Times New Roman"/>
          <w:color w:val="auto"/>
          <w:szCs w:val="21"/>
        </w:rPr>
        <w:t xml:space="preserve"> S</w:t>
      </w:r>
      <w:r>
        <w:rPr>
          <w:rFonts w:hint="eastAsia" w:ascii="Times New Roman" w:hAnsi="Times New Roman" w:cs="Times New Roman"/>
          <w:color w:val="auto"/>
          <w:szCs w:val="21"/>
        </w:rPr>
        <w:t>1</w:t>
      </w:r>
      <w:r>
        <w:rPr>
          <w:rFonts w:ascii="Times New Roman" w:hAnsi="Times New Roman" w:cs="Times New Roman"/>
          <w:color w:val="auto"/>
          <w:szCs w:val="21"/>
        </w:rPr>
        <w:t>B.</w:t>
      </w:r>
    </w:p>
    <w:p w14:paraId="6C379510">
      <w:pPr>
        <w:rPr>
          <w:rFonts w:ascii="Times New Roman" w:hAnsi="Times New Roman" w:cs="Times New Roman"/>
          <w:color w:val="auto"/>
          <w:szCs w:val="21"/>
        </w:rPr>
      </w:pPr>
      <w:r>
        <w:rPr>
          <w:rFonts w:hint="eastAsia" w:ascii="Times New Roman" w:hAnsi="Times New Roman" w:cs="Times New Roman"/>
          <w:b/>
          <w:bCs/>
          <w:color w:val="auto"/>
        </w:rPr>
        <w:t xml:space="preserve">Fig. </w:t>
      </w:r>
      <w:r>
        <w:rPr>
          <w:rFonts w:ascii="Times New Roman" w:hAnsi="Times New Roman" w:cs="Times New Roman"/>
          <w:b/>
          <w:bCs/>
          <w:color w:val="auto"/>
        </w:rPr>
        <w:t>S</w:t>
      </w:r>
      <w:r>
        <w:rPr>
          <w:rFonts w:hint="eastAsia" w:ascii="Times New Roman" w:hAnsi="Times New Roman" w:cs="Times New Roman"/>
          <w:b/>
          <w:bCs/>
          <w:color w:val="auto"/>
        </w:rPr>
        <w:t xml:space="preserve">1 </w:t>
      </w:r>
      <w:r>
        <w:rPr>
          <w:rFonts w:ascii="Times New Roman" w:hAnsi="Times New Roman" w:cs="Times New Roman"/>
          <w:color w:val="auto"/>
        </w:rPr>
        <w:t xml:space="preserve">Synthesis and </w:t>
      </w:r>
      <w:r>
        <w:rPr>
          <w:rFonts w:hint="eastAsia" w:ascii="Times New Roman" w:hAnsi="Times New Roman" w:cs="Times New Roman"/>
          <w:color w:val="auto"/>
        </w:rPr>
        <w:t>identification</w:t>
      </w:r>
      <w:r>
        <w:rPr>
          <w:rFonts w:ascii="Times New Roman" w:hAnsi="Times New Roman" w:cs="Times New Roman"/>
          <w:color w:val="auto"/>
        </w:rPr>
        <w:t xml:space="preserve"> of </w:t>
      </w:r>
      <w:r>
        <w:rPr>
          <w:rFonts w:hint="eastAsia" w:ascii="Times New Roman" w:hAnsi="Times New Roman" w:cs="Times New Roman"/>
          <w:color w:val="auto"/>
        </w:rPr>
        <w:t xml:space="preserve">Al-Mag. (A) </w:t>
      </w:r>
      <w:r>
        <w:rPr>
          <w:rFonts w:ascii="Times New Roman" w:hAnsi="Times New Roman" w:cs="Times New Roman"/>
          <w:color w:val="auto"/>
        </w:rPr>
        <w:t xml:space="preserve">Synthesis route of </w:t>
      </w:r>
      <w:r>
        <w:rPr>
          <w:rFonts w:hint="eastAsia" w:ascii="Times New Roman" w:hAnsi="Times New Roman" w:cs="Times New Roman"/>
          <w:color w:val="auto"/>
        </w:rPr>
        <w:t xml:space="preserve">Al-Mag. (B) </w:t>
      </w:r>
      <w:r>
        <w:rPr>
          <w:rFonts w:ascii="Times New Roman" w:hAnsi="Times New Roman" w:cs="Times New Roman"/>
          <w:color w:val="auto"/>
        </w:rPr>
        <w:t xml:space="preserve">NMR Spectrum of </w:t>
      </w:r>
      <w:r>
        <w:rPr>
          <w:rFonts w:hint="eastAsia" w:ascii="Times New Roman" w:hAnsi="Times New Roman" w:cs="Times New Roman"/>
          <w:color w:val="auto"/>
        </w:rPr>
        <w:t>Al-Mag.</w:t>
      </w:r>
    </w:p>
    <w:p w14:paraId="2B5E8452">
      <w:pPr>
        <w:rPr>
          <w:rFonts w:ascii="Times New Roman" w:hAnsi="Times New Roman" w:cs="Times New Roman"/>
          <w:color w:val="auto"/>
          <w:szCs w:val="21"/>
        </w:rPr>
      </w:pPr>
    </w:p>
    <w:p w14:paraId="6406FADB">
      <w:pPr>
        <w:rPr>
          <w:rFonts w:hint="eastAsia"/>
          <w:color w:val="auto"/>
        </w:rPr>
      </w:pPr>
      <w:r>
        <w:rPr>
          <w:rFonts w:ascii="Times New Roman" w:hAnsi="Times New Roman" w:cs="Times New Roman"/>
          <w:color w:val="auto"/>
          <w:szCs w:val="21"/>
        </w:rPr>
        <w:t>The synthesis of Ve-ATI is provided in</w:t>
      </w:r>
      <w:r>
        <w:rPr>
          <w:rFonts w:hint="eastAsia" w:ascii="Times New Roman" w:hAnsi="Times New Roman" w:cs="Times New Roman"/>
          <w:color w:val="auto"/>
          <w:szCs w:val="21"/>
        </w:rPr>
        <w:t xml:space="preserve"> Fig. </w:t>
      </w:r>
      <w:r>
        <w:rPr>
          <w:rFonts w:ascii="Times New Roman" w:hAnsi="Times New Roman" w:cs="Times New Roman"/>
          <w:color w:val="auto"/>
          <w:szCs w:val="21"/>
        </w:rPr>
        <w:t>S</w:t>
      </w:r>
      <w:r>
        <w:rPr>
          <w:rFonts w:hint="eastAsia" w:ascii="Times New Roman" w:hAnsi="Times New Roman" w:cs="Times New Roman"/>
          <w:color w:val="auto"/>
          <w:szCs w:val="21"/>
        </w:rPr>
        <w:t>2A</w:t>
      </w:r>
      <w:r>
        <w:rPr>
          <w:rFonts w:ascii="Times New Roman" w:hAnsi="Times New Roman" w:cs="Times New Roman"/>
          <w:color w:val="auto"/>
          <w:szCs w:val="21"/>
        </w:rPr>
        <w:t xml:space="preserve">. First, the starting material ATI (1.0 g, 4.34 mmol) is dissolved in 1,4-dioxane (22 mL), and selenium dioxide (SeO₂, 481.83 mg, 4.34 mmol) is added at 60°C. After the reaction is complete, the product, an allylic alcohol intermediate (product </w:t>
      </w:r>
      <w:r>
        <w:rPr>
          <w:rFonts w:hint="eastAsia" w:ascii="Times New Roman" w:hAnsi="Times New Roman" w:cs="Times New Roman"/>
          <w:color w:val="auto"/>
          <w:szCs w:val="21"/>
        </w:rPr>
        <w:t>1</w:t>
      </w:r>
      <w:r>
        <w:rPr>
          <w:rFonts w:ascii="Times New Roman" w:hAnsi="Times New Roman" w:cs="Times New Roman"/>
          <w:color w:val="auto"/>
          <w:szCs w:val="21"/>
        </w:rPr>
        <w:t>), is isolated by column chromatography. Next, n-butyl vinyl ether (1.5 g, 12.9 mmol) reacts with p-toluenesulfonyl chloride (TsCl, 2.457 g, 12.9 mmol) under nitrogen protection, with triethylamine (Et₃N, 2.</w:t>
      </w:r>
      <w:r>
        <w:rPr>
          <w:rFonts w:hint="eastAsia" w:ascii="Times New Roman" w:hAnsi="Times New Roman" w:cs="Times New Roman"/>
          <w:color w:val="auto"/>
          <w:szCs w:val="21"/>
        </w:rPr>
        <w:t>61 g, 25.8 mmol) and catalytic 4-dimethylaminopyridine (DMAP, 0.316 g, 2.6 mmol) added, and stirred at room temperature overnight. After purification by column chromatography, the sulfonate intermediate (product 2) is obtained. Finally, p</w:t>
      </w:r>
      <w:r>
        <w:rPr>
          <w:rFonts w:ascii="Times New Roman" w:hAnsi="Times New Roman" w:cs="Times New Roman"/>
          <w:color w:val="auto"/>
          <w:szCs w:val="21"/>
        </w:rPr>
        <w:t xml:space="preserve">roduct </w:t>
      </w:r>
      <w:r>
        <w:rPr>
          <w:rFonts w:hint="eastAsia" w:ascii="Times New Roman" w:hAnsi="Times New Roman" w:cs="Times New Roman"/>
          <w:color w:val="auto"/>
          <w:szCs w:val="21"/>
        </w:rPr>
        <w:t xml:space="preserve">1 (826 </w:t>
      </w:r>
      <w:r>
        <w:rPr>
          <w:rFonts w:ascii="Times New Roman" w:hAnsi="Times New Roman" w:cs="Times New Roman"/>
          <w:color w:val="auto"/>
          <w:szCs w:val="21"/>
        </w:rPr>
        <w:t xml:space="preserve">mg, 3.35 mmol), product </w:t>
      </w:r>
      <w:r>
        <w:rPr>
          <w:rFonts w:hint="eastAsia" w:ascii="Times New Roman" w:hAnsi="Times New Roman" w:cs="Times New Roman"/>
          <w:color w:val="auto"/>
          <w:szCs w:val="21"/>
        </w:rPr>
        <w:t>2</w:t>
      </w:r>
      <w:r>
        <w:rPr>
          <w:rFonts w:ascii="Times New Roman" w:hAnsi="Times New Roman" w:cs="Times New Roman"/>
          <w:color w:val="auto"/>
          <w:szCs w:val="21"/>
        </w:rPr>
        <w:t xml:space="preserve"> (2.438 g, 10.06 mmol), cesium carbonate (Cs₂CO₃, 4.37 g, 13.41 mmol), and potassium carbonate (K₂CO₃, 1.719 g, 13.41 mmol) are dissolved together in DMF and reacted at 80°C overnight. The reaction mixture is purified by column c</w:t>
      </w:r>
      <w:r>
        <w:rPr>
          <w:rFonts w:hint="eastAsia" w:ascii="Times New Roman" w:hAnsi="Times New Roman" w:cs="Times New Roman"/>
          <w:color w:val="auto"/>
          <w:szCs w:val="21"/>
        </w:rPr>
        <w:t xml:space="preserve">hromatography to ultimately yield the target compound </w:t>
      </w:r>
      <w:r>
        <w:rPr>
          <w:rFonts w:ascii="Times New Roman" w:hAnsi="Times New Roman" w:cs="Times New Roman"/>
          <w:color w:val="auto"/>
          <w:szCs w:val="21"/>
        </w:rPr>
        <w:t>vinyl ether-modified ATI (</w:t>
      </w:r>
      <w:r>
        <w:rPr>
          <w:rFonts w:hint="eastAsia" w:ascii="Times New Roman" w:hAnsi="Times New Roman" w:cs="Times New Roman"/>
          <w:color w:val="auto"/>
          <w:szCs w:val="21"/>
        </w:rPr>
        <w:t>Ve</w:t>
      </w:r>
      <w:r>
        <w:rPr>
          <w:rFonts w:ascii="Times New Roman" w:hAnsi="Times New Roman" w:cs="Times New Roman"/>
          <w:color w:val="auto"/>
          <w:szCs w:val="21"/>
        </w:rPr>
        <w:t>-ATI) probe</w:t>
      </w:r>
      <w:r>
        <w:rPr>
          <w:rFonts w:hint="eastAsia" w:ascii="Times New Roman" w:hAnsi="Times New Roman" w:cs="Times New Roman"/>
          <w:color w:val="auto"/>
          <w:szCs w:val="21"/>
        </w:rPr>
        <w:t>,</w:t>
      </w:r>
      <w:r>
        <w:rPr>
          <w:rFonts w:ascii="Times New Roman" w:hAnsi="Times New Roman" w:cs="Times New Roman"/>
          <w:color w:val="auto"/>
          <w:szCs w:val="21"/>
        </w:rPr>
        <w:t xml:space="preserve"> and the NMR results are presented in Fig</w:t>
      </w:r>
      <w:r>
        <w:rPr>
          <w:rFonts w:hint="eastAsia" w:ascii="Times New Roman" w:hAnsi="Times New Roman" w:cs="Times New Roman"/>
          <w:color w:val="auto"/>
          <w:szCs w:val="21"/>
        </w:rPr>
        <w:t>.</w:t>
      </w:r>
      <w:r>
        <w:rPr>
          <w:rFonts w:ascii="Times New Roman" w:hAnsi="Times New Roman" w:cs="Times New Roman"/>
          <w:color w:val="auto"/>
          <w:szCs w:val="21"/>
        </w:rPr>
        <w:t xml:space="preserve"> S</w:t>
      </w:r>
      <w:r>
        <w:rPr>
          <w:rFonts w:hint="eastAsia" w:ascii="Times New Roman" w:hAnsi="Times New Roman" w:cs="Times New Roman"/>
          <w:color w:val="auto"/>
          <w:szCs w:val="21"/>
        </w:rPr>
        <w:t>2B</w:t>
      </w:r>
      <w:r>
        <w:rPr>
          <w:rFonts w:ascii="Times New Roman" w:hAnsi="Times New Roman" w:cs="Times New Roman"/>
          <w:color w:val="auto"/>
          <w:szCs w:val="21"/>
        </w:rPr>
        <w:t>.</w:t>
      </w:r>
      <w:r>
        <w:rPr>
          <w:rFonts w:hint="eastAsia"/>
          <w:color w:val="auto"/>
        </w:rPr>
        <w:t xml:space="preserve"> </w:t>
      </w:r>
    </w:p>
    <w:p w14:paraId="7AD27ED1">
      <w:pPr>
        <w:ind w:left="105" w:leftChars="50" w:firstLine="105" w:firstLineChars="50"/>
        <w:rPr>
          <w:rFonts w:ascii="Times New Roman" w:hAnsi="Times New Roman" w:cs="Times New Roman"/>
          <w:color w:val="auto"/>
        </w:rPr>
      </w:pPr>
      <w:r>
        <w:rPr>
          <w:rFonts w:hint="eastAsia" w:ascii="Times New Roman" w:hAnsi="Times New Roman" w:cs="Times New Roman"/>
          <w:color w:val="auto"/>
          <w:szCs w:val="21"/>
        </w:rPr>
        <w:t xml:space="preserve">Proton NMR results: </w:t>
      </w:r>
      <w:r>
        <w:rPr>
          <w:rFonts w:hint="eastAsia" w:ascii="Times New Roman" w:hAnsi="Times New Roman" w:cs="Times New Roman"/>
          <w:color w:val="auto"/>
          <w:szCs w:val="21"/>
          <w:vertAlign w:val="superscript"/>
        </w:rPr>
        <w:t>1</w:t>
      </w:r>
      <w:r>
        <w:rPr>
          <w:rFonts w:hint="eastAsia" w:ascii="Times New Roman" w:hAnsi="Times New Roman" w:cs="Times New Roman"/>
          <w:color w:val="auto"/>
          <w:szCs w:val="21"/>
        </w:rPr>
        <w:t>H NMR (400 MHz, CDCl</w:t>
      </w:r>
      <w:r>
        <w:rPr>
          <w:rFonts w:hint="eastAsia" w:ascii="Times New Roman" w:hAnsi="Times New Roman" w:cs="Times New Roman"/>
          <w:color w:val="auto"/>
          <w:szCs w:val="21"/>
          <w:vertAlign w:val="subscript"/>
        </w:rPr>
        <w:t>3</w:t>
      </w:r>
      <w:r>
        <w:rPr>
          <w:rFonts w:hint="eastAsia" w:ascii="Times New Roman" w:hAnsi="Times New Roman" w:cs="Times New Roman"/>
          <w:color w:val="auto"/>
          <w:szCs w:val="21"/>
        </w:rPr>
        <w:t>) δ 8.15 - 8.02 (m, 4H), 7.26 (s, 5H), 6.56 -6.45 (m, 1H), 5.67 (d, J = 4.7 Hz, 2H), 5.41 (d, J = 4.6 Hz, 1H), 5.02 - 4.96 (m, 1H), 4.57 (q, J = 4.7 Hz, 2H), 4.23 (ddd, J = 14.0, 4.7, 2.4 Hz, 1H), 4.07 (ddd, J = 7.5, 4.9, 2.5 Hz, 1H), 4.02 (q, J = 4.7 Hz, 2H), 3.49 (d, J = 5.1 Hz, 6H), 2.82 (d, J = 13.6 Hz, 1H), 2.72 (dt, J = 17.0, 4.3 Hz, 1H), 2.54 (t, J = 15.5 Hz, 1H), 2.13 - 2.04 (m, 2H), 2.04 (s, 1H), 1.94 - 1.88 (m, 3H), 1.43 (d, J = 5.3 Hz, 1H), 1.36 - 1.22 (m, 4H), 1.01 (d, J = 4.6 Hz, 3H), 0.86 (s, 1H).</w:t>
      </w:r>
    </w:p>
    <w:p w14:paraId="78582144">
      <w:pPr>
        <w:jc w:val="center"/>
        <w:rPr>
          <w:rFonts w:ascii="Times New Roman" w:hAnsi="Times New Roman" w:cs="Times New Roman"/>
          <w:b/>
          <w:bCs/>
          <w:color w:val="auto"/>
        </w:rPr>
      </w:pPr>
      <w:r>
        <w:rPr>
          <w:rFonts w:ascii="Times New Roman" w:hAnsi="Times New Roman" w:cs="Times New Roman"/>
          <w:b/>
          <w:bCs/>
          <w:color w:val="auto"/>
        </w:rPr>
        <w:drawing>
          <wp:inline distT="0" distB="0" distL="0" distR="0">
            <wp:extent cx="5039995" cy="5292090"/>
            <wp:effectExtent l="0" t="0" r="8255" b="3810"/>
            <wp:docPr id="43"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4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0" y="0"/>
                      <a:ext cx="5040000" cy="5292291"/>
                    </a:xfrm>
                    <a:prstGeom prst="rect">
                      <a:avLst/>
                    </a:prstGeom>
                    <a:noFill/>
                  </pic:spPr>
                </pic:pic>
              </a:graphicData>
            </a:graphic>
          </wp:inline>
        </w:drawing>
      </w:r>
    </w:p>
    <w:p w14:paraId="68012BF5">
      <w:pPr>
        <w:jc w:val="center"/>
        <w:rPr>
          <w:rFonts w:ascii="Times New Roman" w:hAnsi="Times New Roman" w:cs="Times New Roman"/>
          <w:b/>
          <w:bCs/>
          <w:color w:val="auto"/>
        </w:rPr>
      </w:pPr>
    </w:p>
    <w:p w14:paraId="10003265">
      <w:pPr>
        <w:rPr>
          <w:rFonts w:ascii="Times New Roman" w:hAnsi="Times New Roman" w:cs="Times New Roman"/>
          <w:color w:val="auto"/>
          <w:szCs w:val="21"/>
        </w:rPr>
      </w:pPr>
      <w:r>
        <w:rPr>
          <w:rFonts w:hint="eastAsia" w:ascii="Times New Roman" w:hAnsi="Times New Roman" w:cs="Times New Roman"/>
          <w:b/>
          <w:bCs/>
          <w:color w:val="auto"/>
        </w:rPr>
        <w:t xml:space="preserve">Fig. </w:t>
      </w:r>
      <w:r>
        <w:rPr>
          <w:rFonts w:ascii="Times New Roman" w:hAnsi="Times New Roman" w:cs="Times New Roman"/>
          <w:b/>
          <w:bCs/>
          <w:color w:val="auto"/>
        </w:rPr>
        <w:t>S</w:t>
      </w:r>
      <w:r>
        <w:rPr>
          <w:rFonts w:hint="eastAsia" w:ascii="Times New Roman" w:hAnsi="Times New Roman" w:cs="Times New Roman"/>
          <w:b/>
          <w:bCs/>
          <w:color w:val="auto"/>
        </w:rPr>
        <w:t>2</w:t>
      </w:r>
      <w:r>
        <w:rPr>
          <w:rFonts w:hint="eastAsia" w:ascii="Times New Roman" w:hAnsi="Times New Roman" w:cs="Times New Roman"/>
          <w:color w:val="auto"/>
        </w:rPr>
        <w:t xml:space="preserve"> </w:t>
      </w:r>
      <w:r>
        <w:rPr>
          <w:rFonts w:ascii="Times New Roman" w:hAnsi="Times New Roman" w:cs="Times New Roman"/>
          <w:color w:val="auto"/>
        </w:rPr>
        <w:t xml:space="preserve">Synthesis and </w:t>
      </w:r>
      <w:r>
        <w:rPr>
          <w:rFonts w:hint="eastAsia" w:ascii="Times New Roman" w:hAnsi="Times New Roman" w:cs="Times New Roman"/>
          <w:color w:val="auto"/>
        </w:rPr>
        <w:t>identification</w:t>
      </w:r>
      <w:r>
        <w:rPr>
          <w:rFonts w:ascii="Times New Roman" w:hAnsi="Times New Roman" w:cs="Times New Roman"/>
          <w:color w:val="auto"/>
        </w:rPr>
        <w:t xml:space="preserve"> of</w:t>
      </w:r>
      <w:r>
        <w:rPr>
          <w:rFonts w:hint="eastAsia" w:ascii="Times New Roman" w:hAnsi="Times New Roman" w:cs="Times New Roman"/>
          <w:color w:val="auto"/>
        </w:rPr>
        <w:t xml:space="preserve"> </w:t>
      </w:r>
      <w:r>
        <w:rPr>
          <w:rFonts w:ascii="Times New Roman" w:hAnsi="Times New Roman" w:cs="Times New Roman"/>
          <w:color w:val="auto"/>
        </w:rPr>
        <w:t>Ve-ATI Probe</w:t>
      </w:r>
      <w:r>
        <w:rPr>
          <w:rFonts w:hint="eastAsia" w:ascii="Times New Roman" w:hAnsi="Times New Roman" w:cs="Times New Roman"/>
          <w:color w:val="auto"/>
        </w:rPr>
        <w:t xml:space="preserve">. (A) </w:t>
      </w:r>
      <w:r>
        <w:rPr>
          <w:rFonts w:ascii="Times New Roman" w:hAnsi="Times New Roman" w:cs="Times New Roman"/>
          <w:color w:val="auto"/>
        </w:rPr>
        <w:t>Synthesis route of Ve-ATI</w:t>
      </w:r>
      <w:r>
        <w:rPr>
          <w:rFonts w:hint="eastAsia" w:ascii="Times New Roman" w:hAnsi="Times New Roman" w:cs="Times New Roman"/>
          <w:color w:val="auto"/>
        </w:rPr>
        <w:t xml:space="preserve">. (B) </w:t>
      </w:r>
      <w:r>
        <w:rPr>
          <w:rFonts w:ascii="Times New Roman" w:hAnsi="Times New Roman" w:cs="Times New Roman"/>
          <w:color w:val="auto"/>
        </w:rPr>
        <w:t>NMR Spectrum of Ve-ATI</w:t>
      </w:r>
      <w:r>
        <w:rPr>
          <w:rFonts w:hint="eastAsia" w:ascii="Times New Roman" w:hAnsi="Times New Roman" w:cs="Times New Roman"/>
          <w:color w:val="auto"/>
        </w:rPr>
        <w:t xml:space="preserve">. </w:t>
      </w:r>
    </w:p>
    <w:p w14:paraId="7299FEBE">
      <w:pPr>
        <w:rPr>
          <w:rFonts w:ascii="Times New Roman" w:hAnsi="Times New Roman" w:cs="Times New Roman"/>
          <w:b/>
          <w:bCs/>
          <w:color w:val="auto"/>
        </w:rPr>
      </w:pPr>
      <w:r>
        <w:rPr>
          <w:rFonts w:ascii="Times New Roman" w:hAnsi="Times New Roman" w:cs="Times New Roman"/>
          <w:b/>
          <w:bCs/>
          <w:color w:val="auto"/>
        </w:rPr>
        <w:br w:type="page"/>
      </w:r>
      <w:r>
        <w:rPr>
          <w:rFonts w:hint="eastAsia" w:ascii="Calibri" w:hAnsi="Calibri" w:cs="Calibri"/>
          <w:b/>
          <w:color w:val="auto"/>
          <w:szCs w:val="21"/>
        </w:rPr>
        <w:t>2. Histopathological scoring for H&amp;E-stained sections</w:t>
      </w:r>
    </w:p>
    <w:p w14:paraId="18CEA5C1">
      <w:pPr>
        <w:rPr>
          <w:rFonts w:ascii="Times New Roman" w:hAnsi="Times New Roman" w:cs="Times New Roman"/>
          <w:color w:val="auto"/>
        </w:rPr>
      </w:pPr>
      <w:r>
        <w:rPr>
          <w:rFonts w:ascii="Times New Roman" w:hAnsi="Times New Roman" w:cs="Times New Roman"/>
          <w:color w:val="auto"/>
        </w:rPr>
        <w:t>Histologic lung injury score (H</w:t>
      </w:r>
      <w:r>
        <w:rPr>
          <w:rFonts w:hint="eastAsia" w:ascii="Times New Roman" w:hAnsi="Times New Roman" w:cs="Times New Roman"/>
          <w:color w:val="auto"/>
        </w:rPr>
        <w:t>&amp;</w:t>
      </w:r>
      <w:r>
        <w:rPr>
          <w:rFonts w:ascii="Times New Roman" w:hAnsi="Times New Roman" w:cs="Times New Roman"/>
          <w:color w:val="auto"/>
        </w:rPr>
        <w:t>E; 0–5)</w:t>
      </w:r>
      <w:r>
        <w:rPr>
          <w:rFonts w:hint="eastAsia" w:ascii="Times New Roman" w:hAnsi="Times New Roman" w:cs="Times New Roman"/>
          <w:color w:val="auto"/>
        </w:rPr>
        <w:t xml:space="preserve"> was</w:t>
      </w:r>
      <w:r>
        <w:rPr>
          <w:rFonts w:ascii="Times New Roman" w:hAnsi="Times New Roman" w:cs="Times New Roman"/>
          <w:color w:val="auto"/>
        </w:rPr>
        <w:t xml:space="preserve"> adapted from Szapiel [1] (alveolitis/inflammation) and Ashcroft [2] (fibrosis/architectural remodeling). Scoring integrates (i) severity and extent of interstitial/alveolar inflammation, (ii) degree of fibrosis and structural distortion, and (iii) estimated percent parenchyma involved.</w:t>
      </w:r>
    </w:p>
    <w:p w14:paraId="4AB991CA">
      <w:pPr>
        <w:ind w:firstLine="210" w:firstLineChars="100"/>
        <w:rPr>
          <w:rFonts w:ascii="Times New Roman" w:hAnsi="Times New Roman" w:cs="Times New Roman"/>
          <w:color w:val="auto"/>
        </w:rPr>
      </w:pPr>
      <w:r>
        <w:rPr>
          <w:rFonts w:ascii="Times New Roman" w:hAnsi="Times New Roman" w:cs="Times New Roman"/>
          <w:color w:val="auto"/>
        </w:rPr>
        <w:t>0 (Normal): Preserved alveolar architecture; thin, uniform septa; no relevant inflammatory infiltrates; no septal expansion, fibrosis, or distortion.</w:t>
      </w:r>
    </w:p>
    <w:p w14:paraId="4C1AC075">
      <w:pPr>
        <w:ind w:firstLine="210" w:firstLineChars="100"/>
        <w:rPr>
          <w:rFonts w:ascii="Times New Roman" w:hAnsi="Times New Roman" w:cs="Times New Roman"/>
          <w:color w:val="auto"/>
        </w:rPr>
      </w:pPr>
      <w:r>
        <w:rPr>
          <w:rFonts w:ascii="Times New Roman" w:hAnsi="Times New Roman" w:cs="Times New Roman"/>
          <w:color w:val="auto"/>
        </w:rPr>
        <w:t xml:space="preserve">1 (Minimal, &lt;10%): Focal mild perivascular/peribronchiolar cuffing (typically </w:t>
      </w:r>
      <w:r>
        <w:rPr>
          <w:rFonts w:hint="eastAsia" w:ascii="Times New Roman" w:hAnsi="Times New Roman" w:cs="Times New Roman"/>
          <w:color w:val="auto"/>
        </w:rPr>
        <w:t>≤</w:t>
      </w:r>
      <w:r>
        <w:rPr>
          <w:rFonts w:ascii="Times New Roman" w:hAnsi="Times New Roman" w:cs="Times New Roman"/>
          <w:color w:val="auto"/>
        </w:rPr>
        <w:t>1</w:t>
      </w:r>
      <w:r>
        <w:rPr>
          <w:rFonts w:hint="eastAsia" w:ascii="Times New Roman" w:hAnsi="Times New Roman" w:cs="Times New Roman"/>
          <w:color w:val="auto"/>
        </w:rPr>
        <w:t>–</w:t>
      </w:r>
      <w:r>
        <w:rPr>
          <w:rFonts w:ascii="Times New Roman" w:hAnsi="Times New Roman" w:cs="Times New Roman"/>
          <w:color w:val="auto"/>
        </w:rPr>
        <w:t>2 cell layers) and/or scattered interstitial inflammatory cells; focal mild septal thickening; no definite fibrotic bands or architectural damage.</w:t>
      </w:r>
    </w:p>
    <w:p w14:paraId="39562CAF">
      <w:pPr>
        <w:ind w:firstLine="210" w:firstLineChars="100"/>
        <w:rPr>
          <w:rFonts w:ascii="Times New Roman" w:hAnsi="Times New Roman" w:cs="Times New Roman"/>
          <w:color w:val="auto"/>
        </w:rPr>
      </w:pPr>
      <w:r>
        <w:rPr>
          <w:rFonts w:ascii="Times New Roman" w:hAnsi="Times New Roman" w:cs="Times New Roman"/>
          <w:color w:val="auto"/>
        </w:rPr>
        <w:t>2 (Mild, 10</w:t>
      </w:r>
      <w:r>
        <w:rPr>
          <w:rFonts w:hint="eastAsia" w:ascii="Times New Roman" w:hAnsi="Times New Roman" w:cs="Times New Roman"/>
          <w:color w:val="auto"/>
        </w:rPr>
        <w:t>–</w:t>
      </w:r>
      <w:r>
        <w:rPr>
          <w:rFonts w:ascii="Times New Roman" w:hAnsi="Times New Roman" w:cs="Times New Roman"/>
          <w:color w:val="auto"/>
        </w:rPr>
        <w:t>25%): Multifocal interstitial inflammation with more consistent septal thickening; overall architecture largely preserved; early repair changes (focal fibroblast proliferation and/or pale extracellular matrix) without well-formed fibrotic bundles.</w:t>
      </w:r>
    </w:p>
    <w:p w14:paraId="39FD09CB">
      <w:pPr>
        <w:ind w:firstLine="210" w:firstLineChars="100"/>
        <w:rPr>
          <w:rFonts w:ascii="Times New Roman" w:hAnsi="Times New Roman" w:cs="Times New Roman"/>
          <w:color w:val="auto"/>
        </w:rPr>
      </w:pPr>
      <w:r>
        <w:rPr>
          <w:rFonts w:ascii="Times New Roman" w:hAnsi="Times New Roman" w:cs="Times New Roman"/>
          <w:color w:val="auto"/>
        </w:rPr>
        <w:t>3 (Moderate, 26</w:t>
      </w:r>
      <w:r>
        <w:rPr>
          <w:rFonts w:hint="eastAsia" w:ascii="Times New Roman" w:hAnsi="Times New Roman" w:cs="Times New Roman"/>
          <w:color w:val="auto"/>
        </w:rPr>
        <w:t>–</w:t>
      </w:r>
      <w:r>
        <w:rPr>
          <w:rFonts w:ascii="Times New Roman" w:hAnsi="Times New Roman" w:cs="Times New Roman"/>
          <w:color w:val="auto"/>
        </w:rPr>
        <w:t>50%): Patchy to near-diffuse alveolitis/interstitial inflammation with marked septal thickening; may show intra-alveolar exudate and increased macrophages, focal consolidation or collapse; definite fibrotic foci/bands with mild</w:t>
      </w:r>
      <w:r>
        <w:rPr>
          <w:rFonts w:hint="eastAsia" w:ascii="Times New Roman" w:hAnsi="Times New Roman" w:cs="Times New Roman"/>
          <w:color w:val="auto"/>
        </w:rPr>
        <w:t>–</w:t>
      </w:r>
      <w:r>
        <w:rPr>
          <w:rFonts w:ascii="Times New Roman" w:hAnsi="Times New Roman" w:cs="Times New Roman"/>
          <w:color w:val="auto"/>
        </w:rPr>
        <w:t>moderate architectural distortion.</w:t>
      </w:r>
    </w:p>
    <w:p w14:paraId="3B6D90E1">
      <w:pPr>
        <w:ind w:firstLine="210" w:firstLineChars="100"/>
        <w:rPr>
          <w:rFonts w:ascii="Times New Roman" w:hAnsi="Times New Roman" w:cs="Times New Roman"/>
          <w:color w:val="auto"/>
        </w:rPr>
      </w:pPr>
      <w:r>
        <w:rPr>
          <w:rFonts w:ascii="Times New Roman" w:hAnsi="Times New Roman" w:cs="Times New Roman"/>
          <w:color w:val="auto"/>
        </w:rPr>
        <w:t>4 (Severe, 51</w:t>
      </w:r>
      <w:r>
        <w:rPr>
          <w:rFonts w:hint="eastAsia" w:ascii="Times New Roman" w:hAnsi="Times New Roman" w:cs="Times New Roman"/>
          <w:color w:val="auto"/>
        </w:rPr>
        <w:t>–</w:t>
      </w:r>
      <w:r>
        <w:rPr>
          <w:rFonts w:ascii="Times New Roman" w:hAnsi="Times New Roman" w:cs="Times New Roman"/>
          <w:color w:val="auto"/>
        </w:rPr>
        <w:t>75%): Diffuse or confluent disease with prominent inflammation and widened interstitium; extensive consolidation/collapse with remodeling; broad fibrotic bands and clear structural disruption, with bronchiolization and/or early honeycomb/traction-type changes.</w:t>
      </w:r>
    </w:p>
    <w:p w14:paraId="755BE34C">
      <w:pPr>
        <w:ind w:firstLine="210" w:firstLineChars="100"/>
        <w:rPr>
          <w:rFonts w:ascii="Times New Roman" w:hAnsi="Times New Roman" w:cs="Times New Roman"/>
          <w:color w:val="auto"/>
        </w:rPr>
      </w:pPr>
      <w:r>
        <w:rPr>
          <w:rFonts w:ascii="Times New Roman" w:hAnsi="Times New Roman" w:cs="Times New Roman"/>
          <w:color w:val="auto"/>
        </w:rPr>
        <w:t>5 (End-stage, &gt;75%): Predominant dense fibrosis with near-complete remodeling and alveolar obliteration; scar-like parenchyma with overt honeycombing and marked distortion; inflammatory activity may be variable but fibrosis dominates.</w:t>
      </w:r>
    </w:p>
    <w:p w14:paraId="612BD976">
      <w:pPr>
        <w:ind w:firstLine="210" w:firstLineChars="100"/>
        <w:rPr>
          <w:rFonts w:ascii="Times New Roman" w:hAnsi="Times New Roman" w:cs="Times New Roman"/>
          <w:color w:val="auto"/>
        </w:rPr>
      </w:pPr>
    </w:p>
    <w:p w14:paraId="6A4271A3">
      <w:pPr>
        <w:rPr>
          <w:rFonts w:ascii="Calibri" w:hAnsi="Calibri" w:cs="Calibri"/>
          <w:b/>
          <w:color w:val="auto"/>
          <w:szCs w:val="21"/>
        </w:rPr>
      </w:pPr>
      <w:r>
        <w:rPr>
          <w:rFonts w:ascii="Calibri" w:hAnsi="Calibri" w:cs="Calibri"/>
          <w:b/>
          <w:color w:val="auto"/>
          <w:szCs w:val="21"/>
        </w:rPr>
        <w:t xml:space="preserve">3. </w:t>
      </w:r>
      <w:r>
        <w:rPr>
          <w:rFonts w:hint="eastAsia" w:ascii="Calibri" w:hAnsi="Calibri" w:cs="Calibri"/>
          <w:b/>
          <w:i/>
          <w:iCs/>
          <w:color w:val="auto"/>
          <w:szCs w:val="21"/>
        </w:rPr>
        <w:t>In vitro</w:t>
      </w:r>
      <w:r>
        <w:rPr>
          <w:rFonts w:hint="eastAsia" w:ascii="Calibri" w:hAnsi="Calibri" w:cs="Calibri"/>
          <w:b/>
          <w:color w:val="auto"/>
          <w:szCs w:val="21"/>
        </w:rPr>
        <w:t xml:space="preserve"> synergistic effect and cytotoxicity of Mag and ATI</w:t>
      </w:r>
    </w:p>
    <w:p w14:paraId="120E5807">
      <w:pPr>
        <w:widowControl/>
        <w:rPr>
          <w:rFonts w:ascii="Times New Roman" w:hAnsi="Times New Roman" w:cs="Times New Roman"/>
          <w:color w:val="auto"/>
        </w:rPr>
      </w:pPr>
      <w:r>
        <w:rPr>
          <w:rFonts w:ascii="Times New Roman" w:hAnsi="Times New Roman" w:cs="Times New Roman"/>
          <w:color w:val="auto"/>
        </w:rPr>
        <w:t>To systematically evaluate the potential synergy between Mag and ATI,</w:t>
      </w:r>
      <w:r>
        <w:rPr>
          <w:rFonts w:hint="eastAsia"/>
          <w:color w:val="auto"/>
        </w:rPr>
        <w:t xml:space="preserve"> </w:t>
      </w:r>
      <w:r>
        <w:rPr>
          <w:rFonts w:hint="eastAsia" w:ascii="Times New Roman" w:hAnsi="Times New Roman" w:cs="Times New Roman"/>
          <w:color w:val="auto"/>
        </w:rPr>
        <w:t>a dose matrix of Mag and ATI at concentrations of 8, 4, 2, 1 μM was designed for each drug, yielding various molar ratios.</w:t>
      </w:r>
      <w:r>
        <w:rPr>
          <w:rFonts w:ascii="Times New Roman" w:hAnsi="Times New Roman" w:cs="Times New Roman"/>
          <w:color w:val="auto"/>
        </w:rPr>
        <w:t xml:space="preserve"> The combination effects on the inhibition of TNF‑α, IL‑1β, and IL‑6 release, as well as the protection of transepithelial electrical resistance (TEER), were assessed in LPS‑treated MLE‑12 cells. The combination index (CI) values were calculated using the Chou‑Talalay method. As shown in Fig. S</w:t>
      </w:r>
      <w:r>
        <w:rPr>
          <w:rFonts w:hint="eastAsia" w:ascii="Times New Roman" w:hAnsi="Times New Roman" w:cs="Times New Roman"/>
          <w:color w:val="auto"/>
        </w:rPr>
        <w:t>3</w:t>
      </w:r>
      <w:r>
        <w:rPr>
          <w:rFonts w:ascii="Times New Roman" w:hAnsi="Times New Roman" w:cs="Times New Roman"/>
          <w:color w:val="auto"/>
        </w:rPr>
        <w:t>A–D, CI values were below 1 for both the 8 μM + 2 μM and 4 μM + 1 μM combinations (both giving a 4:1 molar ratio) across all tested indicators, formally confirming a synergistic effect at these ratios.</w:t>
      </w:r>
    </w:p>
    <w:p w14:paraId="4B53C7E7">
      <w:pPr>
        <w:widowControl/>
        <w:rPr>
          <w:rFonts w:ascii="Times New Roman" w:hAnsi="Times New Roman" w:cs="Times New Roman"/>
          <w:color w:val="auto"/>
        </w:rPr>
      </w:pPr>
      <w:r>
        <w:rPr>
          <w:rFonts w:ascii="Times New Roman" w:hAnsi="Times New Roman" w:cs="Times New Roman"/>
          <w:color w:val="auto"/>
        </w:rPr>
        <w:t>Cytotoxicity was evaluated in preliminary experiments by CCK‑8 assay in MLE‑12 cells treated with Mag or ATI (0.1–100 μM) for 24 h. As shown in Fig. S</w:t>
      </w:r>
      <w:r>
        <w:rPr>
          <w:rFonts w:hint="eastAsia" w:ascii="Times New Roman" w:hAnsi="Times New Roman" w:cs="Times New Roman"/>
          <w:color w:val="auto"/>
        </w:rPr>
        <w:t>3</w:t>
      </w:r>
      <w:r>
        <w:rPr>
          <w:rFonts w:ascii="Times New Roman" w:hAnsi="Times New Roman" w:cs="Times New Roman"/>
          <w:color w:val="auto"/>
        </w:rPr>
        <w:t xml:space="preserve">E and F, neither compound exhibited significant cytotoxicity across the entire concentration range, and the highest concentrations used in subsequent functional assays (Mag 8 μM, ATI 2 μM, and MA NPs 10 μM) all fell within this safe </w:t>
      </w:r>
      <w:r>
        <w:rPr>
          <w:rFonts w:hint="eastAsia" w:ascii="Times New Roman" w:hAnsi="Times New Roman" w:cs="Times New Roman"/>
          <w:color w:val="auto"/>
        </w:rPr>
        <w:t>range</w:t>
      </w:r>
      <w:r>
        <w:rPr>
          <w:rFonts w:ascii="Times New Roman" w:hAnsi="Times New Roman" w:cs="Times New Roman"/>
          <w:color w:val="auto"/>
        </w:rPr>
        <w:t>.</w:t>
      </w:r>
    </w:p>
    <w:p w14:paraId="6828CE12">
      <w:pPr>
        <w:widowControl/>
        <w:jc w:val="center"/>
        <w:rPr>
          <w:rFonts w:ascii="Times New Roman" w:hAnsi="Times New Roman" w:cs="Times New Roman"/>
          <w:color w:val="auto"/>
          <w:sz w:val="24"/>
          <w:szCs w:val="24"/>
        </w:rPr>
      </w:pPr>
      <w:r>
        <w:rPr>
          <w:rFonts w:ascii="Times New Roman" w:hAnsi="Times New Roman" w:cs="Times New Roman"/>
          <w:color w:val="auto"/>
          <w:sz w:val="24"/>
          <w:szCs w:val="24"/>
        </w:rPr>
        <w:drawing>
          <wp:inline distT="0" distB="0" distL="0" distR="0">
            <wp:extent cx="4319905" cy="4537075"/>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4320000" cy="4537261"/>
                    </a:xfrm>
                    <a:prstGeom prst="rect">
                      <a:avLst/>
                    </a:prstGeom>
                    <a:noFill/>
                  </pic:spPr>
                </pic:pic>
              </a:graphicData>
            </a:graphic>
          </wp:inline>
        </w:drawing>
      </w:r>
    </w:p>
    <w:p w14:paraId="00766AA0">
      <w:pPr>
        <w:widowControl/>
        <w:rPr>
          <w:rFonts w:ascii="Times New Roman" w:hAnsi="Times New Roman" w:cs="Times New Roman"/>
          <w:color w:val="auto"/>
        </w:rPr>
      </w:pPr>
      <w:r>
        <w:rPr>
          <w:rFonts w:ascii="Times New Roman" w:hAnsi="Times New Roman" w:cs="Times New Roman"/>
          <w:b/>
          <w:bCs/>
          <w:color w:val="auto"/>
        </w:rPr>
        <w:t>Fig. S</w:t>
      </w:r>
      <w:r>
        <w:rPr>
          <w:rFonts w:hint="eastAsia" w:ascii="Times New Roman" w:hAnsi="Times New Roman" w:cs="Times New Roman"/>
          <w:b/>
          <w:bCs/>
          <w:color w:val="auto"/>
        </w:rPr>
        <w:t>3</w:t>
      </w:r>
      <w:r>
        <w:rPr>
          <w:rFonts w:ascii="Times New Roman" w:hAnsi="Times New Roman" w:cs="Times New Roman"/>
          <w:i/>
          <w:iCs/>
          <w:color w:val="auto"/>
        </w:rPr>
        <w:t xml:space="preserve"> In vitro</w:t>
      </w:r>
      <w:r>
        <w:rPr>
          <w:rFonts w:ascii="Times New Roman" w:hAnsi="Times New Roman" w:cs="Times New Roman"/>
          <w:color w:val="auto"/>
        </w:rPr>
        <w:t xml:space="preserve"> synergy </w:t>
      </w:r>
      <w:r>
        <w:rPr>
          <w:rFonts w:hint="eastAsia" w:ascii="Times New Roman" w:hAnsi="Times New Roman" w:cs="Times New Roman"/>
          <w:color w:val="auto"/>
        </w:rPr>
        <w:t>effect and cytotoxicity of Mag and ATI</w:t>
      </w:r>
      <w:r>
        <w:rPr>
          <w:rFonts w:ascii="Times New Roman" w:hAnsi="Times New Roman" w:cs="Times New Roman"/>
          <w:color w:val="auto"/>
        </w:rPr>
        <w:t xml:space="preserve">. (A–C) CI values for the inhibition of TNF‑α, IL‑1β, and IL‑6 release. (D) CI values for TEER protection. CI &lt; 1 indicates synergy. </w:t>
      </w:r>
      <w:r>
        <w:rPr>
          <w:rFonts w:hint="eastAsia" w:ascii="Times New Roman" w:hAnsi="Times New Roman" w:cs="Times New Roman"/>
          <w:color w:val="auto"/>
        </w:rPr>
        <w:t>[</w:t>
      </w:r>
      <w:r>
        <w:rPr>
          <w:rFonts w:ascii="Times New Roman" w:hAnsi="Times New Roman" w:cs="Times New Roman"/>
          <w:color w:val="auto"/>
        </w:rPr>
        <w:t>The red dots indicate the combination ratios of Mag:ATI = 8 μM:2 μM (4:1) and 4 μM:1 μM (4:1)</w:t>
      </w:r>
      <w:r>
        <w:rPr>
          <w:rFonts w:hint="eastAsia" w:ascii="Times New Roman" w:hAnsi="Times New Roman" w:cs="Times New Roman"/>
          <w:color w:val="auto"/>
        </w:rPr>
        <w:t xml:space="preserve">] </w:t>
      </w:r>
      <w:r>
        <w:rPr>
          <w:rFonts w:ascii="Times New Roman" w:hAnsi="Times New Roman" w:cs="Times New Roman"/>
          <w:color w:val="auto"/>
        </w:rPr>
        <w:t>(E) Cytotoxicity evaluation of Mag in MLE‑12 cells by CCK‑8 assay. (F) Cytotoxicity evaluation of ATI in MLE‑12 cells by CCK‑8 assay (</w:t>
      </w:r>
      <w:r>
        <w:rPr>
          <w:rFonts w:ascii="Times New Roman" w:hAnsi="Times New Roman" w:cs="Times New Roman"/>
          <w:i/>
          <w:iCs/>
          <w:color w:val="auto"/>
        </w:rPr>
        <w:t>n</w:t>
      </w:r>
      <w:r>
        <w:rPr>
          <w:rFonts w:ascii="Times New Roman" w:hAnsi="Times New Roman" w:cs="Times New Roman"/>
          <w:color w:val="auto"/>
        </w:rPr>
        <w:t>=3).</w:t>
      </w:r>
    </w:p>
    <w:p w14:paraId="59E526AF">
      <w:pPr>
        <w:widowControl/>
        <w:rPr>
          <w:rFonts w:ascii="Times New Roman" w:hAnsi="Times New Roman" w:cs="Times New Roman"/>
          <w:color w:val="auto"/>
        </w:rPr>
      </w:pPr>
    </w:p>
    <w:p w14:paraId="4709E802">
      <w:pPr>
        <w:rPr>
          <w:rFonts w:ascii="Calibri" w:hAnsi="Calibri" w:cs="Calibri"/>
          <w:b/>
          <w:color w:val="auto"/>
          <w:szCs w:val="21"/>
        </w:rPr>
      </w:pPr>
      <w:r>
        <w:rPr>
          <w:rFonts w:hint="eastAsia" w:ascii="Calibri" w:hAnsi="Calibri" w:cs="Calibri"/>
          <w:b/>
          <w:color w:val="auto"/>
          <w:szCs w:val="21"/>
        </w:rPr>
        <w:t xml:space="preserve">4. Drug loading parameters </w:t>
      </w:r>
      <w:r>
        <w:rPr>
          <w:rFonts w:ascii="Calibri" w:hAnsi="Calibri" w:cs="Calibri"/>
          <w:b/>
          <w:color w:val="auto"/>
          <w:szCs w:val="21"/>
        </w:rPr>
        <w:t xml:space="preserve">and </w:t>
      </w:r>
      <w:r>
        <w:rPr>
          <w:rFonts w:hint="eastAsia" w:ascii="Calibri" w:hAnsi="Calibri" w:cs="Calibri"/>
          <w:b/>
          <w:color w:val="auto"/>
          <w:szCs w:val="21"/>
        </w:rPr>
        <w:t>s</w:t>
      </w:r>
      <w:r>
        <w:rPr>
          <w:rFonts w:ascii="Calibri" w:hAnsi="Calibri" w:cs="Calibri"/>
          <w:b/>
          <w:color w:val="auto"/>
          <w:szCs w:val="21"/>
        </w:rPr>
        <w:t xml:space="preserve">tructural </w:t>
      </w:r>
      <w:r>
        <w:rPr>
          <w:rFonts w:hint="eastAsia" w:ascii="Calibri" w:hAnsi="Calibri" w:cs="Calibri"/>
          <w:b/>
          <w:color w:val="auto"/>
          <w:szCs w:val="21"/>
        </w:rPr>
        <w:t>c</w:t>
      </w:r>
      <w:r>
        <w:rPr>
          <w:rFonts w:ascii="Calibri" w:hAnsi="Calibri" w:cs="Calibri"/>
          <w:b/>
          <w:color w:val="auto"/>
          <w:szCs w:val="21"/>
        </w:rPr>
        <w:t>onfirmation of</w:t>
      </w:r>
      <w:r>
        <w:rPr>
          <w:rFonts w:hint="eastAsia" w:ascii="Calibri" w:hAnsi="Calibri" w:cs="Calibri"/>
          <w:b/>
          <w:color w:val="auto"/>
          <w:szCs w:val="21"/>
        </w:rPr>
        <w:t xml:space="preserve"> </w:t>
      </w:r>
      <w:r>
        <w:rPr>
          <w:rFonts w:ascii="Calibri" w:hAnsi="Calibri" w:cs="Calibri"/>
          <w:b/>
          <w:color w:val="auto"/>
          <w:szCs w:val="21"/>
        </w:rPr>
        <w:t>MA NPs</w:t>
      </w:r>
    </w:p>
    <w:p w14:paraId="62167143">
      <w:pPr>
        <w:widowControl/>
        <w:jc w:val="left"/>
        <w:rPr>
          <w:rFonts w:ascii="Times New Roman" w:hAnsi="Times New Roman" w:cs="Times New Roman"/>
          <w:color w:val="auto"/>
          <w:szCs w:val="21"/>
        </w:rPr>
      </w:pPr>
      <w:r>
        <w:rPr>
          <w:rFonts w:ascii="Times New Roman" w:hAnsi="Times New Roman" w:cs="Times New Roman"/>
          <w:color w:val="auto"/>
          <w:szCs w:val="21"/>
        </w:rPr>
        <w:t>To clarify the composition of MA NPs,</w:t>
      </w:r>
      <w:r>
        <w:rPr>
          <w:rFonts w:hint="eastAsia" w:ascii="Times New Roman" w:hAnsi="Times New Roman" w:cs="Times New Roman"/>
          <w:color w:val="auto"/>
          <w:szCs w:val="21"/>
        </w:rPr>
        <w:t xml:space="preserve"> </w:t>
      </w:r>
      <w:r>
        <w:rPr>
          <w:rFonts w:ascii="Times New Roman" w:hAnsi="Times New Roman" w:cs="Times New Roman"/>
          <w:color w:val="auto"/>
          <w:szCs w:val="21"/>
        </w:rPr>
        <w:t>we determined the drug loading of MA NPs. After removal of free drugs by ultrafiltration, the nanoparticles were lyophilized and weighed, and the drug content was analyzed by HPLC. The drug loading (DL%) and encapsulation efficiency (EE%) of MA NPs were calculated according to previously reported methods [</w:t>
      </w:r>
      <w:r>
        <w:rPr>
          <w:rFonts w:hint="eastAsia" w:ascii="Times New Roman" w:hAnsi="Times New Roman" w:cs="Times New Roman"/>
          <w:color w:val="auto"/>
          <w:szCs w:val="21"/>
        </w:rPr>
        <w:t>3</w:t>
      </w:r>
      <w:r>
        <w:rPr>
          <w:rFonts w:ascii="Times New Roman" w:hAnsi="Times New Roman" w:cs="Times New Roman"/>
          <w:color w:val="auto"/>
          <w:szCs w:val="21"/>
        </w:rPr>
        <w:t>,</w:t>
      </w:r>
      <w:r>
        <w:rPr>
          <w:rFonts w:hint="eastAsia" w:ascii="Times New Roman" w:hAnsi="Times New Roman" w:cs="Times New Roman"/>
          <w:color w:val="auto"/>
          <w:szCs w:val="21"/>
        </w:rPr>
        <w:t>4</w:t>
      </w:r>
      <w:r>
        <w:rPr>
          <w:rFonts w:ascii="Times New Roman" w:hAnsi="Times New Roman" w:cs="Times New Roman"/>
          <w:color w:val="auto"/>
          <w:szCs w:val="21"/>
        </w:rPr>
        <w:t xml:space="preserve">]. The drug loading (DL%) of Mag and ATI in MA NPs was calculated as the mass percentage of each drug relative to the total mass of the nanoparticles. </w:t>
      </w:r>
    </w:p>
    <w:p w14:paraId="1203FDB2">
      <w:pPr>
        <w:widowControl/>
        <w:jc w:val="left"/>
        <w:rPr>
          <w:rFonts w:ascii="Times New Roman" w:hAnsi="Times New Roman" w:cs="Times New Roman"/>
          <w:color w:val="auto"/>
          <w:szCs w:val="21"/>
        </w:rPr>
      </w:pPr>
      <w:r>
        <w:rPr>
          <w:rFonts w:ascii="Times New Roman" w:hAnsi="Times New Roman" w:cs="Times New Roman"/>
          <w:color w:val="auto"/>
          <w:spacing w:val="2"/>
          <w:sz w:val="18"/>
          <w:szCs w:val="18"/>
        </w:rPr>
        <w:drawing>
          <wp:inline distT="0" distB="0" distL="0" distR="0">
            <wp:extent cx="1775460" cy="431800"/>
            <wp:effectExtent l="0" t="0" r="0" b="635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1776085" cy="432000"/>
                    </a:xfrm>
                    <a:prstGeom prst="rect">
                      <a:avLst/>
                    </a:prstGeom>
                    <a:noFill/>
                  </pic:spPr>
                </pic:pic>
              </a:graphicData>
            </a:graphic>
          </wp:inline>
        </w:drawing>
      </w:r>
    </w:p>
    <w:p w14:paraId="3E284DC9">
      <w:pPr>
        <w:widowControl/>
        <w:jc w:val="left"/>
        <w:rPr>
          <w:rFonts w:ascii="Times New Roman" w:hAnsi="Times New Roman" w:cs="Times New Roman"/>
          <w:color w:val="auto"/>
          <w:szCs w:val="21"/>
        </w:rPr>
      </w:pPr>
      <w:r>
        <w:rPr>
          <w:rFonts w:ascii="Times New Roman" w:hAnsi="Times New Roman" w:cs="Times New Roman"/>
          <w:color w:val="auto"/>
          <w:sz w:val="18"/>
          <w:szCs w:val="20"/>
        </w:rPr>
        <w:drawing>
          <wp:inline distT="0" distB="0" distL="0" distR="0">
            <wp:extent cx="2344420" cy="431800"/>
            <wp:effectExtent l="0" t="0" r="0" b="635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2344707" cy="432000"/>
                    </a:xfrm>
                    <a:prstGeom prst="rect">
                      <a:avLst/>
                    </a:prstGeom>
                    <a:noFill/>
                  </pic:spPr>
                </pic:pic>
              </a:graphicData>
            </a:graphic>
          </wp:inline>
        </w:drawing>
      </w:r>
    </w:p>
    <w:p w14:paraId="2B3CF3BC">
      <w:pPr>
        <w:widowControl/>
        <w:jc w:val="left"/>
        <w:rPr>
          <w:rFonts w:ascii="Times New Roman" w:hAnsi="Times New Roman" w:cs="Times New Roman"/>
          <w:color w:val="auto"/>
          <w:szCs w:val="21"/>
        </w:rPr>
      </w:pPr>
      <w:r>
        <w:rPr>
          <w:rFonts w:ascii="Times New Roman" w:hAnsi="Times New Roman" w:eastAsia="宋体" w:cs="Times New Roman"/>
          <w:color w:val="auto"/>
          <w:sz w:val="18"/>
          <w:szCs w:val="21"/>
        </w:rPr>
        <w:t>where m</w:t>
      </w:r>
      <w:r>
        <w:rPr>
          <w:rFonts w:ascii="Times New Roman" w:hAnsi="Times New Roman" w:eastAsia="宋体" w:cs="Times New Roman"/>
          <w:color w:val="auto"/>
          <w:sz w:val="18"/>
          <w:szCs w:val="21"/>
          <w:vertAlign w:val="subscript"/>
        </w:rPr>
        <w:t>free,drug</w:t>
      </w:r>
      <w:r>
        <w:rPr>
          <w:rFonts w:ascii="Times New Roman" w:hAnsi="Times New Roman" w:eastAsia="宋体" w:cs="Times New Roman"/>
          <w:color w:val="auto"/>
          <w:sz w:val="18"/>
          <w:szCs w:val="21"/>
        </w:rPr>
        <w:t xml:space="preserve"> is the mass of drug in the supernatant after ultrafiltration, m</w:t>
      </w:r>
      <w:r>
        <w:rPr>
          <w:rFonts w:ascii="Times New Roman" w:hAnsi="Times New Roman" w:eastAsia="宋体" w:cs="Times New Roman"/>
          <w:color w:val="auto"/>
          <w:sz w:val="18"/>
          <w:szCs w:val="21"/>
          <w:vertAlign w:val="subscript"/>
        </w:rPr>
        <w:t>total,drug</w:t>
      </w:r>
      <w:r>
        <w:rPr>
          <w:rFonts w:ascii="Times New Roman" w:hAnsi="Times New Roman" w:eastAsia="宋体" w:cs="Times New Roman"/>
          <w:color w:val="auto"/>
          <w:sz w:val="18"/>
          <w:szCs w:val="21"/>
        </w:rPr>
        <w:t xml:space="preserve"> is the total mass of drug added during preparation, m</w:t>
      </w:r>
      <w:r>
        <w:rPr>
          <w:rFonts w:ascii="Times New Roman" w:hAnsi="Times New Roman" w:eastAsia="宋体" w:cs="Times New Roman"/>
          <w:color w:val="auto"/>
          <w:sz w:val="18"/>
          <w:szCs w:val="21"/>
          <w:vertAlign w:val="subscript"/>
        </w:rPr>
        <w:t>NPs</w:t>
      </w:r>
      <w:r>
        <w:rPr>
          <w:rFonts w:ascii="Times New Roman" w:hAnsi="Times New Roman" w:eastAsia="宋体" w:cs="Times New Roman"/>
          <w:color w:val="auto"/>
          <w:sz w:val="18"/>
          <w:szCs w:val="21"/>
        </w:rPr>
        <w:t xml:space="preserve"> is the mass of lyophilized nanoparticles, m</w:t>
      </w:r>
      <w:r>
        <w:rPr>
          <w:rFonts w:ascii="Times New Roman" w:hAnsi="Times New Roman" w:eastAsia="宋体" w:cs="Times New Roman"/>
          <w:color w:val="auto"/>
          <w:sz w:val="18"/>
          <w:szCs w:val="21"/>
          <w:vertAlign w:val="subscript"/>
        </w:rPr>
        <w:t xml:space="preserve">drug </w:t>
      </w:r>
      <w:r>
        <w:rPr>
          <w:rFonts w:ascii="Times New Roman" w:hAnsi="Times New Roman" w:eastAsia="宋体" w:cs="Times New Roman"/>
          <w:color w:val="auto"/>
          <w:sz w:val="18"/>
          <w:szCs w:val="21"/>
        </w:rPr>
        <w:t>is the mass of drug in the lyophilized nanoparticles.</w:t>
      </w:r>
      <w:r>
        <w:rPr>
          <w:rFonts w:ascii="Times New Roman" w:hAnsi="Times New Roman" w:cs="Times New Roman"/>
          <w:color w:val="auto"/>
          <w:szCs w:val="21"/>
        </w:rPr>
        <w:t xml:space="preserve"> </w:t>
      </w:r>
    </w:p>
    <w:p w14:paraId="5C5F335C">
      <w:pPr>
        <w:widowControl/>
        <w:rPr>
          <w:rFonts w:ascii="Times New Roman" w:hAnsi="Times New Roman" w:cs="Times New Roman"/>
          <w:color w:val="auto"/>
          <w:szCs w:val="21"/>
        </w:rPr>
      </w:pPr>
      <w:r>
        <w:rPr>
          <w:rFonts w:ascii="Times New Roman" w:hAnsi="Times New Roman" w:cs="Times New Roman"/>
          <w:color w:val="auto"/>
          <w:szCs w:val="21"/>
        </w:rPr>
        <w:t>The results showed that the mass percentages of Mag and ATI in MA NPs were 81.7 ± 0.35</w:t>
      </w:r>
      <w:r>
        <w:rPr>
          <w:rFonts w:hint="eastAsia" w:ascii="Times New Roman" w:hAnsi="Times New Roman" w:cs="Times New Roman"/>
          <w:color w:val="auto"/>
          <w:szCs w:val="21"/>
        </w:rPr>
        <w:t>6</w:t>
      </w:r>
      <w:r>
        <w:rPr>
          <w:rFonts w:ascii="Times New Roman" w:hAnsi="Times New Roman" w:cs="Times New Roman"/>
          <w:color w:val="auto"/>
          <w:szCs w:val="21"/>
        </w:rPr>
        <w:t>% and 18.2 ± 0.12</w:t>
      </w:r>
      <w:r>
        <w:rPr>
          <w:rFonts w:hint="eastAsia" w:ascii="Times New Roman" w:hAnsi="Times New Roman" w:cs="Times New Roman"/>
          <w:color w:val="auto"/>
          <w:szCs w:val="21"/>
        </w:rPr>
        <w:t>9</w:t>
      </w:r>
      <w:r>
        <w:rPr>
          <w:rFonts w:ascii="Times New Roman" w:hAnsi="Times New Roman" w:cs="Times New Roman"/>
          <w:color w:val="auto"/>
          <w:szCs w:val="21"/>
        </w:rPr>
        <w:t>%, respectively, giving a total drug loading of 100%. This value far exceeds the typical drug loading of conventional polymeric nanoparticles, which is generally below 10 wt% as summarized in a recent review [</w:t>
      </w:r>
      <w:r>
        <w:rPr>
          <w:rFonts w:hint="eastAsia" w:ascii="Times New Roman" w:hAnsi="Times New Roman" w:cs="Times New Roman"/>
          <w:color w:val="auto"/>
          <w:szCs w:val="21"/>
        </w:rPr>
        <w:t>5</w:t>
      </w:r>
      <w:r>
        <w:rPr>
          <w:rFonts w:ascii="Times New Roman" w:hAnsi="Times New Roman" w:cs="Times New Roman"/>
          <w:color w:val="auto"/>
          <w:szCs w:val="21"/>
        </w:rPr>
        <w:t>], clearly supporting the claim of “ultrahigh drug loading”.</w:t>
      </w:r>
      <w:r>
        <w:rPr>
          <w:rFonts w:hint="eastAsia" w:ascii="Times New Roman" w:hAnsi="Times New Roman" w:cs="Times New Roman"/>
          <w:color w:val="auto"/>
          <w:szCs w:val="21"/>
        </w:rPr>
        <w:t xml:space="preserve"> W</w:t>
      </w:r>
      <w:r>
        <w:rPr>
          <w:rFonts w:ascii="Times New Roman" w:hAnsi="Times New Roman" w:cs="Times New Roman"/>
          <w:color w:val="auto"/>
          <w:szCs w:val="21"/>
        </w:rPr>
        <w:t>hile the encapsulation efficiencies were 97.6 ± 0.</w:t>
      </w:r>
      <w:r>
        <w:rPr>
          <w:rFonts w:hint="eastAsia" w:ascii="Times New Roman" w:hAnsi="Times New Roman" w:cs="Times New Roman"/>
          <w:color w:val="auto"/>
          <w:szCs w:val="21"/>
        </w:rPr>
        <w:t>658</w:t>
      </w:r>
      <w:r>
        <w:rPr>
          <w:rFonts w:ascii="Times New Roman" w:hAnsi="Times New Roman" w:cs="Times New Roman"/>
          <w:color w:val="auto"/>
          <w:szCs w:val="21"/>
        </w:rPr>
        <w:t>% and 97.9 ± 1.4</w:t>
      </w:r>
      <w:r>
        <w:rPr>
          <w:rFonts w:hint="eastAsia" w:ascii="Times New Roman" w:hAnsi="Times New Roman" w:cs="Times New Roman"/>
          <w:color w:val="auto"/>
          <w:szCs w:val="21"/>
        </w:rPr>
        <w:t>3</w:t>
      </w:r>
      <w:r>
        <w:rPr>
          <w:rFonts w:ascii="Times New Roman" w:hAnsi="Times New Roman" w:cs="Times New Roman"/>
          <w:color w:val="auto"/>
          <w:szCs w:val="21"/>
        </w:rPr>
        <w:t>%, respectively</w:t>
      </w:r>
      <w:r>
        <w:rPr>
          <w:rFonts w:hint="eastAsia" w:ascii="Times New Roman" w:hAnsi="Times New Roman" w:cs="Times New Roman"/>
          <w:color w:val="auto"/>
          <w:szCs w:val="21"/>
        </w:rPr>
        <w:t xml:space="preserve"> (Table. S1).</w:t>
      </w:r>
    </w:p>
    <w:p w14:paraId="4B4235E0">
      <w:pPr>
        <w:widowControl/>
        <w:rPr>
          <w:rFonts w:ascii="Times New Roman" w:hAnsi="Times New Roman" w:cs="Times New Roman"/>
          <w:color w:val="auto"/>
          <w:szCs w:val="21"/>
        </w:rPr>
      </w:pPr>
    </w:p>
    <w:p w14:paraId="4619A9F7">
      <w:pPr>
        <w:widowControl/>
        <w:jc w:val="center"/>
        <w:rPr>
          <w:rFonts w:ascii="Times New Roman" w:hAnsi="Times New Roman" w:cs="Times New Roman"/>
          <w:color w:val="auto"/>
          <w:szCs w:val="21"/>
        </w:rPr>
      </w:pPr>
      <w:r>
        <w:rPr>
          <w:rFonts w:hint="eastAsia" w:ascii="Times New Roman" w:hAnsi="Times New Roman" w:cs="Times New Roman"/>
          <w:color w:val="auto"/>
          <w:szCs w:val="21"/>
        </w:rPr>
        <w:t xml:space="preserve">Table. S1 </w:t>
      </w:r>
      <w:r>
        <w:rPr>
          <w:rFonts w:hint="eastAsia" w:ascii="Times New Roman" w:hAnsi="Times New Roman" w:cs="Times New Roman"/>
          <w:color w:val="auto"/>
          <w:sz w:val="20"/>
          <w:szCs w:val="20"/>
        </w:rPr>
        <w:t>Drug loading parameters</w:t>
      </w:r>
      <w:r>
        <w:rPr>
          <w:rFonts w:ascii="Times New Roman" w:hAnsi="Times New Roman" w:cs="Times New Roman"/>
          <w:color w:val="auto"/>
          <w:szCs w:val="21"/>
        </w:rPr>
        <w:t xml:space="preserve"> of Mag</w:t>
      </w:r>
      <w:r>
        <w:rPr>
          <w:rFonts w:hint="eastAsia" w:ascii="Times New Roman" w:hAnsi="Times New Roman" w:cs="Times New Roman"/>
          <w:color w:val="auto"/>
          <w:szCs w:val="21"/>
        </w:rPr>
        <w:t xml:space="preserve"> and ATI</w:t>
      </w:r>
    </w:p>
    <w:tbl>
      <w:tblPr>
        <w:tblStyle w:val="2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114"/>
        <w:gridCol w:w="2551"/>
        <w:gridCol w:w="2631"/>
      </w:tblGrid>
      <w:tr w14:paraId="331AC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14" w:type="dxa"/>
          </w:tcPr>
          <w:p w14:paraId="619A4F88">
            <w:pPr>
              <w:widowControl/>
              <w:jc w:val="center"/>
              <w:rPr>
                <w:rFonts w:ascii="Times New Roman" w:hAnsi="Times New Roman" w:cs="Times New Roman"/>
                <w:color w:val="auto"/>
                <w:sz w:val="20"/>
                <w:szCs w:val="20"/>
              </w:rPr>
            </w:pPr>
            <w:r>
              <w:rPr>
                <w:rFonts w:hint="eastAsia" w:ascii="Times New Roman" w:hAnsi="Times New Roman" w:cs="Times New Roman"/>
                <w:color w:val="auto"/>
                <w:sz w:val="20"/>
                <w:szCs w:val="20"/>
              </w:rPr>
              <w:t>Drug loading parameters</w:t>
            </w:r>
          </w:p>
        </w:tc>
        <w:tc>
          <w:tcPr>
            <w:tcW w:w="2551" w:type="dxa"/>
          </w:tcPr>
          <w:p w14:paraId="77E9F656">
            <w:pPr>
              <w:widowControl/>
              <w:jc w:val="center"/>
              <w:rPr>
                <w:rFonts w:ascii="Times New Roman" w:hAnsi="Times New Roman" w:cs="Times New Roman"/>
                <w:color w:val="auto"/>
                <w:sz w:val="20"/>
                <w:szCs w:val="20"/>
              </w:rPr>
            </w:pPr>
            <w:r>
              <w:rPr>
                <w:rFonts w:hint="eastAsia" w:ascii="Times New Roman" w:hAnsi="Times New Roman" w:cs="Times New Roman"/>
                <w:color w:val="auto"/>
                <w:sz w:val="20"/>
                <w:szCs w:val="20"/>
              </w:rPr>
              <w:t>Mag</w:t>
            </w:r>
          </w:p>
        </w:tc>
        <w:tc>
          <w:tcPr>
            <w:tcW w:w="2631" w:type="dxa"/>
          </w:tcPr>
          <w:p w14:paraId="659C2A97">
            <w:pPr>
              <w:widowControl/>
              <w:jc w:val="center"/>
              <w:rPr>
                <w:rFonts w:ascii="Times New Roman" w:hAnsi="Times New Roman" w:cs="Times New Roman"/>
                <w:color w:val="auto"/>
                <w:sz w:val="20"/>
                <w:szCs w:val="20"/>
              </w:rPr>
            </w:pPr>
            <w:r>
              <w:rPr>
                <w:rFonts w:hint="eastAsia" w:ascii="Times New Roman" w:hAnsi="Times New Roman" w:cs="Times New Roman"/>
                <w:color w:val="auto"/>
                <w:sz w:val="20"/>
                <w:szCs w:val="20"/>
              </w:rPr>
              <w:t>ATI</w:t>
            </w:r>
          </w:p>
        </w:tc>
      </w:tr>
      <w:tr w14:paraId="67FC3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14" w:type="dxa"/>
          </w:tcPr>
          <w:p w14:paraId="2604B079">
            <w:pPr>
              <w:widowControl/>
              <w:jc w:val="center"/>
              <w:rPr>
                <w:rFonts w:ascii="Times New Roman" w:hAnsi="Times New Roman" w:cs="Times New Roman"/>
                <w:color w:val="auto"/>
                <w:sz w:val="20"/>
                <w:szCs w:val="20"/>
              </w:rPr>
            </w:pPr>
            <w:r>
              <w:rPr>
                <w:rFonts w:hint="eastAsia" w:ascii="Times New Roman" w:hAnsi="Times New Roman" w:cs="Times New Roman"/>
                <w:color w:val="auto"/>
                <w:sz w:val="20"/>
                <w:szCs w:val="20"/>
              </w:rPr>
              <w:t>quality of the feed material</w:t>
            </w:r>
          </w:p>
        </w:tc>
        <w:tc>
          <w:tcPr>
            <w:tcW w:w="2551" w:type="dxa"/>
          </w:tcPr>
          <w:p w14:paraId="1CF2D8C4">
            <w:pPr>
              <w:widowControl/>
              <w:jc w:val="center"/>
              <w:rPr>
                <w:rFonts w:ascii="Times New Roman" w:hAnsi="Times New Roman" w:cs="Times New Roman"/>
                <w:color w:val="auto"/>
                <w:sz w:val="20"/>
                <w:szCs w:val="20"/>
              </w:rPr>
            </w:pPr>
            <w:r>
              <w:rPr>
                <w:rFonts w:hint="eastAsia" w:ascii="Times New Roman" w:hAnsi="Times New Roman" w:cs="Times New Roman"/>
                <w:color w:val="auto"/>
                <w:sz w:val="20"/>
                <w:szCs w:val="20"/>
              </w:rPr>
              <w:t>8.32 mg</w:t>
            </w:r>
          </w:p>
        </w:tc>
        <w:tc>
          <w:tcPr>
            <w:tcW w:w="2631" w:type="dxa"/>
          </w:tcPr>
          <w:p w14:paraId="2B72A3A2">
            <w:pPr>
              <w:widowControl/>
              <w:jc w:val="center"/>
              <w:rPr>
                <w:rFonts w:ascii="Times New Roman" w:hAnsi="Times New Roman" w:cs="Times New Roman"/>
                <w:color w:val="auto"/>
                <w:sz w:val="20"/>
                <w:szCs w:val="20"/>
              </w:rPr>
            </w:pPr>
            <w:r>
              <w:rPr>
                <w:rFonts w:hint="eastAsia" w:ascii="Times New Roman" w:hAnsi="Times New Roman" w:cs="Times New Roman"/>
                <w:color w:val="auto"/>
                <w:sz w:val="20"/>
                <w:szCs w:val="20"/>
              </w:rPr>
              <w:t>1.84 mg</w:t>
            </w:r>
          </w:p>
        </w:tc>
      </w:tr>
      <w:tr w14:paraId="4A9BA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14" w:type="dxa"/>
          </w:tcPr>
          <w:p w14:paraId="528FA315">
            <w:pPr>
              <w:widowControl/>
              <w:jc w:val="center"/>
              <w:rPr>
                <w:rFonts w:ascii="Times New Roman" w:hAnsi="Times New Roman" w:cs="Times New Roman"/>
                <w:color w:val="auto"/>
                <w:sz w:val="20"/>
                <w:szCs w:val="20"/>
              </w:rPr>
            </w:pPr>
            <w:r>
              <w:rPr>
                <w:rFonts w:hint="eastAsia" w:ascii="Times New Roman" w:hAnsi="Times New Roman" w:cs="Times New Roman"/>
                <w:color w:val="auto"/>
                <w:sz w:val="20"/>
                <w:szCs w:val="20"/>
              </w:rPr>
              <w:t>quality of nanoparticles</w:t>
            </w:r>
          </w:p>
        </w:tc>
        <w:tc>
          <w:tcPr>
            <w:tcW w:w="5182" w:type="dxa"/>
            <w:gridSpan w:val="2"/>
          </w:tcPr>
          <w:p w14:paraId="6B703484">
            <w:pPr>
              <w:widowControl/>
              <w:jc w:val="center"/>
              <w:rPr>
                <w:rFonts w:ascii="Times New Roman" w:hAnsi="Times New Roman" w:cs="Times New Roman"/>
                <w:color w:val="auto"/>
                <w:sz w:val="20"/>
                <w:szCs w:val="20"/>
              </w:rPr>
            </w:pPr>
            <w:r>
              <w:rPr>
                <w:rFonts w:hint="eastAsia" w:ascii="Times New Roman" w:hAnsi="Times New Roman" w:cs="Times New Roman"/>
                <w:color w:val="auto"/>
                <w:sz w:val="20"/>
                <w:szCs w:val="20"/>
              </w:rPr>
              <w:t>9.921±0.061 mg</w:t>
            </w:r>
          </w:p>
        </w:tc>
      </w:tr>
      <w:tr w14:paraId="5F6BB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14" w:type="dxa"/>
          </w:tcPr>
          <w:p w14:paraId="518727EF">
            <w:pPr>
              <w:widowControl/>
              <w:jc w:val="center"/>
              <w:rPr>
                <w:rFonts w:ascii="Times New Roman" w:hAnsi="Times New Roman" w:cs="Times New Roman"/>
                <w:color w:val="auto"/>
                <w:sz w:val="20"/>
                <w:szCs w:val="20"/>
              </w:rPr>
            </w:pPr>
            <w:r>
              <w:rPr>
                <w:rFonts w:hint="eastAsia" w:ascii="Times New Roman" w:hAnsi="Times New Roman" w:cs="Times New Roman"/>
                <w:color w:val="auto"/>
                <w:sz w:val="20"/>
                <w:szCs w:val="20"/>
              </w:rPr>
              <w:t>quality within nanoparticles</w:t>
            </w:r>
          </w:p>
        </w:tc>
        <w:tc>
          <w:tcPr>
            <w:tcW w:w="2551" w:type="dxa"/>
          </w:tcPr>
          <w:p w14:paraId="4913E6AC">
            <w:pPr>
              <w:widowControl/>
              <w:jc w:val="center"/>
              <w:rPr>
                <w:rFonts w:ascii="Times New Roman" w:hAnsi="Times New Roman" w:cs="Times New Roman"/>
                <w:color w:val="auto"/>
                <w:sz w:val="20"/>
                <w:szCs w:val="20"/>
              </w:rPr>
            </w:pPr>
            <w:r>
              <w:rPr>
                <w:rFonts w:ascii="Times New Roman" w:hAnsi="Times New Roman" w:cs="Times New Roman"/>
                <w:color w:val="auto"/>
                <w:sz w:val="20"/>
                <w:szCs w:val="20"/>
              </w:rPr>
              <w:t>8.119</w:t>
            </w:r>
            <w:r>
              <w:rPr>
                <w:rFonts w:hint="eastAsia" w:ascii="Times New Roman" w:hAnsi="Times New Roman" w:cs="Times New Roman"/>
                <w:color w:val="auto"/>
                <w:sz w:val="20"/>
                <w:szCs w:val="20"/>
              </w:rPr>
              <w:t xml:space="preserve"> </w:t>
            </w:r>
            <w:r>
              <w:rPr>
                <w:rFonts w:ascii="Times New Roman" w:hAnsi="Times New Roman" w:cs="Times New Roman"/>
                <w:color w:val="auto"/>
                <w:sz w:val="20"/>
                <w:szCs w:val="20"/>
              </w:rPr>
              <w:t>± 0.05471</w:t>
            </w:r>
            <w:r>
              <w:rPr>
                <w:rFonts w:hint="eastAsia" w:ascii="Times New Roman" w:hAnsi="Times New Roman" w:cs="Times New Roman"/>
                <w:color w:val="auto"/>
                <w:sz w:val="20"/>
                <w:szCs w:val="20"/>
              </w:rPr>
              <w:t xml:space="preserve"> mg</w:t>
            </w:r>
          </w:p>
        </w:tc>
        <w:tc>
          <w:tcPr>
            <w:tcW w:w="2631" w:type="dxa"/>
          </w:tcPr>
          <w:p w14:paraId="1B852F13">
            <w:pPr>
              <w:widowControl/>
              <w:jc w:val="center"/>
              <w:rPr>
                <w:rFonts w:ascii="Times New Roman" w:hAnsi="Times New Roman" w:cs="Times New Roman"/>
                <w:color w:val="auto"/>
                <w:sz w:val="20"/>
                <w:szCs w:val="20"/>
              </w:rPr>
            </w:pPr>
            <w:r>
              <w:rPr>
                <w:rFonts w:ascii="Times New Roman" w:hAnsi="Times New Roman" w:cs="Times New Roman"/>
                <w:color w:val="auto"/>
                <w:sz w:val="20"/>
                <w:szCs w:val="20"/>
              </w:rPr>
              <w:t>1.802</w:t>
            </w:r>
            <w:r>
              <w:rPr>
                <w:rFonts w:hint="eastAsia" w:ascii="Times New Roman" w:hAnsi="Times New Roman" w:cs="Times New Roman"/>
                <w:color w:val="auto"/>
                <w:sz w:val="20"/>
                <w:szCs w:val="20"/>
              </w:rPr>
              <w:t xml:space="preserve"> </w:t>
            </w:r>
            <w:r>
              <w:rPr>
                <w:rFonts w:ascii="Times New Roman" w:hAnsi="Times New Roman" w:cs="Times New Roman"/>
                <w:color w:val="auto"/>
                <w:sz w:val="20"/>
                <w:szCs w:val="20"/>
              </w:rPr>
              <w:t>±</w:t>
            </w:r>
            <w:r>
              <w:rPr>
                <w:rFonts w:hint="eastAsia" w:ascii="Times New Roman" w:hAnsi="Times New Roman" w:cs="Times New Roman"/>
                <w:color w:val="auto"/>
                <w:sz w:val="20"/>
                <w:szCs w:val="20"/>
              </w:rPr>
              <w:t xml:space="preserve"> </w:t>
            </w:r>
            <w:r>
              <w:rPr>
                <w:rFonts w:ascii="Times New Roman" w:hAnsi="Times New Roman" w:cs="Times New Roman"/>
                <w:color w:val="auto"/>
                <w:sz w:val="20"/>
                <w:szCs w:val="20"/>
              </w:rPr>
              <w:t>0.02633</w:t>
            </w:r>
            <w:r>
              <w:rPr>
                <w:rFonts w:hint="eastAsia" w:ascii="Times New Roman" w:hAnsi="Times New Roman" w:cs="Times New Roman"/>
                <w:color w:val="auto"/>
                <w:sz w:val="20"/>
                <w:szCs w:val="20"/>
              </w:rPr>
              <w:t xml:space="preserve"> mg</w:t>
            </w:r>
          </w:p>
        </w:tc>
      </w:tr>
      <w:tr w14:paraId="09156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14" w:type="dxa"/>
          </w:tcPr>
          <w:p w14:paraId="424655F3">
            <w:pPr>
              <w:widowControl/>
              <w:jc w:val="center"/>
              <w:rPr>
                <w:rFonts w:ascii="Times New Roman" w:hAnsi="Times New Roman" w:cs="Times New Roman"/>
                <w:color w:val="auto"/>
                <w:sz w:val="20"/>
                <w:szCs w:val="20"/>
              </w:rPr>
            </w:pPr>
            <w:r>
              <w:rPr>
                <w:rFonts w:hint="eastAsia" w:ascii="Times New Roman" w:hAnsi="Times New Roman" w:cs="Times New Roman"/>
                <w:color w:val="auto"/>
                <w:sz w:val="20"/>
                <w:szCs w:val="20"/>
              </w:rPr>
              <w:t>drug loading (DL%)</w:t>
            </w:r>
          </w:p>
        </w:tc>
        <w:tc>
          <w:tcPr>
            <w:tcW w:w="2551" w:type="dxa"/>
          </w:tcPr>
          <w:p w14:paraId="1F5C1D40">
            <w:pPr>
              <w:widowControl/>
              <w:jc w:val="center"/>
              <w:rPr>
                <w:rFonts w:ascii="Times New Roman" w:hAnsi="Times New Roman" w:cs="Times New Roman"/>
                <w:color w:val="auto"/>
                <w:sz w:val="20"/>
                <w:szCs w:val="20"/>
              </w:rPr>
            </w:pPr>
            <w:r>
              <w:rPr>
                <w:rFonts w:ascii="Times New Roman" w:hAnsi="Times New Roman" w:cs="Times New Roman"/>
                <w:color w:val="auto"/>
                <w:sz w:val="20"/>
                <w:szCs w:val="20"/>
              </w:rPr>
              <w:t>81.7 ± 0.35</w:t>
            </w:r>
            <w:r>
              <w:rPr>
                <w:rFonts w:hint="eastAsia" w:ascii="Times New Roman" w:hAnsi="Times New Roman" w:cs="Times New Roman"/>
                <w:color w:val="auto"/>
                <w:sz w:val="20"/>
                <w:szCs w:val="20"/>
              </w:rPr>
              <w:t>6</w:t>
            </w:r>
            <w:r>
              <w:rPr>
                <w:rFonts w:ascii="Times New Roman" w:hAnsi="Times New Roman" w:cs="Times New Roman"/>
                <w:color w:val="auto"/>
                <w:sz w:val="20"/>
                <w:szCs w:val="20"/>
              </w:rPr>
              <w:t>%</w:t>
            </w:r>
          </w:p>
        </w:tc>
        <w:tc>
          <w:tcPr>
            <w:tcW w:w="2631" w:type="dxa"/>
          </w:tcPr>
          <w:p w14:paraId="2BDAEF27">
            <w:pPr>
              <w:widowControl/>
              <w:jc w:val="center"/>
              <w:rPr>
                <w:rFonts w:ascii="Times New Roman" w:hAnsi="Times New Roman" w:cs="Times New Roman"/>
                <w:color w:val="auto"/>
                <w:sz w:val="20"/>
                <w:szCs w:val="20"/>
              </w:rPr>
            </w:pPr>
            <w:r>
              <w:rPr>
                <w:rFonts w:ascii="Times New Roman" w:hAnsi="Times New Roman" w:cs="Times New Roman"/>
                <w:color w:val="auto"/>
                <w:sz w:val="20"/>
                <w:szCs w:val="20"/>
              </w:rPr>
              <w:t>18.2 ± 0.12</w:t>
            </w:r>
            <w:r>
              <w:rPr>
                <w:rFonts w:hint="eastAsia" w:ascii="Times New Roman" w:hAnsi="Times New Roman" w:cs="Times New Roman"/>
                <w:color w:val="auto"/>
                <w:sz w:val="20"/>
                <w:szCs w:val="20"/>
              </w:rPr>
              <w:t>9</w:t>
            </w:r>
            <w:r>
              <w:rPr>
                <w:rFonts w:ascii="Times New Roman" w:hAnsi="Times New Roman" w:cs="Times New Roman"/>
                <w:color w:val="auto"/>
                <w:sz w:val="20"/>
                <w:szCs w:val="20"/>
              </w:rPr>
              <w:t>%</w:t>
            </w:r>
          </w:p>
        </w:tc>
      </w:tr>
      <w:tr w14:paraId="4F0E3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14" w:type="dxa"/>
          </w:tcPr>
          <w:p w14:paraId="15667FE6">
            <w:pPr>
              <w:widowControl/>
              <w:jc w:val="center"/>
              <w:rPr>
                <w:rFonts w:ascii="Times New Roman" w:hAnsi="Times New Roman" w:cs="Times New Roman"/>
                <w:color w:val="auto"/>
                <w:sz w:val="20"/>
                <w:szCs w:val="20"/>
              </w:rPr>
            </w:pPr>
            <w:r>
              <w:rPr>
                <w:rFonts w:hint="eastAsia" w:ascii="Times New Roman" w:hAnsi="Times New Roman" w:cs="Times New Roman"/>
                <w:color w:val="auto"/>
                <w:sz w:val="20"/>
                <w:szCs w:val="20"/>
              </w:rPr>
              <w:t>e</w:t>
            </w:r>
            <w:r>
              <w:rPr>
                <w:rFonts w:ascii="Times New Roman" w:hAnsi="Times New Roman" w:cs="Times New Roman"/>
                <w:color w:val="auto"/>
                <w:sz w:val="20"/>
                <w:szCs w:val="20"/>
              </w:rPr>
              <w:t>ncapsulation efficiency (EE%)</w:t>
            </w:r>
          </w:p>
        </w:tc>
        <w:tc>
          <w:tcPr>
            <w:tcW w:w="2551" w:type="dxa"/>
          </w:tcPr>
          <w:p w14:paraId="18455873">
            <w:pPr>
              <w:widowControl/>
              <w:jc w:val="center"/>
              <w:rPr>
                <w:rFonts w:ascii="Times New Roman" w:hAnsi="Times New Roman" w:cs="Times New Roman"/>
                <w:color w:val="auto"/>
                <w:sz w:val="20"/>
                <w:szCs w:val="20"/>
              </w:rPr>
            </w:pPr>
            <w:r>
              <w:rPr>
                <w:rFonts w:ascii="Times New Roman" w:hAnsi="Times New Roman" w:cs="Times New Roman"/>
                <w:color w:val="auto"/>
                <w:sz w:val="20"/>
                <w:szCs w:val="20"/>
              </w:rPr>
              <w:t>97.6 ± 0.</w:t>
            </w:r>
            <w:r>
              <w:rPr>
                <w:rFonts w:hint="eastAsia" w:ascii="Times New Roman" w:hAnsi="Times New Roman" w:cs="Times New Roman"/>
                <w:color w:val="auto"/>
                <w:sz w:val="20"/>
                <w:szCs w:val="20"/>
              </w:rPr>
              <w:t>658</w:t>
            </w:r>
            <w:r>
              <w:rPr>
                <w:rFonts w:ascii="Times New Roman" w:hAnsi="Times New Roman" w:cs="Times New Roman"/>
                <w:color w:val="auto"/>
                <w:sz w:val="20"/>
                <w:szCs w:val="20"/>
              </w:rPr>
              <w:t>%</w:t>
            </w:r>
          </w:p>
        </w:tc>
        <w:tc>
          <w:tcPr>
            <w:tcW w:w="2631" w:type="dxa"/>
          </w:tcPr>
          <w:p w14:paraId="375EE89A">
            <w:pPr>
              <w:widowControl/>
              <w:jc w:val="center"/>
              <w:rPr>
                <w:rFonts w:ascii="Times New Roman" w:hAnsi="Times New Roman" w:cs="Times New Roman"/>
                <w:color w:val="auto"/>
                <w:sz w:val="20"/>
                <w:szCs w:val="20"/>
              </w:rPr>
            </w:pPr>
            <w:r>
              <w:rPr>
                <w:rFonts w:ascii="Times New Roman" w:hAnsi="Times New Roman" w:cs="Times New Roman"/>
                <w:color w:val="auto"/>
                <w:sz w:val="20"/>
                <w:szCs w:val="20"/>
              </w:rPr>
              <w:t>97.9 ± 1.4</w:t>
            </w:r>
            <w:r>
              <w:rPr>
                <w:rFonts w:hint="eastAsia" w:ascii="Times New Roman" w:hAnsi="Times New Roman" w:cs="Times New Roman"/>
                <w:color w:val="auto"/>
                <w:sz w:val="20"/>
                <w:szCs w:val="20"/>
              </w:rPr>
              <w:t>3</w:t>
            </w:r>
            <w:r>
              <w:rPr>
                <w:rFonts w:ascii="Times New Roman" w:hAnsi="Times New Roman" w:cs="Times New Roman"/>
                <w:color w:val="auto"/>
                <w:sz w:val="20"/>
                <w:szCs w:val="20"/>
              </w:rPr>
              <w:t>%</w:t>
            </w:r>
          </w:p>
        </w:tc>
      </w:tr>
    </w:tbl>
    <w:p w14:paraId="6F858DF0">
      <w:pPr>
        <w:widowControl/>
        <w:jc w:val="left"/>
        <w:rPr>
          <w:rFonts w:ascii="Times New Roman" w:hAnsi="Times New Roman" w:cs="Times New Roman"/>
          <w:b/>
          <w:bCs/>
          <w:color w:val="auto"/>
        </w:rPr>
      </w:pPr>
    </w:p>
    <w:p w14:paraId="71A32B84">
      <w:pPr>
        <w:rPr>
          <w:rFonts w:ascii="Calibri" w:hAnsi="Calibri" w:cs="Calibri"/>
          <w:b/>
          <w:color w:val="auto"/>
          <w:szCs w:val="21"/>
        </w:rPr>
      </w:pPr>
      <w:r>
        <w:rPr>
          <w:rFonts w:hint="eastAsia" w:ascii="Calibri" w:hAnsi="Calibri" w:cs="Calibri"/>
          <w:b/>
          <w:color w:val="auto"/>
          <w:szCs w:val="21"/>
        </w:rPr>
        <w:t>5. MA NPs maintain structural integrity and colloidal stability in protein-containing biological fluids</w:t>
      </w:r>
    </w:p>
    <w:p w14:paraId="1BC9668F">
      <w:pPr>
        <w:widowControl/>
        <w:rPr>
          <w:rFonts w:ascii="Times New Roman" w:hAnsi="Times New Roman" w:cs="Times New Roman"/>
          <w:color w:val="auto"/>
          <w:szCs w:val="21"/>
        </w:rPr>
      </w:pPr>
      <w:r>
        <w:rPr>
          <w:rFonts w:ascii="Times New Roman" w:hAnsi="Times New Roman" w:cs="Times New Roman"/>
          <w:color w:val="auto"/>
          <w:szCs w:val="21"/>
        </w:rPr>
        <w:t>When nanoparticles are exposed to protein‑containing biological fluids, a protein corona rapidly forms on their surface, altering their size, surface charge, and colloidal stability in protein‑containing media [</w:t>
      </w:r>
      <w:r>
        <w:rPr>
          <w:rFonts w:hint="eastAsia" w:ascii="Times New Roman" w:hAnsi="Times New Roman" w:cs="Times New Roman"/>
          <w:color w:val="auto"/>
          <w:szCs w:val="21"/>
        </w:rPr>
        <w:t>6</w:t>
      </w:r>
      <w:r>
        <w:rPr>
          <w:rFonts w:ascii="Times New Roman" w:hAnsi="Times New Roman" w:cs="Times New Roman"/>
          <w:color w:val="auto"/>
          <w:szCs w:val="21"/>
        </w:rPr>
        <w:t>,</w:t>
      </w:r>
      <w:r>
        <w:rPr>
          <w:rFonts w:hint="eastAsia" w:ascii="Times New Roman" w:hAnsi="Times New Roman" w:cs="Times New Roman"/>
          <w:color w:val="auto"/>
          <w:szCs w:val="21"/>
        </w:rPr>
        <w:t>7</w:t>
      </w:r>
      <w:r>
        <w:rPr>
          <w:rFonts w:ascii="Times New Roman" w:hAnsi="Times New Roman" w:cs="Times New Roman"/>
          <w:color w:val="auto"/>
          <w:szCs w:val="21"/>
        </w:rPr>
        <w:t>]. To evaluate the structural integrity of MA NPs in a protein‑rich environment, complementary characterizations were performed from two perspectives: release kinetics and colloidal stability.</w:t>
      </w:r>
      <w:r>
        <w:rPr>
          <w:rFonts w:hint="eastAsia" w:ascii="Times New Roman" w:hAnsi="Times New Roman" w:cs="Times New Roman"/>
          <w:color w:val="auto"/>
          <w:szCs w:val="21"/>
        </w:rPr>
        <w:t xml:space="preserve"> The</w:t>
      </w:r>
      <w:r>
        <w:rPr>
          <w:rFonts w:ascii="Times New Roman" w:hAnsi="Times New Roman" w:cs="Times New Roman"/>
          <w:color w:val="auto"/>
          <w:szCs w:val="21"/>
        </w:rPr>
        <w:t xml:space="preserve"> time‑dependent drug release profiles of MA NPs in biologically relevant media, including PBS and serum, were first compared. As shown in Fig. S</w:t>
      </w:r>
      <w:r>
        <w:rPr>
          <w:rFonts w:hint="eastAsia" w:ascii="Times New Roman" w:hAnsi="Times New Roman" w:cs="Times New Roman"/>
          <w:color w:val="auto"/>
          <w:szCs w:val="21"/>
        </w:rPr>
        <w:t>4</w:t>
      </w:r>
      <w:r>
        <w:rPr>
          <w:rFonts w:ascii="Times New Roman" w:hAnsi="Times New Roman" w:cs="Times New Roman"/>
          <w:color w:val="auto"/>
          <w:szCs w:val="21"/>
        </w:rPr>
        <w:t>A, the drug release rate of MA NPs in PBS showed no difference from that in water. In contrast, the drug release rate of MA NPs in medium containing 50% FBS was significantly slower than that in PBS (0.5–12 h). If the co‑assembled structure had disintegrated, a burst release would have been observed [</w:t>
      </w:r>
      <w:r>
        <w:rPr>
          <w:rFonts w:hint="eastAsia" w:ascii="Times New Roman" w:hAnsi="Times New Roman" w:cs="Times New Roman"/>
          <w:color w:val="auto"/>
          <w:szCs w:val="21"/>
        </w:rPr>
        <w:t>8</w:t>
      </w:r>
      <w:r>
        <w:rPr>
          <w:rFonts w:ascii="Times New Roman" w:hAnsi="Times New Roman" w:cs="Times New Roman"/>
          <w:color w:val="auto"/>
          <w:szCs w:val="21"/>
        </w:rPr>
        <w:t>]. The observed retardation of release instead indicates the formation of a physical barrier by the protein corona on the nanoparticle surface, ruling out structural disintegration and directly supporting the integrity of the co‑assembled structure</w:t>
      </w:r>
      <w:r>
        <w:rPr>
          <w:rFonts w:hint="eastAsia" w:ascii="Times New Roman" w:hAnsi="Times New Roman" w:cs="Times New Roman"/>
          <w:color w:val="auto"/>
          <w:szCs w:val="21"/>
        </w:rPr>
        <w:t>. The size and zeta potential changes of MA NPs during 24 h of incubation in mouse serum and bronchoalveolar lavage fluid (BALF) were further monitored (Fig. S4B, C). In the initial period (0</w:t>
      </w:r>
      <w:r>
        <w:rPr>
          <w:rFonts w:ascii="Times New Roman" w:hAnsi="Times New Roman" w:cs="Times New Roman"/>
          <w:color w:val="auto"/>
          <w:szCs w:val="21"/>
        </w:rPr>
        <w:t>–</w:t>
      </w:r>
      <w:r>
        <w:rPr>
          <w:rFonts w:hint="eastAsia" w:ascii="Times New Roman" w:hAnsi="Times New Roman" w:cs="Times New Roman"/>
          <w:color w:val="auto"/>
          <w:szCs w:val="21"/>
        </w:rPr>
        <w:t>30 min) after exposure to serum or BALF, a slight decrease in size and a reduction in absolute zeta potential were observed, which are classic features of rapid protein corona formation [9]. In serum, MA NPs exhibited significant aggregation after 2 h (reaching micron scale at 4 h). In BALF, the nanoparticles showed</w:t>
      </w:r>
      <w:r>
        <w:rPr>
          <w:rFonts w:ascii="Times New Roman" w:hAnsi="Times New Roman" w:cs="Times New Roman"/>
          <w:color w:val="auto"/>
          <w:szCs w:val="21"/>
        </w:rPr>
        <w:t xml:space="preserve"> only minor fluctuations, and the size returned to approximately 305 nm at 24 h, close to the initial level. Together, the release kinetics and particle size data suggest that MA NPs form a stable protein corona and maintain co‑assembled structural integrity in protein‑containing physiological environments, supporting the rationale of the formulation design.</w:t>
      </w:r>
    </w:p>
    <w:p w14:paraId="18703C51">
      <w:pPr>
        <w:widowControl/>
        <w:jc w:val="center"/>
        <w:rPr>
          <w:rFonts w:ascii="Times New Roman" w:hAnsi="Times New Roman" w:cs="Times New Roman"/>
          <w:color w:val="auto"/>
          <w:sz w:val="24"/>
          <w:szCs w:val="24"/>
        </w:rPr>
      </w:pPr>
      <w:r>
        <w:rPr>
          <w:rFonts w:ascii="Times New Roman" w:hAnsi="Times New Roman" w:cs="Times New Roman"/>
          <w:color w:val="auto"/>
          <w:sz w:val="24"/>
          <w:szCs w:val="24"/>
        </w:rPr>
        <w:drawing>
          <wp:inline distT="0" distB="0" distL="0" distR="0">
            <wp:extent cx="5039995" cy="2663825"/>
            <wp:effectExtent l="0" t="0" r="0"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5040000" cy="2664144"/>
                    </a:xfrm>
                    <a:prstGeom prst="rect">
                      <a:avLst/>
                    </a:prstGeom>
                    <a:noFill/>
                  </pic:spPr>
                </pic:pic>
              </a:graphicData>
            </a:graphic>
          </wp:inline>
        </w:drawing>
      </w:r>
    </w:p>
    <w:p w14:paraId="24C6A407">
      <w:pPr>
        <w:adjustRightInd w:val="0"/>
        <w:contextualSpacing/>
        <w:rPr>
          <w:rFonts w:ascii="Times New Roman" w:hAnsi="Times New Roman" w:cs="Times New Roman"/>
          <w:color w:val="auto"/>
          <w:szCs w:val="21"/>
        </w:rPr>
      </w:pPr>
      <w:r>
        <w:rPr>
          <w:rFonts w:ascii="Times New Roman" w:hAnsi="Times New Roman" w:cs="Times New Roman"/>
          <w:b/>
          <w:bCs/>
          <w:color w:val="auto"/>
        </w:rPr>
        <w:t xml:space="preserve">Fig. </w:t>
      </w:r>
      <w:r>
        <w:rPr>
          <w:rFonts w:hint="eastAsia" w:ascii="Times New Roman" w:hAnsi="Times New Roman" w:cs="Times New Roman"/>
          <w:b/>
          <w:bCs/>
          <w:color w:val="auto"/>
        </w:rPr>
        <w:t>S4</w:t>
      </w:r>
      <w:r>
        <w:rPr>
          <w:rFonts w:ascii="Times New Roman" w:hAnsi="Times New Roman" w:cs="Times New Roman"/>
          <w:color w:val="auto"/>
        </w:rPr>
        <w:t xml:space="preserve"> MA NPs maintain structural and colloidal integrity in protein</w:t>
      </w:r>
      <w:r>
        <w:rPr>
          <w:rFonts w:hint="eastAsia" w:ascii="Times New Roman" w:hAnsi="Times New Roman" w:cs="Times New Roman"/>
          <w:color w:val="auto"/>
        </w:rPr>
        <w:t>-</w:t>
      </w:r>
      <w:r>
        <w:rPr>
          <w:rFonts w:ascii="Times New Roman" w:hAnsi="Times New Roman" w:cs="Times New Roman"/>
          <w:color w:val="auto"/>
        </w:rPr>
        <w:t xml:space="preserve">containing biological fluids. </w:t>
      </w:r>
      <w:r>
        <w:rPr>
          <w:rFonts w:ascii="Times New Roman" w:hAnsi="Times New Roman" w:cs="Times New Roman"/>
          <w:color w:val="auto"/>
          <w:szCs w:val="21"/>
        </w:rPr>
        <w:t xml:space="preserve">(A) Drug release profiles of MA NPs in PBS and 50% FBS. (B) Hydrodynamic diameter stability of MA NPs during 24 h incubation with serum or BALF. (C) Zeta potential of MA NPs during 24 h incubation with serum or BALF. </w:t>
      </w:r>
      <w:r>
        <w:rPr>
          <w:rFonts w:ascii="Times New Roman" w:hAnsi="Times New Roman" w:cs="Times New Roman"/>
          <w:color w:val="auto"/>
          <w:szCs w:val="21"/>
          <w:vertAlign w:val="superscript"/>
        </w:rPr>
        <w:t>***</w:t>
      </w:r>
      <w:r>
        <w:rPr>
          <w:rFonts w:ascii="Times New Roman" w:hAnsi="Times New Roman" w:cs="Times New Roman"/>
          <w:i/>
          <w:iCs/>
          <w:color w:val="auto"/>
          <w:szCs w:val="21"/>
        </w:rPr>
        <w:t>p</w:t>
      </w:r>
      <w:r>
        <w:rPr>
          <w:rFonts w:ascii="Times New Roman" w:hAnsi="Times New Roman" w:cs="Times New Roman"/>
          <w:color w:val="auto"/>
          <w:szCs w:val="21"/>
        </w:rPr>
        <w:t xml:space="preserve">&lt; 0.001, </w:t>
      </w:r>
      <w:r>
        <w:rPr>
          <w:rFonts w:ascii="Times New Roman" w:hAnsi="Times New Roman" w:cs="Times New Roman"/>
          <w:color w:val="auto"/>
          <w:szCs w:val="21"/>
          <w:vertAlign w:val="superscript"/>
        </w:rPr>
        <w:t>**</w:t>
      </w:r>
      <w:r>
        <w:rPr>
          <w:rFonts w:ascii="Times New Roman" w:hAnsi="Times New Roman" w:cs="Times New Roman"/>
          <w:i/>
          <w:iCs/>
          <w:color w:val="auto"/>
          <w:szCs w:val="21"/>
        </w:rPr>
        <w:t>p</w:t>
      </w:r>
      <w:r>
        <w:rPr>
          <w:rFonts w:ascii="Times New Roman" w:hAnsi="Times New Roman" w:cs="Times New Roman"/>
          <w:color w:val="auto"/>
          <w:szCs w:val="21"/>
        </w:rPr>
        <w:t xml:space="preserve">&lt; 0.01, </w:t>
      </w:r>
      <w:r>
        <w:rPr>
          <w:rFonts w:ascii="Times New Roman" w:hAnsi="Times New Roman" w:cs="Times New Roman"/>
          <w:color w:val="auto"/>
          <w:szCs w:val="21"/>
          <w:vertAlign w:val="superscript"/>
        </w:rPr>
        <w:t>*</w:t>
      </w:r>
      <w:r>
        <w:rPr>
          <w:rFonts w:ascii="Times New Roman" w:hAnsi="Times New Roman" w:cs="Times New Roman"/>
          <w:i/>
          <w:iCs/>
          <w:color w:val="auto"/>
          <w:szCs w:val="21"/>
        </w:rPr>
        <w:t>p</w:t>
      </w:r>
      <w:r>
        <w:rPr>
          <w:rFonts w:ascii="Times New Roman" w:hAnsi="Times New Roman" w:cs="Times New Roman"/>
          <w:color w:val="auto"/>
          <w:szCs w:val="21"/>
        </w:rPr>
        <w:t xml:space="preserve">&lt; 0.05 </w:t>
      </w:r>
      <w:r>
        <w:rPr>
          <w:rFonts w:ascii="Times New Roman" w:hAnsi="Times New Roman" w:cs="Times New Roman"/>
          <w:i/>
          <w:iCs/>
          <w:color w:val="auto"/>
          <w:szCs w:val="21"/>
        </w:rPr>
        <w:t>vs</w:t>
      </w:r>
      <w:r>
        <w:rPr>
          <w:rFonts w:ascii="Times New Roman" w:hAnsi="Times New Roman" w:cs="Times New Roman"/>
          <w:color w:val="auto"/>
          <w:szCs w:val="21"/>
        </w:rPr>
        <w:t>. the data at the corresponding time in MA NPs-PBS group (</w:t>
      </w:r>
      <w:r>
        <w:rPr>
          <w:rFonts w:ascii="Times New Roman" w:hAnsi="Times New Roman" w:cs="Times New Roman"/>
          <w:i/>
          <w:iCs/>
          <w:color w:val="auto"/>
          <w:szCs w:val="21"/>
        </w:rPr>
        <w:t>n</w:t>
      </w:r>
      <w:r>
        <w:rPr>
          <w:rFonts w:ascii="Times New Roman" w:hAnsi="Times New Roman" w:cs="Times New Roman"/>
          <w:color w:val="auto"/>
          <w:szCs w:val="21"/>
        </w:rPr>
        <w:t>=3).</w:t>
      </w:r>
    </w:p>
    <w:p w14:paraId="738F67A6">
      <w:pPr>
        <w:widowControl/>
        <w:jc w:val="left"/>
        <w:rPr>
          <w:rFonts w:ascii="Times New Roman" w:hAnsi="Times New Roman" w:cs="Times New Roman"/>
          <w:b/>
          <w:bCs/>
          <w:color w:val="auto"/>
        </w:rPr>
      </w:pPr>
    </w:p>
    <w:p w14:paraId="5F88339A">
      <w:pPr>
        <w:rPr>
          <w:rFonts w:ascii="Calibri" w:hAnsi="Calibri" w:cs="Calibri"/>
          <w:b/>
          <w:color w:val="auto"/>
          <w:szCs w:val="21"/>
        </w:rPr>
      </w:pPr>
      <w:r>
        <w:rPr>
          <w:rFonts w:ascii="Calibri" w:hAnsi="Calibri" w:cs="Calibri"/>
          <w:b/>
          <w:color w:val="auto"/>
          <w:szCs w:val="21"/>
        </w:rPr>
        <w:t>6. NMR confirmation of MA NPs co</w:t>
      </w:r>
      <w:r>
        <w:rPr>
          <w:rFonts w:ascii="MS Gothic" w:hAnsi="MS Gothic" w:eastAsia="MS Gothic" w:cs="MS Gothic"/>
          <w:b/>
          <w:color w:val="auto"/>
          <w:szCs w:val="21"/>
        </w:rPr>
        <w:t>‑</w:t>
      </w:r>
      <w:r>
        <w:rPr>
          <w:rFonts w:ascii="Calibri" w:hAnsi="Calibri" w:cs="Calibri"/>
          <w:b/>
          <w:color w:val="auto"/>
          <w:szCs w:val="21"/>
        </w:rPr>
        <w:t>assembly structure</w:t>
      </w:r>
    </w:p>
    <w:p w14:paraId="07309528">
      <w:pPr>
        <w:adjustRightInd w:val="0"/>
        <w:contextualSpacing/>
        <w:rPr>
          <w:rFonts w:ascii="Times New Roman" w:hAnsi="Times New Roman" w:cs="Times New Roman"/>
          <w:color w:val="auto"/>
          <w:szCs w:val="21"/>
        </w:rPr>
      </w:pPr>
      <w:r>
        <w:rPr>
          <w:rFonts w:hint="eastAsia" w:ascii="Times New Roman" w:hAnsi="Times New Roman" w:cs="Times New Roman"/>
          <w:color w:val="auto"/>
          <w:szCs w:val="21"/>
        </w:rPr>
        <w:t xml:space="preserve">To further verify the composition and assembly of MA NPs, we measured the </w:t>
      </w:r>
      <w:r>
        <w:rPr>
          <w:rFonts w:hint="eastAsia" w:ascii="Times New Roman" w:hAnsi="Times New Roman" w:cs="Times New Roman"/>
          <w:color w:val="auto"/>
          <w:szCs w:val="21"/>
          <w:vertAlign w:val="superscript"/>
        </w:rPr>
        <w:t>1</w:t>
      </w:r>
      <w:r>
        <w:rPr>
          <w:rFonts w:hint="eastAsia" w:ascii="Times New Roman" w:hAnsi="Times New Roman" w:cs="Times New Roman"/>
          <w:color w:val="auto"/>
          <w:szCs w:val="21"/>
        </w:rPr>
        <w:t xml:space="preserve">H NMR and </w:t>
      </w:r>
      <w:r>
        <w:rPr>
          <w:rFonts w:hint="eastAsia" w:ascii="Times New Roman" w:hAnsi="Times New Roman" w:cs="Times New Roman"/>
          <w:color w:val="auto"/>
          <w:szCs w:val="21"/>
          <w:vertAlign w:val="superscript"/>
        </w:rPr>
        <w:t>13</w:t>
      </w:r>
      <w:r>
        <w:rPr>
          <w:rFonts w:hint="eastAsia" w:ascii="Times New Roman" w:hAnsi="Times New Roman" w:cs="Times New Roman"/>
          <w:color w:val="auto"/>
          <w:szCs w:val="21"/>
        </w:rPr>
        <w:t>C NMR spectra of Mag, ATI, and MA NPs. The presence of both Mag and ATI in the MA NPs was confirmed by the appearance of their characteristic proton and carbon signals in the spectra of the nanoparticles. Notably, after nanoparticle formation, the characteristic phenolic hydroxyl proton signals of Mag completely disappeared, indicating that these groups are involved in intermolecular interactions dur</w:t>
      </w:r>
      <w:r>
        <w:rPr>
          <w:rFonts w:ascii="Times New Roman" w:hAnsi="Times New Roman" w:cs="Times New Roman"/>
          <w:color w:val="auto"/>
          <w:szCs w:val="21"/>
        </w:rPr>
        <w:t>ing co‑assembly. Furthermore, compared with the free drugs, the corresponding proton signals in MA NPs shifted upfield (Fig. S</w:t>
      </w:r>
      <w:r>
        <w:rPr>
          <w:rFonts w:hint="eastAsia" w:ascii="Times New Roman" w:hAnsi="Times New Roman" w:cs="Times New Roman"/>
          <w:color w:val="auto"/>
          <w:szCs w:val="21"/>
        </w:rPr>
        <w:t>5</w:t>
      </w:r>
      <w:r>
        <w:rPr>
          <w:rFonts w:ascii="Times New Roman" w:hAnsi="Times New Roman" w:cs="Times New Roman"/>
          <w:color w:val="auto"/>
          <w:szCs w:val="21"/>
        </w:rPr>
        <w:t>), and the corresponding carbon signals shifted downfield (Fig. S</w:t>
      </w:r>
      <w:r>
        <w:rPr>
          <w:rFonts w:hint="eastAsia" w:ascii="Times New Roman" w:hAnsi="Times New Roman" w:cs="Times New Roman"/>
          <w:color w:val="auto"/>
          <w:szCs w:val="21"/>
        </w:rPr>
        <w:t>6</w:t>
      </w:r>
      <w:r>
        <w:rPr>
          <w:rFonts w:ascii="Times New Roman" w:hAnsi="Times New Roman" w:cs="Times New Roman"/>
          <w:color w:val="auto"/>
          <w:szCs w:val="21"/>
        </w:rPr>
        <w:t>). These spectral changes provide strong evidence for the formation of a co‑assembled structure, confirming that Mag and ATI are not simply mixed but rather integrated into a unified nanoparticle architecture.</w:t>
      </w:r>
    </w:p>
    <w:p w14:paraId="6DD6DCD2">
      <w:pPr>
        <w:adjustRightInd w:val="0"/>
        <w:contextualSpacing/>
        <w:rPr>
          <w:rFonts w:ascii="Times New Roman" w:hAnsi="Times New Roman" w:eastAsia="宋体" w:cs="Times New Roman"/>
          <w:color w:val="auto"/>
          <w:szCs w:val="24"/>
        </w:rPr>
      </w:pPr>
      <w:r>
        <w:rPr>
          <w:rFonts w:ascii="Times New Roman" w:hAnsi="Times New Roman" w:eastAsia="宋体" w:cs="Times New Roman"/>
          <w:color w:val="auto"/>
          <w:szCs w:val="24"/>
        </w:rPr>
        <w:drawing>
          <wp:inline distT="0" distB="0" distL="0" distR="0">
            <wp:extent cx="5039995" cy="5969000"/>
            <wp:effectExtent l="0" t="0" r="8255"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5040000" cy="5969281"/>
                    </a:xfrm>
                    <a:prstGeom prst="rect">
                      <a:avLst/>
                    </a:prstGeom>
                    <a:noFill/>
                  </pic:spPr>
                </pic:pic>
              </a:graphicData>
            </a:graphic>
          </wp:inline>
        </w:drawing>
      </w:r>
    </w:p>
    <w:p w14:paraId="66E25474">
      <w:pPr>
        <w:adjustRightInd w:val="0"/>
        <w:contextualSpacing/>
        <w:rPr>
          <w:rFonts w:ascii="Times New Roman" w:hAnsi="Times New Roman" w:eastAsia="宋体" w:cs="Times New Roman"/>
          <w:color w:val="auto"/>
          <w:szCs w:val="24"/>
        </w:rPr>
      </w:pPr>
      <w:r>
        <w:rPr>
          <w:rFonts w:hint="eastAsia" w:ascii="Times New Roman" w:hAnsi="Times New Roman" w:eastAsia="宋体" w:cs="Times New Roman"/>
          <w:b/>
          <w:bCs/>
          <w:color w:val="auto"/>
          <w:szCs w:val="24"/>
        </w:rPr>
        <w:t xml:space="preserve">Fig. S5 </w:t>
      </w:r>
      <w:r>
        <w:rPr>
          <w:rFonts w:ascii="Times New Roman" w:hAnsi="Times New Roman" w:eastAsia="宋体" w:cs="Times New Roman"/>
          <w:color w:val="auto"/>
          <w:szCs w:val="24"/>
          <w:vertAlign w:val="superscript"/>
        </w:rPr>
        <w:t>1</w:t>
      </w:r>
      <w:r>
        <w:rPr>
          <w:rFonts w:ascii="Times New Roman" w:hAnsi="Times New Roman" w:eastAsia="宋体" w:cs="Times New Roman"/>
          <w:color w:val="auto"/>
          <w:szCs w:val="24"/>
        </w:rPr>
        <w:t>H</w:t>
      </w:r>
      <w:r>
        <w:rPr>
          <w:rFonts w:hint="eastAsia" w:ascii="Times New Roman" w:hAnsi="Times New Roman" w:eastAsia="宋体" w:cs="Times New Roman"/>
          <w:color w:val="auto"/>
          <w:szCs w:val="24"/>
        </w:rPr>
        <w:t xml:space="preserve"> NMR </w:t>
      </w:r>
      <w:r>
        <w:rPr>
          <w:rFonts w:ascii="Times New Roman" w:hAnsi="Times New Roman" w:eastAsia="宋体" w:cs="Times New Roman"/>
          <w:color w:val="auto"/>
          <w:szCs w:val="24"/>
        </w:rPr>
        <w:t>analysis</w:t>
      </w:r>
      <w:r>
        <w:rPr>
          <w:rFonts w:hint="eastAsia" w:ascii="Times New Roman" w:hAnsi="Times New Roman" w:eastAsia="宋体" w:cs="Times New Roman"/>
          <w:color w:val="auto"/>
          <w:szCs w:val="24"/>
        </w:rPr>
        <w:t xml:space="preserve">. </w:t>
      </w:r>
      <w:r>
        <w:rPr>
          <w:rFonts w:ascii="Times New Roman" w:hAnsi="Times New Roman" w:eastAsia="宋体" w:cs="Times New Roman"/>
          <w:color w:val="auto"/>
          <w:szCs w:val="24"/>
        </w:rPr>
        <w:t>(A</w:t>
      </w:r>
      <w:r>
        <w:rPr>
          <w:rFonts w:hint="eastAsia" w:ascii="Times New Roman" w:hAnsi="Times New Roman" w:eastAsia="宋体" w:cs="Times New Roman"/>
          <w:color w:val="auto"/>
          <w:szCs w:val="24"/>
        </w:rPr>
        <w:t xml:space="preserve">) </w:t>
      </w:r>
      <w:r>
        <w:rPr>
          <w:rFonts w:hint="eastAsia" w:ascii="Times New Roman" w:hAnsi="Times New Roman" w:eastAsia="宋体" w:cs="Times New Roman"/>
          <w:color w:val="auto"/>
          <w:szCs w:val="24"/>
          <w:vertAlign w:val="superscript"/>
        </w:rPr>
        <w:t>1</w:t>
      </w:r>
      <w:r>
        <w:rPr>
          <w:rFonts w:ascii="Times New Roman" w:hAnsi="Times New Roman" w:eastAsia="宋体" w:cs="Times New Roman"/>
          <w:color w:val="auto"/>
          <w:szCs w:val="24"/>
        </w:rPr>
        <w:t>H NMR spectrum and assignment of Mag. (B)</w:t>
      </w:r>
      <w:r>
        <w:rPr>
          <w:rFonts w:hint="eastAsia" w:ascii="Times New Roman" w:hAnsi="Times New Roman" w:eastAsia="宋体" w:cs="Times New Roman"/>
          <w:color w:val="auto"/>
          <w:szCs w:val="24"/>
        </w:rPr>
        <w:t xml:space="preserve"> </w:t>
      </w:r>
      <w:r>
        <w:rPr>
          <w:rFonts w:hint="eastAsia" w:ascii="Times New Roman" w:hAnsi="Times New Roman" w:eastAsia="宋体" w:cs="Times New Roman"/>
          <w:color w:val="auto"/>
          <w:szCs w:val="24"/>
          <w:vertAlign w:val="superscript"/>
        </w:rPr>
        <w:t>1</w:t>
      </w:r>
      <w:r>
        <w:rPr>
          <w:rFonts w:ascii="Times New Roman" w:hAnsi="Times New Roman" w:eastAsia="宋体" w:cs="Times New Roman"/>
          <w:color w:val="auto"/>
          <w:szCs w:val="24"/>
        </w:rPr>
        <w:t>H NMR spectrum and assignment of ATI. (C)</w:t>
      </w:r>
      <w:r>
        <w:rPr>
          <w:rFonts w:hint="eastAsia" w:ascii="Times New Roman" w:hAnsi="Times New Roman" w:eastAsia="宋体" w:cs="Times New Roman"/>
          <w:color w:val="auto"/>
          <w:szCs w:val="24"/>
        </w:rPr>
        <w:t xml:space="preserve"> </w:t>
      </w:r>
      <w:r>
        <w:rPr>
          <w:rFonts w:hint="eastAsia" w:ascii="Times New Roman" w:hAnsi="Times New Roman" w:eastAsia="宋体" w:cs="Times New Roman"/>
          <w:color w:val="auto"/>
          <w:szCs w:val="24"/>
          <w:vertAlign w:val="superscript"/>
        </w:rPr>
        <w:t>1</w:t>
      </w:r>
      <w:r>
        <w:rPr>
          <w:rFonts w:ascii="Times New Roman" w:hAnsi="Times New Roman" w:eastAsia="宋体" w:cs="Times New Roman"/>
          <w:color w:val="auto"/>
          <w:szCs w:val="24"/>
        </w:rPr>
        <w:t>H NMR spectrum and assignment of MA NPs. (Red labels indicate upfield shifts of the corresponding protons.)</w:t>
      </w:r>
    </w:p>
    <w:p w14:paraId="13CEE333">
      <w:pPr>
        <w:adjustRightInd w:val="0"/>
        <w:contextualSpacing/>
        <w:jc w:val="center"/>
        <w:rPr>
          <w:rFonts w:ascii="Times New Roman" w:hAnsi="Times New Roman" w:eastAsia="宋体" w:cs="Times New Roman"/>
          <w:color w:val="auto"/>
          <w:szCs w:val="24"/>
        </w:rPr>
      </w:pPr>
    </w:p>
    <w:p w14:paraId="02EED514">
      <w:pPr>
        <w:adjustRightInd w:val="0"/>
        <w:contextualSpacing/>
        <w:jc w:val="center"/>
        <w:rPr>
          <w:rFonts w:ascii="Times New Roman" w:hAnsi="Times New Roman" w:eastAsia="宋体" w:cs="Times New Roman"/>
          <w:color w:val="auto"/>
          <w:szCs w:val="24"/>
        </w:rPr>
      </w:pPr>
      <w:r>
        <w:rPr>
          <w:rFonts w:ascii="Times New Roman" w:hAnsi="Times New Roman" w:eastAsia="宋体" w:cs="Times New Roman"/>
          <w:color w:val="auto"/>
          <w:szCs w:val="24"/>
        </w:rPr>
        <w:drawing>
          <wp:inline distT="0" distB="0" distL="0" distR="0">
            <wp:extent cx="5039995" cy="5929630"/>
            <wp:effectExtent l="0" t="0" r="8255"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5040000" cy="5929838"/>
                    </a:xfrm>
                    <a:prstGeom prst="rect">
                      <a:avLst/>
                    </a:prstGeom>
                    <a:noFill/>
                  </pic:spPr>
                </pic:pic>
              </a:graphicData>
            </a:graphic>
          </wp:inline>
        </w:drawing>
      </w:r>
    </w:p>
    <w:p w14:paraId="1F710090">
      <w:pPr>
        <w:adjustRightInd w:val="0"/>
        <w:contextualSpacing/>
        <w:rPr>
          <w:rFonts w:ascii="Times New Roman" w:hAnsi="Times New Roman" w:cs="Times New Roman"/>
          <w:color w:val="auto"/>
          <w:sz w:val="24"/>
          <w:szCs w:val="24"/>
        </w:rPr>
      </w:pPr>
      <w:r>
        <w:rPr>
          <w:rFonts w:hint="eastAsia" w:ascii="Times New Roman" w:hAnsi="Times New Roman" w:eastAsia="宋体" w:cs="Times New Roman"/>
          <w:b/>
          <w:bCs/>
          <w:color w:val="auto"/>
          <w:szCs w:val="24"/>
        </w:rPr>
        <w:t>Fig. S6</w:t>
      </w:r>
      <w:r>
        <w:rPr>
          <w:rFonts w:hint="eastAsia" w:ascii="Times New Roman" w:hAnsi="Times New Roman" w:eastAsia="宋体" w:cs="Times New Roman"/>
          <w:color w:val="auto"/>
          <w:szCs w:val="24"/>
        </w:rPr>
        <w:t xml:space="preserve"> </w:t>
      </w:r>
      <w:r>
        <w:rPr>
          <w:rFonts w:hint="eastAsia" w:ascii="Times New Roman" w:hAnsi="Times New Roman" w:eastAsia="宋体" w:cs="Times New Roman"/>
          <w:color w:val="auto"/>
          <w:szCs w:val="24"/>
          <w:vertAlign w:val="superscript"/>
        </w:rPr>
        <w:t>13</w:t>
      </w:r>
      <w:r>
        <w:rPr>
          <w:rFonts w:ascii="Times New Roman" w:hAnsi="Times New Roman" w:eastAsia="宋体" w:cs="Times New Roman"/>
          <w:color w:val="auto"/>
          <w:szCs w:val="24"/>
        </w:rPr>
        <w:t>C NMR analysis. (A)</w:t>
      </w:r>
      <w:r>
        <w:rPr>
          <w:rFonts w:hint="eastAsia" w:ascii="Times New Roman" w:hAnsi="Times New Roman" w:eastAsia="宋体" w:cs="Times New Roman"/>
          <w:color w:val="auto"/>
          <w:szCs w:val="24"/>
        </w:rPr>
        <w:t xml:space="preserve"> </w:t>
      </w:r>
      <w:r>
        <w:rPr>
          <w:rFonts w:hint="eastAsia" w:ascii="Times New Roman" w:hAnsi="Times New Roman" w:eastAsia="宋体" w:cs="Times New Roman"/>
          <w:color w:val="auto"/>
          <w:szCs w:val="24"/>
          <w:vertAlign w:val="superscript"/>
        </w:rPr>
        <w:t>13</w:t>
      </w:r>
      <w:r>
        <w:rPr>
          <w:rFonts w:ascii="Times New Roman" w:hAnsi="Times New Roman" w:eastAsia="宋体" w:cs="Times New Roman"/>
          <w:color w:val="auto"/>
          <w:szCs w:val="24"/>
        </w:rPr>
        <w:t>C NMR spectrum and assignment of Mag. (B)</w:t>
      </w:r>
      <w:r>
        <w:rPr>
          <w:rFonts w:hint="eastAsia" w:ascii="Times New Roman" w:hAnsi="Times New Roman" w:eastAsia="宋体" w:cs="Times New Roman"/>
          <w:color w:val="auto"/>
          <w:szCs w:val="24"/>
        </w:rPr>
        <w:t xml:space="preserve"> </w:t>
      </w:r>
      <w:r>
        <w:rPr>
          <w:rFonts w:hint="eastAsia" w:ascii="Times New Roman" w:hAnsi="Times New Roman" w:eastAsia="宋体" w:cs="Times New Roman"/>
          <w:color w:val="auto"/>
          <w:szCs w:val="24"/>
          <w:vertAlign w:val="superscript"/>
        </w:rPr>
        <w:t>13</w:t>
      </w:r>
      <w:r>
        <w:rPr>
          <w:rFonts w:ascii="Times New Roman" w:hAnsi="Times New Roman" w:eastAsia="宋体" w:cs="Times New Roman"/>
          <w:color w:val="auto"/>
          <w:szCs w:val="24"/>
        </w:rPr>
        <w:t>C NMR spectrum and assignment of ATI. (C)</w:t>
      </w:r>
      <w:r>
        <w:rPr>
          <w:rFonts w:hint="eastAsia" w:ascii="Times New Roman" w:hAnsi="Times New Roman" w:eastAsia="宋体" w:cs="Times New Roman"/>
          <w:color w:val="auto"/>
          <w:szCs w:val="24"/>
        </w:rPr>
        <w:t xml:space="preserve"> </w:t>
      </w:r>
      <w:r>
        <w:rPr>
          <w:rFonts w:hint="eastAsia" w:ascii="Times New Roman" w:hAnsi="Times New Roman" w:eastAsia="宋体" w:cs="Times New Roman"/>
          <w:color w:val="auto"/>
          <w:szCs w:val="24"/>
          <w:vertAlign w:val="superscript"/>
        </w:rPr>
        <w:t>13</w:t>
      </w:r>
      <w:r>
        <w:rPr>
          <w:rFonts w:ascii="Times New Roman" w:hAnsi="Times New Roman" w:eastAsia="宋体" w:cs="Times New Roman"/>
          <w:color w:val="auto"/>
          <w:szCs w:val="24"/>
        </w:rPr>
        <w:t>C NMR spectrum and assignment of MA NPs. (Red labels indicate downfield shifts of the corresponding carbons.)</w:t>
      </w:r>
    </w:p>
    <w:p w14:paraId="4D2F52CE">
      <w:pPr>
        <w:widowControl/>
        <w:jc w:val="left"/>
        <w:rPr>
          <w:rFonts w:ascii="Times New Roman" w:hAnsi="Times New Roman" w:cs="Times New Roman"/>
          <w:b/>
          <w:bCs/>
          <w:color w:val="auto"/>
        </w:rPr>
      </w:pPr>
    </w:p>
    <w:p w14:paraId="2B88860C">
      <w:pPr>
        <w:rPr>
          <w:rFonts w:ascii="Calibri" w:hAnsi="Calibri" w:cs="Calibri"/>
          <w:b/>
          <w:color w:val="auto"/>
          <w:szCs w:val="21"/>
        </w:rPr>
      </w:pPr>
      <w:r>
        <w:rPr>
          <w:rFonts w:hint="eastAsia" w:ascii="Calibri" w:hAnsi="Calibri" w:cs="Calibri"/>
          <w:b/>
          <w:color w:val="auto"/>
          <w:szCs w:val="21"/>
        </w:rPr>
        <w:t>7. Detection of sodium and potassium in urine</w:t>
      </w:r>
    </w:p>
    <w:p w14:paraId="2F8B52B3">
      <w:pPr>
        <w:rPr>
          <w:rFonts w:ascii="Times New Roman" w:hAnsi="Times New Roman" w:cs="Times New Roman"/>
          <w:color w:val="auto"/>
        </w:rPr>
      </w:pPr>
      <w:r>
        <w:rPr>
          <w:rFonts w:hint="eastAsia" w:ascii="Times New Roman" w:hAnsi="Times New Roman" w:cs="Times New Roman"/>
          <w:color w:val="auto"/>
        </w:rPr>
        <w:t xml:space="preserve">Following the establishment of the lung injury model </w:t>
      </w:r>
      <w:r>
        <w:rPr>
          <w:rFonts w:hint="eastAsia" w:ascii="Times New Roman" w:hAnsi="Times New Roman" w:cs="Times New Roman"/>
          <w:i/>
          <w:iCs/>
          <w:color w:val="auto"/>
        </w:rPr>
        <w:t>via</w:t>
      </w:r>
      <w:r>
        <w:rPr>
          <w:rFonts w:hint="eastAsia" w:ascii="Times New Roman" w:hAnsi="Times New Roman" w:cs="Times New Roman"/>
          <w:color w:val="auto"/>
        </w:rPr>
        <w:t xml:space="preserve"> intratracheal instillation of LPS (10 mg/kg) and subsequent pharmacological intervention, mice were housed in metabolic cages for a 24-h urine collection. Urinary levels of sodium and potassium were determined using commercial biochemical kits (Cat. Nos. C002-1-1 and C001-2-1, respectively; Nanjing Jiancheng Bioengineering Institute, China). As shown in Fig. </w:t>
      </w:r>
      <w:r>
        <w:rPr>
          <w:rFonts w:ascii="Times New Roman" w:hAnsi="Times New Roman" w:cs="Times New Roman"/>
          <w:color w:val="auto"/>
        </w:rPr>
        <w:t>S</w:t>
      </w:r>
      <w:r>
        <w:rPr>
          <w:rFonts w:hint="eastAsia" w:ascii="Times New Roman" w:hAnsi="Times New Roman" w:cs="Times New Roman"/>
          <w:color w:val="auto"/>
        </w:rPr>
        <w:t>7</w:t>
      </w:r>
      <w:r>
        <w:rPr>
          <w:rFonts w:ascii="Times New Roman" w:hAnsi="Times New Roman" w:cs="Times New Roman"/>
          <w:color w:val="auto"/>
        </w:rPr>
        <w:t>A and B</w:t>
      </w:r>
      <w:r>
        <w:rPr>
          <w:rFonts w:hint="eastAsia" w:ascii="Times New Roman" w:hAnsi="Times New Roman" w:cs="Times New Roman"/>
          <w:color w:val="auto"/>
        </w:rPr>
        <w:t>, MA NPs treatment significantly enhanced sodium excretion while attenuating potassium loss, a trend comparable to that observed in the Spi positive control group. These findings align with the serum electrolyte profiles reported in the main text, confirming that MA NPs exert their diuretic effects through a potassium-sparing natriuretic mechanism.</w:t>
      </w:r>
    </w:p>
    <w:p w14:paraId="0EF07CCA">
      <w:pPr>
        <w:rPr>
          <w:rFonts w:ascii="Times New Roman" w:hAnsi="Times New Roman" w:cs="Times New Roman"/>
          <w:b/>
          <w:bCs/>
          <w:color w:val="auto"/>
        </w:rPr>
      </w:pPr>
      <w:r>
        <w:rPr>
          <w:rFonts w:ascii="Times New Roman" w:hAnsi="Times New Roman" w:cs="Times New Roman"/>
          <w:b/>
          <w:bCs/>
          <w:color w:val="auto"/>
        </w:rPr>
        <w:drawing>
          <wp:anchor distT="0" distB="0" distL="114300" distR="114300" simplePos="0" relativeHeight="251660288" behindDoc="0" locked="0" layoutInCell="1" allowOverlap="1">
            <wp:simplePos x="0" y="0"/>
            <wp:positionH relativeFrom="column">
              <wp:posOffset>41910</wp:posOffset>
            </wp:positionH>
            <wp:positionV relativeFrom="paragraph">
              <wp:posOffset>194310</wp:posOffset>
            </wp:positionV>
            <wp:extent cx="5236210" cy="1657985"/>
            <wp:effectExtent l="0" t="0" r="2540" b="0"/>
            <wp:wrapTopAndBottom/>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12" cstate="print">
                      <a:extLst>
                        <a:ext uri="{28A0092B-C50C-407E-A947-70E740481C1C}">
                          <a14:useLocalDpi xmlns:a14="http://schemas.microsoft.com/office/drawing/2010/main" val="0"/>
                        </a:ext>
                      </a:extLst>
                    </a:blip>
                    <a:srcRect l="-1294" t="13315" r="1294" b="68855"/>
                    <a:stretch>
                      <a:fillRect/>
                    </a:stretch>
                  </pic:blipFill>
                  <pic:spPr>
                    <a:xfrm>
                      <a:off x="0" y="0"/>
                      <a:ext cx="5236210" cy="1657985"/>
                    </a:xfrm>
                    <a:prstGeom prst="rect">
                      <a:avLst/>
                    </a:prstGeom>
                    <a:ln>
                      <a:noFill/>
                    </a:ln>
                  </pic:spPr>
                </pic:pic>
              </a:graphicData>
            </a:graphic>
          </wp:anchor>
        </w:drawing>
      </w:r>
    </w:p>
    <w:p w14:paraId="3AF00A1B">
      <w:pPr>
        <w:rPr>
          <w:rFonts w:ascii="Times New Roman" w:hAnsi="Times New Roman" w:cs="Times New Roman"/>
          <w:color w:val="auto"/>
        </w:rPr>
      </w:pPr>
      <w:r>
        <w:rPr>
          <w:rFonts w:ascii="Times New Roman" w:hAnsi="Times New Roman" w:cs="Times New Roman"/>
          <w:b/>
          <w:bCs/>
          <w:color w:val="auto"/>
        </w:rPr>
        <w:t>Fig. S</w:t>
      </w:r>
      <w:r>
        <w:rPr>
          <w:rFonts w:hint="eastAsia" w:ascii="Times New Roman" w:hAnsi="Times New Roman" w:cs="Times New Roman"/>
          <w:b/>
          <w:bCs/>
          <w:color w:val="auto"/>
        </w:rPr>
        <w:t>7</w:t>
      </w:r>
      <w:r>
        <w:rPr>
          <w:rFonts w:ascii="Times New Roman" w:hAnsi="Times New Roman" w:cs="Times New Roman"/>
          <w:color w:val="auto"/>
        </w:rPr>
        <w:t xml:space="preserve"> </w:t>
      </w:r>
      <w:r>
        <w:rPr>
          <w:rFonts w:hint="eastAsia" w:ascii="Times New Roman" w:hAnsi="Times New Roman" w:cs="Times New Roman"/>
          <w:color w:val="auto"/>
        </w:rPr>
        <w:t>Detection of sodium and potassium in urine</w:t>
      </w:r>
      <w:r>
        <w:rPr>
          <w:rFonts w:ascii="Times New Roman" w:hAnsi="Times New Roman" w:cs="Times New Roman"/>
          <w:color w:val="auto"/>
        </w:rPr>
        <w:t>. (A) Sodium content in urine. (B) Potassium content in urine.</w:t>
      </w:r>
      <w:r>
        <w:rPr>
          <w:rFonts w:hint="eastAsia" w:ascii="Times New Roman" w:hAnsi="Times New Roman" w:cs="Times New Roman"/>
          <w:color w:val="auto"/>
        </w:rPr>
        <w:t xml:space="preserve"> </w:t>
      </w:r>
      <w:r>
        <w:rPr>
          <w:rFonts w:hint="eastAsia" w:ascii="Times New Roman" w:hAnsi="Times New Roman" w:cs="Times New Roman"/>
          <w:color w:val="auto"/>
          <w:vertAlign w:val="superscript"/>
        </w:rPr>
        <w:t>***</w:t>
      </w:r>
      <w:r>
        <w:rPr>
          <w:rFonts w:hint="eastAsia" w:ascii="Times New Roman" w:hAnsi="Times New Roman" w:cs="Times New Roman"/>
          <w:i/>
          <w:iCs/>
          <w:color w:val="auto"/>
        </w:rPr>
        <w:t>p</w:t>
      </w:r>
      <w:r>
        <w:rPr>
          <w:rFonts w:hint="eastAsia" w:ascii="Times New Roman" w:hAnsi="Times New Roman" w:cs="Times New Roman"/>
          <w:color w:val="auto"/>
        </w:rPr>
        <w:t xml:space="preserve">&lt; 0.001, </w:t>
      </w:r>
      <w:r>
        <w:rPr>
          <w:rFonts w:hint="eastAsia" w:ascii="Times New Roman" w:hAnsi="Times New Roman" w:cs="Times New Roman"/>
          <w:color w:val="auto"/>
          <w:vertAlign w:val="superscript"/>
        </w:rPr>
        <w:t>*</w:t>
      </w:r>
      <w:r>
        <w:rPr>
          <w:rFonts w:hint="eastAsia" w:ascii="Times New Roman" w:hAnsi="Times New Roman" w:cs="Times New Roman"/>
          <w:i/>
          <w:iCs/>
          <w:color w:val="auto"/>
        </w:rPr>
        <w:t>p</w:t>
      </w:r>
      <w:r>
        <w:rPr>
          <w:rFonts w:hint="eastAsia" w:ascii="Times New Roman" w:hAnsi="Times New Roman" w:cs="Times New Roman"/>
          <w:color w:val="auto"/>
        </w:rPr>
        <w:t xml:space="preserve">&lt; 0.05 </w:t>
      </w:r>
      <w:r>
        <w:rPr>
          <w:rFonts w:hint="eastAsia" w:ascii="Times New Roman" w:hAnsi="Times New Roman" w:cs="Times New Roman"/>
          <w:i/>
          <w:iCs/>
          <w:color w:val="auto"/>
        </w:rPr>
        <w:t>vs</w:t>
      </w:r>
      <w:r>
        <w:rPr>
          <w:rFonts w:hint="eastAsia" w:ascii="Times New Roman" w:hAnsi="Times New Roman" w:cs="Times New Roman"/>
          <w:color w:val="auto"/>
        </w:rPr>
        <w:t>. Mod group (</w:t>
      </w:r>
      <w:r>
        <w:rPr>
          <w:rFonts w:hint="eastAsia" w:ascii="Times New Roman" w:hAnsi="Times New Roman" w:cs="Times New Roman"/>
          <w:i/>
          <w:iCs/>
          <w:color w:val="auto"/>
        </w:rPr>
        <w:t>n</w:t>
      </w:r>
      <w:r>
        <w:rPr>
          <w:rFonts w:hint="eastAsia" w:ascii="Times New Roman" w:hAnsi="Times New Roman" w:cs="Times New Roman"/>
          <w:color w:val="auto"/>
        </w:rPr>
        <w:t xml:space="preserve">=6).  </w:t>
      </w:r>
    </w:p>
    <w:p w14:paraId="25C0748B">
      <w:pPr>
        <w:widowControl/>
        <w:jc w:val="left"/>
        <w:rPr>
          <w:rFonts w:ascii="Times New Roman" w:hAnsi="Times New Roman" w:cs="Times New Roman"/>
          <w:color w:val="auto"/>
        </w:rPr>
      </w:pPr>
    </w:p>
    <w:p w14:paraId="6343BDF4">
      <w:pPr>
        <w:rPr>
          <w:rFonts w:ascii="Times New Roman" w:hAnsi="Times New Roman" w:cs="Times New Roman"/>
          <w:b/>
          <w:bCs/>
          <w:color w:val="auto"/>
        </w:rPr>
      </w:pPr>
      <w:r>
        <w:rPr>
          <w:rFonts w:hint="eastAsia" w:ascii="Calibri" w:hAnsi="Calibri" w:cs="Calibri"/>
          <w:b/>
          <w:color w:val="auto"/>
          <w:szCs w:val="21"/>
        </w:rPr>
        <w:t xml:space="preserve">8. </w:t>
      </w:r>
      <w:r>
        <w:rPr>
          <w:rFonts w:ascii="Calibri" w:hAnsi="Calibri" w:cs="Calibri"/>
          <w:b/>
          <w:color w:val="auto"/>
          <w:szCs w:val="21"/>
        </w:rPr>
        <w:t xml:space="preserve">Efficacy evaluation of </w:t>
      </w:r>
      <w:r>
        <w:rPr>
          <w:rFonts w:hint="eastAsia" w:ascii="Calibri" w:hAnsi="Calibri" w:cs="Calibri"/>
          <w:b/>
          <w:color w:val="auto"/>
          <w:szCs w:val="21"/>
        </w:rPr>
        <w:t>MA</w:t>
      </w:r>
      <w:r>
        <w:rPr>
          <w:rFonts w:ascii="Calibri" w:hAnsi="Calibri" w:cs="Calibri"/>
          <w:b/>
          <w:color w:val="auto"/>
          <w:szCs w:val="21"/>
        </w:rPr>
        <w:t xml:space="preserve"> </w:t>
      </w:r>
      <w:r>
        <w:rPr>
          <w:rFonts w:hint="eastAsia" w:ascii="Calibri" w:hAnsi="Calibri" w:cs="Calibri"/>
          <w:b/>
          <w:color w:val="auto"/>
          <w:szCs w:val="21"/>
        </w:rPr>
        <w:t>NPs and p-MA NPs</w:t>
      </w:r>
      <w:r>
        <w:rPr>
          <w:rFonts w:ascii="Times New Roman" w:hAnsi="Times New Roman" w:cs="Times New Roman"/>
          <w:b/>
          <w:bCs/>
          <w:color w:val="auto"/>
        </w:rPr>
        <w:t xml:space="preserve"> </w:t>
      </w:r>
    </w:p>
    <w:p w14:paraId="38DB2217">
      <w:pPr>
        <w:rPr>
          <w:rFonts w:ascii="Times New Roman" w:hAnsi="Times New Roman" w:cs="Times New Roman"/>
          <w:color w:val="auto"/>
        </w:rPr>
      </w:pPr>
      <w:r>
        <w:rPr>
          <w:rFonts w:ascii="Times New Roman" w:hAnsi="Times New Roman" w:cs="Times New Roman"/>
          <w:color w:val="auto"/>
        </w:rPr>
        <w:t xml:space="preserve">ELISA and </w:t>
      </w:r>
      <w:r>
        <w:rPr>
          <w:rFonts w:hint="eastAsia" w:ascii="Times New Roman" w:hAnsi="Times New Roman" w:cs="Times New Roman"/>
          <w:color w:val="auto"/>
        </w:rPr>
        <w:t>transepithelial electrical resistance (TEER)</w:t>
      </w:r>
      <w:r>
        <w:rPr>
          <w:rFonts w:ascii="Times New Roman" w:hAnsi="Times New Roman" w:cs="Times New Roman"/>
          <w:color w:val="auto"/>
        </w:rPr>
        <w:t xml:space="preserve"> assays were employed to evaluate the </w:t>
      </w:r>
      <w:r>
        <w:rPr>
          <w:rFonts w:hint="eastAsia" w:ascii="Times New Roman" w:hAnsi="Times New Roman" w:cs="Times New Roman"/>
          <w:color w:val="auto"/>
        </w:rPr>
        <w:t xml:space="preserve">biological </w:t>
      </w:r>
      <w:r>
        <w:rPr>
          <w:rFonts w:ascii="Times New Roman" w:hAnsi="Times New Roman" w:cs="Times New Roman"/>
          <w:color w:val="auto"/>
        </w:rPr>
        <w:t>equivalence of p-MA NPs and MA NPs regarding their anti-inflammatory effects and protection of cellular barrier integrity.</w:t>
      </w:r>
    </w:p>
    <w:p w14:paraId="49B7AE23">
      <w:pPr>
        <w:rPr>
          <w:rFonts w:ascii="Calibri" w:hAnsi="Calibri" w:cs="Calibri"/>
          <w:b/>
          <w:color w:val="auto"/>
          <w:szCs w:val="21"/>
        </w:rPr>
      </w:pPr>
      <w:r>
        <w:rPr>
          <w:rFonts w:hint="eastAsia" w:ascii="Calibri" w:hAnsi="Calibri" w:cs="Calibri"/>
          <w:b/>
          <w:color w:val="auto"/>
          <w:szCs w:val="21"/>
        </w:rPr>
        <w:t>8</w:t>
      </w:r>
      <w:r>
        <w:rPr>
          <w:rFonts w:ascii="Calibri" w:hAnsi="Calibri" w:cs="Calibri"/>
          <w:b/>
          <w:color w:val="auto"/>
          <w:szCs w:val="21"/>
        </w:rPr>
        <w:t>.1 ELISA assays</w:t>
      </w:r>
    </w:p>
    <w:p w14:paraId="26A05021">
      <w:pPr>
        <w:rPr>
          <w:rFonts w:ascii="Times New Roman" w:hAnsi="Times New Roman" w:cs="Times New Roman"/>
          <w:color w:val="auto"/>
        </w:rPr>
      </w:pPr>
      <w:r>
        <w:rPr>
          <w:rFonts w:ascii="Times New Roman" w:hAnsi="Times New Roman" w:cs="Times New Roman"/>
          <w:color w:val="auto"/>
        </w:rPr>
        <w:t>MLE-12 cells were evenly seeded in a 96-well plate and divided into four groups</w:t>
      </w:r>
      <w:r>
        <w:rPr>
          <w:rFonts w:hint="eastAsia" w:ascii="Times New Roman" w:hAnsi="Times New Roman" w:cs="Times New Roman"/>
          <w:color w:val="auto"/>
        </w:rPr>
        <w:t>:</w:t>
      </w:r>
      <w:r>
        <w:rPr>
          <w:rFonts w:ascii="Times New Roman" w:hAnsi="Times New Roman" w:cs="Times New Roman"/>
          <w:color w:val="auto"/>
        </w:rPr>
        <w:t xml:space="preserve"> Con, Mod, MA NPs </w:t>
      </w:r>
      <w:r>
        <w:rPr>
          <w:rFonts w:hint="eastAsia" w:ascii="Times New Roman" w:hAnsi="Times New Roman" w:cs="Times New Roman"/>
          <w:color w:val="auto"/>
        </w:rPr>
        <w:t>(</w:t>
      </w:r>
      <w:r>
        <w:rPr>
          <w:rFonts w:ascii="Times New Roman" w:hAnsi="Times New Roman" w:cs="Times New Roman"/>
          <w:color w:val="auto"/>
        </w:rPr>
        <w:t>10 μM</w:t>
      </w:r>
      <w:r>
        <w:rPr>
          <w:rFonts w:hint="eastAsia" w:ascii="Times New Roman" w:hAnsi="Times New Roman" w:cs="Times New Roman"/>
          <w:color w:val="auto"/>
        </w:rPr>
        <w:t>)</w:t>
      </w:r>
      <w:r>
        <w:rPr>
          <w:rFonts w:ascii="Times New Roman" w:hAnsi="Times New Roman" w:cs="Times New Roman"/>
          <w:color w:val="auto"/>
        </w:rPr>
        <w:t xml:space="preserve">, and p-MA NPs </w:t>
      </w:r>
      <w:r>
        <w:rPr>
          <w:rFonts w:hint="eastAsia" w:ascii="Times New Roman" w:hAnsi="Times New Roman" w:cs="Times New Roman"/>
          <w:color w:val="auto"/>
        </w:rPr>
        <w:t>(</w:t>
      </w:r>
      <w:r>
        <w:rPr>
          <w:rFonts w:ascii="Times New Roman" w:hAnsi="Times New Roman" w:cs="Times New Roman"/>
          <w:color w:val="auto"/>
        </w:rPr>
        <w:t>10 μM</w:t>
      </w:r>
      <w:r>
        <w:rPr>
          <w:rFonts w:hint="eastAsia" w:ascii="Times New Roman" w:hAnsi="Times New Roman" w:cs="Times New Roman"/>
          <w:color w:val="auto"/>
        </w:rPr>
        <w:t>).</w:t>
      </w:r>
      <w:r>
        <w:rPr>
          <w:rFonts w:ascii="Times New Roman" w:hAnsi="Times New Roman" w:cs="Times New Roman"/>
          <w:color w:val="auto"/>
        </w:rPr>
        <w:t xml:space="preserve"> The cells received a 6-hour drug pretreatment followed by LPS stimulation. Subsequently, cell culture supernatants were collected and centrifuged. The levels of TNF-α, IL-6, and IL-1β were quantified using ELISA kits according to the manufacturer's instructions.</w:t>
      </w:r>
      <w:r>
        <w:rPr>
          <w:rFonts w:hint="eastAsia" w:ascii="Times New Roman" w:hAnsi="Times New Roman" w:cs="Times New Roman"/>
          <w:color w:val="auto"/>
        </w:rPr>
        <w:t xml:space="preserve"> As shown in Figs. S8A-C, there was no statistically significant difference between p-MA NPs and MA NPs on levels of </w:t>
      </w:r>
      <w:r>
        <w:rPr>
          <w:rFonts w:ascii="Times New Roman" w:hAnsi="Times New Roman" w:cs="Times New Roman"/>
          <w:color w:val="auto"/>
        </w:rPr>
        <w:t>TNF-α, IL-1β, and IL-6, in</w:t>
      </w:r>
      <w:r>
        <w:rPr>
          <w:rFonts w:hint="eastAsia" w:ascii="Times New Roman" w:hAnsi="Times New Roman" w:cs="Times New Roman"/>
          <w:color w:val="auto"/>
        </w:rPr>
        <w:t>dicating that they show bioequivalence in anti-inflammatory effects.</w:t>
      </w:r>
    </w:p>
    <w:p w14:paraId="6F2ECC8A">
      <w:pPr>
        <w:rPr>
          <w:rFonts w:ascii="Calibri" w:hAnsi="Calibri" w:cs="Calibri"/>
          <w:b/>
          <w:color w:val="auto"/>
          <w:szCs w:val="21"/>
        </w:rPr>
      </w:pPr>
      <w:r>
        <w:rPr>
          <w:rFonts w:hint="eastAsia" w:ascii="Calibri" w:hAnsi="Calibri" w:cs="Calibri"/>
          <w:b/>
          <w:color w:val="auto"/>
          <w:szCs w:val="21"/>
        </w:rPr>
        <w:t xml:space="preserve">8.2 </w:t>
      </w:r>
      <w:r>
        <w:rPr>
          <w:rFonts w:ascii="Calibri" w:hAnsi="Calibri" w:cs="Calibri"/>
          <w:b/>
          <w:color w:val="auto"/>
          <w:szCs w:val="21"/>
        </w:rPr>
        <w:t>TEER assays</w:t>
      </w:r>
    </w:p>
    <w:p w14:paraId="7169C011">
      <w:pPr>
        <w:rPr>
          <w:rFonts w:ascii="Times New Roman" w:hAnsi="Times New Roman" w:cs="Times New Roman"/>
          <w:color w:val="auto"/>
        </w:rPr>
      </w:pPr>
      <w:r>
        <w:rPr>
          <w:rFonts w:hint="eastAsia" w:ascii="Times New Roman" w:hAnsi="Times New Roman" w:cs="Times New Roman"/>
          <w:color w:val="auto"/>
        </w:rPr>
        <w:t xml:space="preserve">To assess cell barrier integrity, transwell inserts were measured using a Millicell ERS-2 Volt-Ohmmeter (Millipore, MA, USA). MLE-12 cells were seeded on collagen-coated 0.4 </w:t>
      </w:r>
      <w:r>
        <w:rPr>
          <w:rFonts w:ascii="Times New Roman" w:hAnsi="Times New Roman" w:cs="Times New Roman"/>
          <w:color w:val="auto"/>
        </w:rPr>
        <w:t>μ</w:t>
      </w:r>
      <w:r>
        <w:rPr>
          <w:rFonts w:hint="eastAsia" w:ascii="Times New Roman" w:hAnsi="Times New Roman" w:cs="Times New Roman"/>
          <w:color w:val="auto"/>
        </w:rPr>
        <w:t xml:space="preserve">m pore filters in 24-well plates and cultured for 5-7 days to form a confluent monolayer. TEER stabilized over 2 days, confirming barrier formation. </w:t>
      </w:r>
      <w:r>
        <w:rPr>
          <w:rFonts w:ascii="Times New Roman" w:hAnsi="Times New Roman" w:cs="Times New Roman"/>
          <w:color w:val="auto"/>
        </w:rPr>
        <w:t>The modeling and administration methods were the same as</w:t>
      </w:r>
      <w:r>
        <w:rPr>
          <w:rFonts w:hint="eastAsia" w:ascii="Times New Roman" w:hAnsi="Times New Roman" w:cs="Times New Roman"/>
          <w:color w:val="auto"/>
        </w:rPr>
        <w:t xml:space="preserve"> described in the "Trans-epithelial electrical resistance (TEER) measurement" subsection of the Materials and methods in the main text. During treatment, 1.4 mL of drug-containing medium was added to the basolateral chamber and 600 </w:t>
      </w:r>
      <w:r>
        <w:rPr>
          <w:rFonts w:ascii="Times New Roman" w:hAnsi="Times New Roman" w:cs="Times New Roman"/>
          <w:color w:val="auto"/>
        </w:rPr>
        <w:t>μ</w:t>
      </w:r>
      <w:r>
        <w:rPr>
          <w:rFonts w:hint="eastAsia" w:ascii="Times New Roman" w:hAnsi="Times New Roman" w:cs="Times New Roman"/>
          <w:color w:val="auto"/>
        </w:rPr>
        <w:t>L to the luminal chamber. Then the TEER was measured at various time points. As shown in Figs. S8D and E, p-MA NPs have no statistically significant difference in protective effects on the cellular barrier compared to MA NPs, indicating that they are biologically equivalent in protecting barrier integrity.</w:t>
      </w:r>
    </w:p>
    <w:p w14:paraId="00FA48C9">
      <w:pPr>
        <w:ind w:firstLine="210" w:firstLineChars="100"/>
        <w:rPr>
          <w:rFonts w:ascii="Times New Roman" w:hAnsi="Times New Roman" w:cs="Times New Roman"/>
          <w:b/>
          <w:bCs/>
          <w:color w:val="auto"/>
        </w:rPr>
      </w:pPr>
      <w:r>
        <w:rPr>
          <w:rFonts w:ascii="Times New Roman" w:hAnsi="Times New Roman" w:cs="Times New Roman"/>
          <w:color w:val="auto"/>
        </w:rPr>
        <w:drawing>
          <wp:anchor distT="0" distB="0" distL="114300" distR="114300" simplePos="0" relativeHeight="251662336" behindDoc="0" locked="0" layoutInCell="1" allowOverlap="1">
            <wp:simplePos x="0" y="0"/>
            <wp:positionH relativeFrom="column">
              <wp:posOffset>133350</wp:posOffset>
            </wp:positionH>
            <wp:positionV relativeFrom="paragraph">
              <wp:posOffset>412750</wp:posOffset>
            </wp:positionV>
            <wp:extent cx="4972050" cy="3016250"/>
            <wp:effectExtent l="0" t="0" r="0" b="0"/>
            <wp:wrapTopAndBottom/>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3"/>
                    <a:stretch>
                      <a:fillRect/>
                    </a:stretch>
                  </pic:blipFill>
                  <pic:spPr>
                    <a:xfrm>
                      <a:off x="0" y="0"/>
                      <a:ext cx="4972050" cy="3016250"/>
                    </a:xfrm>
                    <a:prstGeom prst="rect">
                      <a:avLst/>
                    </a:prstGeom>
                  </pic:spPr>
                </pic:pic>
              </a:graphicData>
            </a:graphic>
          </wp:anchor>
        </w:drawing>
      </w:r>
      <w:r>
        <w:rPr>
          <w:rFonts w:hint="eastAsia" w:ascii="Times New Roman" w:hAnsi="Times New Roman" w:cs="Times New Roman"/>
          <w:color w:val="auto"/>
        </w:rPr>
        <w:t>In summary, p-MA NPs can be used in the subsequent mechanistic investigations as a substitute for MA NPs.</w:t>
      </w:r>
    </w:p>
    <w:p w14:paraId="1CC6FD32">
      <w:pPr>
        <w:widowControl/>
        <w:jc w:val="left"/>
        <w:rPr>
          <w:rFonts w:ascii="Times New Roman" w:hAnsi="Times New Roman" w:cs="Times New Roman"/>
          <w:b/>
          <w:bCs/>
          <w:color w:val="auto"/>
          <w:szCs w:val="21"/>
        </w:rPr>
      </w:pPr>
      <w:r>
        <w:rPr>
          <w:rFonts w:ascii="Times New Roman" w:hAnsi="Times New Roman" w:cs="Times New Roman"/>
          <w:b/>
          <w:bCs/>
          <w:color w:val="auto"/>
        </w:rPr>
        <w:t>Fig. S</w:t>
      </w:r>
      <w:r>
        <w:rPr>
          <w:rFonts w:hint="eastAsia" w:ascii="Times New Roman" w:hAnsi="Times New Roman" w:cs="Times New Roman"/>
          <w:b/>
          <w:bCs/>
          <w:color w:val="auto"/>
        </w:rPr>
        <w:t>8</w:t>
      </w:r>
      <w:r>
        <w:rPr>
          <w:rFonts w:hint="eastAsia" w:ascii="Times New Roman" w:hAnsi="Times New Roman" w:cs="Times New Roman"/>
          <w:color w:val="auto"/>
        </w:rPr>
        <w:t xml:space="preserve"> Efficacy evaluation of MA NPs and p-MA NPs. (A</w:t>
      </w:r>
      <w:r>
        <w:rPr>
          <w:rFonts w:ascii="Times New Roman" w:hAnsi="Times New Roman" w:cs="Times New Roman"/>
          <w:color w:val="auto"/>
        </w:rPr>
        <w:t>–</w:t>
      </w:r>
      <w:r>
        <w:rPr>
          <w:rFonts w:hint="eastAsia" w:ascii="Times New Roman" w:hAnsi="Times New Roman" w:cs="Times New Roman"/>
          <w:color w:val="auto"/>
        </w:rPr>
        <w:t>C) Levels of TNF-α, IL-1β, and IL-6 in cell culture supernatant measured by ELISA. (D) TEER in cell monolayers over time. (E) Normalized TEER values derived from the data in (D)</w:t>
      </w:r>
      <w:r>
        <w:rPr>
          <w:rFonts w:hint="eastAsia" w:ascii="Times New Roman" w:hAnsi="Times New Roman" w:cs="Times New Roman"/>
          <w:color w:val="auto"/>
          <w:szCs w:val="21"/>
        </w:rPr>
        <w:t xml:space="preserve">. </w:t>
      </w:r>
      <w:r>
        <w:rPr>
          <w:rFonts w:ascii="Times New Roman" w:hAnsi="Times New Roman" w:cs="Times New Roman"/>
          <w:color w:val="auto"/>
          <w:szCs w:val="21"/>
          <w:vertAlign w:val="superscript"/>
        </w:rPr>
        <w:t>###</w:t>
      </w:r>
      <w:r>
        <w:rPr>
          <w:rFonts w:ascii="Times New Roman" w:hAnsi="Times New Roman" w:cs="Times New Roman"/>
          <w:i/>
          <w:iCs/>
          <w:color w:val="auto"/>
          <w:szCs w:val="21"/>
        </w:rPr>
        <w:t>p</w:t>
      </w:r>
      <w:r>
        <w:rPr>
          <w:rFonts w:ascii="Times New Roman" w:hAnsi="Times New Roman" w:cs="Times New Roman"/>
          <w:color w:val="auto"/>
          <w:szCs w:val="21"/>
        </w:rPr>
        <w:t xml:space="preserve">&lt; 0.001 </w:t>
      </w:r>
      <w:r>
        <w:rPr>
          <w:rFonts w:ascii="Times New Roman" w:hAnsi="Times New Roman" w:cs="Times New Roman"/>
          <w:i/>
          <w:iCs/>
          <w:color w:val="auto"/>
          <w:szCs w:val="21"/>
        </w:rPr>
        <w:t>vs</w:t>
      </w:r>
      <w:r>
        <w:rPr>
          <w:rFonts w:ascii="Times New Roman" w:hAnsi="Times New Roman" w:cs="Times New Roman"/>
          <w:color w:val="auto"/>
          <w:szCs w:val="21"/>
        </w:rPr>
        <w:t>. Con group</w:t>
      </w:r>
      <w:r>
        <w:rPr>
          <w:rFonts w:hint="eastAsia" w:ascii="Times New Roman" w:hAnsi="Times New Roman" w:cs="Times New Roman"/>
          <w:color w:val="auto"/>
          <w:szCs w:val="21"/>
        </w:rPr>
        <w:t>;</w:t>
      </w:r>
      <w:r>
        <w:rPr>
          <w:rFonts w:ascii="Times New Roman" w:hAnsi="Times New Roman" w:cs="Times New Roman"/>
          <w:color w:val="auto"/>
          <w:szCs w:val="21"/>
        </w:rPr>
        <w:t xml:space="preserve"> </w:t>
      </w:r>
      <w:r>
        <w:rPr>
          <w:rFonts w:ascii="Times New Roman" w:hAnsi="Times New Roman" w:cs="Times New Roman"/>
          <w:color w:val="auto"/>
          <w:szCs w:val="21"/>
          <w:vertAlign w:val="superscript"/>
        </w:rPr>
        <w:t>***</w:t>
      </w:r>
      <w:r>
        <w:rPr>
          <w:rFonts w:ascii="Times New Roman" w:hAnsi="Times New Roman" w:cs="Times New Roman"/>
          <w:i/>
          <w:iCs/>
          <w:color w:val="auto"/>
          <w:szCs w:val="21"/>
        </w:rPr>
        <w:t>p</w:t>
      </w:r>
      <w:r>
        <w:rPr>
          <w:rFonts w:ascii="Times New Roman" w:hAnsi="Times New Roman" w:cs="Times New Roman"/>
          <w:color w:val="auto"/>
          <w:szCs w:val="21"/>
        </w:rPr>
        <w:t xml:space="preserve">&lt; 0.001 </w:t>
      </w:r>
      <w:r>
        <w:rPr>
          <w:rFonts w:ascii="Times New Roman" w:hAnsi="Times New Roman" w:cs="Times New Roman"/>
          <w:i/>
          <w:iCs/>
          <w:color w:val="auto"/>
          <w:szCs w:val="21"/>
        </w:rPr>
        <w:t>vs</w:t>
      </w:r>
      <w:r>
        <w:rPr>
          <w:rFonts w:ascii="Times New Roman" w:hAnsi="Times New Roman" w:cs="Times New Roman"/>
          <w:color w:val="auto"/>
          <w:szCs w:val="21"/>
        </w:rPr>
        <w:t>. Mod group</w:t>
      </w:r>
      <w:r>
        <w:rPr>
          <w:rFonts w:hint="eastAsia" w:ascii="Times New Roman" w:hAnsi="Times New Roman" w:cs="Times New Roman"/>
          <w:color w:val="auto"/>
          <w:szCs w:val="21"/>
        </w:rPr>
        <w:t>; n</w:t>
      </w:r>
      <w:r>
        <w:rPr>
          <w:rFonts w:ascii="Times New Roman" w:hAnsi="Times New Roman" w:cs="Times New Roman"/>
          <w:color w:val="auto"/>
          <w:szCs w:val="21"/>
        </w:rPr>
        <w:t>s, not significant</w:t>
      </w:r>
      <w:r>
        <w:rPr>
          <w:rFonts w:hint="eastAsia" w:ascii="Times New Roman" w:hAnsi="Times New Roman" w:cs="Times New Roman"/>
          <w:color w:val="auto"/>
          <w:szCs w:val="21"/>
        </w:rPr>
        <w:t xml:space="preserve"> (</w:t>
      </w:r>
      <w:r>
        <w:rPr>
          <w:rFonts w:hint="eastAsia" w:ascii="Times New Roman" w:hAnsi="Times New Roman" w:cs="Times New Roman"/>
          <w:i/>
          <w:iCs/>
          <w:color w:val="auto"/>
          <w:szCs w:val="21"/>
        </w:rPr>
        <w:t>n</w:t>
      </w:r>
      <w:r>
        <w:rPr>
          <w:rFonts w:hint="eastAsia" w:ascii="Times New Roman" w:hAnsi="Times New Roman" w:cs="Times New Roman"/>
          <w:color w:val="auto"/>
          <w:szCs w:val="21"/>
        </w:rPr>
        <w:t>=6).</w:t>
      </w:r>
    </w:p>
    <w:p w14:paraId="18EC2728">
      <w:pPr>
        <w:widowControl/>
        <w:jc w:val="left"/>
        <w:rPr>
          <w:rFonts w:ascii="Times New Roman" w:hAnsi="Times New Roman" w:cs="Times New Roman"/>
          <w:b/>
          <w:bCs/>
          <w:color w:val="auto"/>
          <w:szCs w:val="21"/>
        </w:rPr>
      </w:pPr>
    </w:p>
    <w:p w14:paraId="36A6ED28">
      <w:pPr>
        <w:rPr>
          <w:rFonts w:ascii="Calibri" w:hAnsi="Calibri" w:cs="Calibri"/>
          <w:b/>
          <w:color w:val="auto"/>
          <w:szCs w:val="21"/>
        </w:rPr>
      </w:pPr>
      <w:r>
        <w:rPr>
          <w:rFonts w:hint="eastAsia" w:ascii="Calibri" w:hAnsi="Calibri" w:cs="Calibri"/>
          <w:b/>
          <w:color w:val="auto"/>
          <w:szCs w:val="21"/>
        </w:rPr>
        <w:t>9. Localization and statistics of p-MA NPs</w:t>
      </w:r>
    </w:p>
    <w:p w14:paraId="3CE4DB87">
      <w:pPr>
        <w:widowControl/>
        <w:rPr>
          <w:rFonts w:ascii="Times New Roman" w:hAnsi="Times New Roman" w:cs="Times New Roman"/>
          <w:color w:val="auto"/>
        </w:rPr>
      </w:pPr>
      <w:r>
        <w:rPr>
          <w:rFonts w:ascii="Times New Roman" w:hAnsi="Times New Roman" w:cs="Times New Roman"/>
          <w:color w:val="auto"/>
        </w:rPr>
        <w:t xml:space="preserve">To assess nanoparticle biodistribution </w:t>
      </w:r>
      <w:r>
        <w:rPr>
          <w:rFonts w:ascii="Times New Roman" w:hAnsi="Times New Roman" w:cs="Times New Roman"/>
          <w:i/>
          <w:iCs/>
          <w:color w:val="auto"/>
        </w:rPr>
        <w:t>in vivo</w:t>
      </w:r>
      <w:r>
        <w:rPr>
          <w:rFonts w:ascii="Times New Roman" w:hAnsi="Times New Roman" w:cs="Times New Roman"/>
          <w:color w:val="auto"/>
        </w:rPr>
        <w:t xml:space="preserve">, mice received MA NPs, p-MA NPs, Al-Mag, or Ve-ATI (10 mg/kg, i.p.) three times at 8-hour intervals. Two hours after the final dose, the tissues were collected and processed for detecting MA-probe, Al-Mag, or Ve-ATI </w:t>
      </w:r>
      <w:r>
        <w:rPr>
          <w:rFonts w:ascii="Times New Roman" w:hAnsi="Times New Roman" w:cs="Times New Roman"/>
          <w:i/>
          <w:iCs/>
          <w:color w:val="auto"/>
        </w:rPr>
        <w:t>via</w:t>
      </w:r>
      <w:r>
        <w:rPr>
          <w:rFonts w:ascii="Times New Roman" w:hAnsi="Times New Roman" w:cs="Times New Roman"/>
          <w:color w:val="auto"/>
        </w:rPr>
        <w:t xml:space="preserve"> click chemistry. </w:t>
      </w:r>
      <w:r>
        <w:rPr>
          <w:rFonts w:hint="eastAsia" w:ascii="Times New Roman" w:hAnsi="Times New Roman" w:cs="Times New Roman"/>
          <w:color w:val="auto"/>
        </w:rPr>
        <w:t xml:space="preserve">As shown in </w:t>
      </w:r>
      <w:r>
        <w:rPr>
          <w:rFonts w:ascii="Times New Roman" w:hAnsi="Times New Roman" w:cs="Times New Roman"/>
          <w:color w:val="auto"/>
        </w:rPr>
        <w:t>Fig. S</w:t>
      </w:r>
      <w:r>
        <w:rPr>
          <w:rFonts w:hint="eastAsia" w:ascii="Times New Roman" w:hAnsi="Times New Roman" w:cs="Times New Roman"/>
          <w:color w:val="auto"/>
        </w:rPr>
        <w:t>9A, compared with the MA NPs control group, the significant fluorescence aggregation was confirmed in the lungs (</w:t>
      </w:r>
      <w:r>
        <w:rPr>
          <w:rFonts w:ascii="Times New Roman" w:hAnsi="Times New Roman" w:cs="Times New Roman"/>
          <w:color w:val="auto"/>
        </w:rPr>
        <w:t>merged</w:t>
      </w:r>
      <w:r>
        <w:rPr>
          <w:rFonts w:hint="eastAsia" w:ascii="Times New Roman" w:hAnsi="Times New Roman" w:cs="Times New Roman"/>
          <w:color w:val="auto"/>
        </w:rPr>
        <w:t xml:space="preserve"> yellow), both pseudo-red (Al-Mag/BDP) and pseudo-green </w:t>
      </w:r>
      <w:r>
        <w:rPr>
          <w:rFonts w:ascii="Times New Roman" w:hAnsi="Times New Roman" w:cs="Times New Roman"/>
          <w:color w:val="auto"/>
        </w:rPr>
        <w:t>(</w:t>
      </w:r>
      <w:r>
        <w:rPr>
          <w:rFonts w:hint="eastAsia" w:ascii="Times New Roman" w:hAnsi="Times New Roman" w:cs="Times New Roman"/>
          <w:color w:val="auto"/>
        </w:rPr>
        <w:t>Ve-ATI/AMPD</w:t>
      </w:r>
      <w:r>
        <w:rPr>
          <w:rFonts w:ascii="Times New Roman" w:hAnsi="Times New Roman" w:cs="Times New Roman"/>
          <w:color w:val="auto"/>
        </w:rPr>
        <w:t>)</w:t>
      </w:r>
      <w:r>
        <w:rPr>
          <w:rFonts w:hint="eastAsia" w:ascii="Times New Roman" w:hAnsi="Times New Roman" w:cs="Times New Roman"/>
          <w:color w:val="auto"/>
        </w:rPr>
        <w:t xml:space="preserve"> </w:t>
      </w:r>
      <w:r>
        <w:rPr>
          <w:rFonts w:ascii="Times New Roman" w:hAnsi="Times New Roman" w:cs="Times New Roman"/>
          <w:color w:val="auto"/>
        </w:rPr>
        <w:t>demonstrated</w:t>
      </w:r>
      <w:r>
        <w:rPr>
          <w:rFonts w:hint="eastAsia" w:ascii="Times New Roman" w:hAnsi="Times New Roman" w:cs="Times New Roman"/>
          <w:color w:val="auto"/>
        </w:rPr>
        <w:t xml:space="preserve"> the same result. </w:t>
      </w:r>
      <w:r>
        <w:rPr>
          <w:rFonts w:ascii="Times New Roman" w:hAnsi="Times New Roman" w:cs="Times New Roman"/>
          <w:color w:val="auto"/>
        </w:rPr>
        <w:t>For precise localization of MA NPs in the lung, sections were co-stained with antibodies against E-cadherin (alveolar epithelial cell marker) or α-SMA (smooth muscle cell marker) before the click reaction.</w:t>
      </w:r>
      <w:r>
        <w:rPr>
          <w:rFonts w:hint="eastAsia" w:ascii="Times New Roman" w:hAnsi="Times New Roman" w:cs="Times New Roman"/>
          <w:color w:val="auto"/>
        </w:rPr>
        <w:t xml:space="preserve"> </w:t>
      </w:r>
      <w:r>
        <w:rPr>
          <w:rFonts w:ascii="Times New Roman" w:hAnsi="Times New Roman" w:cs="Times New Roman"/>
          <w:color w:val="auto"/>
        </w:rPr>
        <w:t xml:space="preserve">The fluorescence values of the organs from the p-MA NPs group were divided by the corresponding fluorescence values from the MA NPs group to obtain normalized fluorescence intensity </w:t>
      </w:r>
      <w:bookmarkStart w:id="2" w:name="OLE_LINK19"/>
      <w:r>
        <w:rPr>
          <w:rFonts w:ascii="Times New Roman" w:hAnsi="Times New Roman" w:cs="Times New Roman"/>
          <w:color w:val="auto"/>
        </w:rPr>
        <w:t>(Fig. S</w:t>
      </w:r>
      <w:r>
        <w:rPr>
          <w:rFonts w:hint="eastAsia" w:ascii="Times New Roman" w:hAnsi="Times New Roman" w:cs="Times New Roman"/>
          <w:color w:val="auto"/>
        </w:rPr>
        <w:t>9</w:t>
      </w:r>
      <w:r>
        <w:rPr>
          <w:rFonts w:ascii="Times New Roman" w:hAnsi="Times New Roman" w:cs="Times New Roman"/>
          <w:color w:val="auto"/>
        </w:rPr>
        <w:t>B)</w:t>
      </w:r>
      <w:bookmarkEnd w:id="2"/>
      <w:r>
        <w:rPr>
          <w:rFonts w:ascii="Times New Roman" w:hAnsi="Times New Roman" w:cs="Times New Roman"/>
          <w:color w:val="auto"/>
        </w:rPr>
        <w:t xml:space="preserve">. </w:t>
      </w:r>
      <w:r>
        <w:rPr>
          <w:rFonts w:hint="eastAsia" w:ascii="Times New Roman" w:hAnsi="Times New Roman" w:cs="Times New Roman"/>
          <w:color w:val="auto"/>
        </w:rPr>
        <w:t xml:space="preserve">To further explore which cells can take up the MA NPs in the lungs, immunofluorescence staining was carried out on mouse lung paraffin sections to detect various cell markers (Fig. 4F, G </w:t>
      </w:r>
      <w:r>
        <w:rPr>
          <w:rFonts w:ascii="Times New Roman" w:hAnsi="Times New Roman" w:cs="Times New Roman"/>
          <w:color w:val="auto"/>
        </w:rPr>
        <w:t>in the main text</w:t>
      </w:r>
      <w:r>
        <w:rPr>
          <w:rFonts w:hint="eastAsia" w:ascii="Times New Roman" w:hAnsi="Times New Roman" w:cs="Times New Roman"/>
          <w:color w:val="auto"/>
        </w:rPr>
        <w:t xml:space="preserve">). </w:t>
      </w:r>
      <w:r>
        <w:rPr>
          <w:rFonts w:ascii="Times New Roman" w:hAnsi="Times New Roman" w:cs="Times New Roman"/>
          <w:color w:val="auto"/>
        </w:rPr>
        <w:t>According to the PCC values, compared with the smooth muscle cell marker α-SMA, p-MA nanoparticles (Al-Mag and Ve-ATI) show a higher level of colocalization with the alveolar epithelial cell marker E-Cadherin (Fig</w:t>
      </w:r>
      <w:r>
        <w:rPr>
          <w:rFonts w:hint="eastAsia" w:ascii="Times New Roman" w:hAnsi="Times New Roman" w:cs="Times New Roman"/>
          <w:color w:val="auto"/>
        </w:rPr>
        <w:t>.</w:t>
      </w:r>
      <w:r>
        <w:rPr>
          <w:rFonts w:ascii="Times New Roman" w:hAnsi="Times New Roman" w:cs="Times New Roman"/>
          <w:color w:val="auto"/>
        </w:rPr>
        <w:t xml:space="preserve"> S</w:t>
      </w:r>
      <w:r>
        <w:rPr>
          <w:rFonts w:hint="eastAsia" w:ascii="Times New Roman" w:hAnsi="Times New Roman" w:cs="Times New Roman"/>
          <w:color w:val="auto"/>
        </w:rPr>
        <w:t>9</w:t>
      </w:r>
      <w:r>
        <w:rPr>
          <w:rFonts w:ascii="Times New Roman" w:hAnsi="Times New Roman" w:cs="Times New Roman"/>
          <w:color w:val="auto"/>
        </w:rPr>
        <w:t>C).</w:t>
      </w:r>
      <w:r>
        <w:rPr>
          <w:rFonts w:hint="eastAsia" w:ascii="Times New Roman" w:hAnsi="Times New Roman" w:cs="Times New Roman"/>
          <w:color w:val="auto"/>
        </w:rPr>
        <w:t xml:space="preserve"> Fig. S9D shows the localization of p-MA NPs, Ve-ATI, and Al-Mag in mouse lung sections, with their corresponding parent drugs used as controls.</w:t>
      </w:r>
      <w:r>
        <w:rPr>
          <w:rFonts w:hint="eastAsia"/>
          <w:color w:val="auto"/>
        </w:rPr>
        <w:t xml:space="preserve"> </w:t>
      </w:r>
      <w:r>
        <w:rPr>
          <w:rFonts w:hint="eastAsia" w:ascii="Times New Roman" w:hAnsi="Times New Roman" w:cs="Times New Roman"/>
          <w:color w:val="auto"/>
        </w:rPr>
        <w:t xml:space="preserve">The results indicate that compared to administering Al-Mag or Ve-ATI alone, more Al-Mag and Ve-ATI targets the lungs when formulated into </w:t>
      </w:r>
      <w:r>
        <w:rPr>
          <w:rFonts w:ascii="Times New Roman" w:hAnsi="Times New Roman" w:cs="Times New Roman"/>
          <w:color w:val="auto"/>
        </w:rPr>
        <w:t>MA NPs</w:t>
      </w:r>
      <w:r>
        <w:rPr>
          <w:rFonts w:hint="eastAsia" w:ascii="Times New Roman" w:hAnsi="Times New Roman" w:cs="Times New Roman"/>
          <w:color w:val="auto"/>
        </w:rPr>
        <w:t xml:space="preserve"> </w:t>
      </w:r>
      <w:r>
        <w:rPr>
          <w:rFonts w:ascii="Times New Roman" w:hAnsi="Times New Roman" w:cs="Times New Roman"/>
          <w:color w:val="auto"/>
        </w:rPr>
        <w:t>(Fig</w:t>
      </w:r>
      <w:r>
        <w:rPr>
          <w:rFonts w:hint="eastAsia" w:ascii="Times New Roman" w:hAnsi="Times New Roman" w:cs="Times New Roman"/>
          <w:color w:val="auto"/>
        </w:rPr>
        <w:t>.</w:t>
      </w:r>
      <w:r>
        <w:rPr>
          <w:rFonts w:ascii="Times New Roman" w:hAnsi="Times New Roman" w:cs="Times New Roman"/>
          <w:color w:val="auto"/>
        </w:rPr>
        <w:t xml:space="preserve"> S</w:t>
      </w:r>
      <w:r>
        <w:rPr>
          <w:rFonts w:hint="eastAsia" w:ascii="Times New Roman" w:hAnsi="Times New Roman" w:cs="Times New Roman"/>
          <w:color w:val="auto"/>
        </w:rPr>
        <w:t>9E</w:t>
      </w:r>
      <w:r>
        <w:rPr>
          <w:rFonts w:ascii="Times New Roman" w:hAnsi="Times New Roman" w:cs="Times New Roman"/>
          <w:color w:val="auto"/>
        </w:rPr>
        <w:t>)</w:t>
      </w:r>
      <w:r>
        <w:rPr>
          <w:rFonts w:hint="eastAsia" w:ascii="Times New Roman" w:hAnsi="Times New Roman" w:cs="Times New Roman"/>
          <w:color w:val="auto"/>
        </w:rPr>
        <w:t>.</w:t>
      </w:r>
    </w:p>
    <w:p w14:paraId="32C6B0D9">
      <w:pPr>
        <w:widowControl/>
        <w:jc w:val="left"/>
        <w:rPr>
          <w:rFonts w:ascii="Times New Roman" w:hAnsi="Times New Roman" w:cs="Times New Roman"/>
          <w:color w:val="auto"/>
        </w:rPr>
      </w:pPr>
      <w:r>
        <w:rPr>
          <w:rFonts w:ascii="Times New Roman" w:hAnsi="Times New Roman" w:cs="Times New Roman"/>
          <w:color w:val="auto"/>
        </w:rPr>
        <w:drawing>
          <wp:inline distT="0" distB="0" distL="0" distR="0">
            <wp:extent cx="5064760" cy="5143500"/>
            <wp:effectExtent l="0" t="0" r="254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noChangeArrowheads="1"/>
                    </pic:cNvPicPr>
                  </pic:nvPicPr>
                  <pic:blipFill>
                    <a:blip r:embed="rId14" cstate="print">
                      <a:extLst>
                        <a:ext uri="{28A0092B-C50C-407E-A947-70E740481C1C}">
                          <a14:useLocalDpi xmlns:a14="http://schemas.microsoft.com/office/drawing/2010/main" val="0"/>
                        </a:ext>
                      </a:extLst>
                    </a:blip>
                    <a:srcRect b="42784"/>
                    <a:stretch>
                      <a:fillRect/>
                    </a:stretch>
                  </pic:blipFill>
                  <pic:spPr>
                    <a:xfrm>
                      <a:off x="0" y="0"/>
                      <a:ext cx="5064760" cy="5143500"/>
                    </a:xfrm>
                    <a:prstGeom prst="rect">
                      <a:avLst/>
                    </a:prstGeom>
                    <a:noFill/>
                    <a:ln>
                      <a:noFill/>
                    </a:ln>
                  </pic:spPr>
                </pic:pic>
              </a:graphicData>
            </a:graphic>
          </wp:inline>
        </w:drawing>
      </w:r>
    </w:p>
    <w:p w14:paraId="0B7B3067">
      <w:pPr>
        <w:widowControl/>
        <w:jc w:val="left"/>
        <w:rPr>
          <w:rFonts w:ascii="Times New Roman" w:hAnsi="Times New Roman" w:cs="Times New Roman"/>
          <w:color w:val="auto"/>
        </w:rPr>
      </w:pPr>
      <w:r>
        <w:rPr>
          <w:rFonts w:ascii="Times New Roman" w:hAnsi="Times New Roman" w:cs="Times New Roman"/>
          <w:b/>
          <w:bCs/>
          <w:color w:val="auto"/>
        </w:rPr>
        <w:t>Fig. S</w:t>
      </w:r>
      <w:r>
        <w:rPr>
          <w:rFonts w:hint="eastAsia" w:ascii="Times New Roman" w:hAnsi="Times New Roman" w:cs="Times New Roman"/>
          <w:b/>
          <w:bCs/>
          <w:color w:val="auto"/>
        </w:rPr>
        <w:t xml:space="preserve">9 </w:t>
      </w:r>
      <w:r>
        <w:rPr>
          <w:rFonts w:ascii="Times New Roman" w:hAnsi="Times New Roman" w:cs="Times New Roman"/>
          <w:color w:val="auto"/>
        </w:rPr>
        <w:t xml:space="preserve">Localization and statistics of p-MA NPs. (A) </w:t>
      </w:r>
      <w:r>
        <w:rPr>
          <w:rFonts w:hint="eastAsia" w:ascii="Times New Roman" w:hAnsi="Times New Roman" w:cs="Times New Roman"/>
          <w:color w:val="auto"/>
        </w:rPr>
        <w:t xml:space="preserve">Results of click reaction in tissue sections of various organs of mice in p-MA NPs group and MA NPs group. (B) </w:t>
      </w:r>
      <w:r>
        <w:rPr>
          <w:rFonts w:ascii="Times New Roman" w:hAnsi="Times New Roman" w:cs="Times New Roman"/>
          <w:color w:val="auto"/>
        </w:rPr>
        <w:t xml:space="preserve">Fluorescence intensity statistics of </w:t>
      </w:r>
      <w:r>
        <w:rPr>
          <w:rFonts w:hint="eastAsia" w:ascii="Times New Roman" w:hAnsi="Times New Roman" w:cs="Times New Roman"/>
          <w:color w:val="auto"/>
        </w:rPr>
        <w:t>(</w:t>
      </w:r>
      <w:r>
        <w:rPr>
          <w:rFonts w:ascii="Times New Roman" w:hAnsi="Times New Roman" w:cs="Times New Roman"/>
          <w:color w:val="auto"/>
        </w:rPr>
        <w:t>A</w:t>
      </w:r>
      <w:r>
        <w:rPr>
          <w:rFonts w:hint="eastAsia" w:ascii="Times New Roman" w:hAnsi="Times New Roman" w:cs="Times New Roman"/>
          <w:color w:val="auto"/>
        </w:rPr>
        <w:t>). (C) PCC statistics of p-MA NPs w</w:t>
      </w:r>
      <w:r>
        <w:rPr>
          <w:rFonts w:ascii="Times New Roman" w:hAnsi="Times New Roman" w:cs="Times New Roman"/>
          <w:color w:val="auto"/>
        </w:rPr>
        <w:t>ith α-SMA and E-</w:t>
      </w:r>
      <w:r>
        <w:rPr>
          <w:rFonts w:hint="eastAsia" w:ascii="Times New Roman" w:hAnsi="Times New Roman" w:cs="Times New Roman"/>
          <w:color w:val="auto"/>
        </w:rPr>
        <w:t xml:space="preserve">Cadherin in lung tissues. (D) Results of click reaction in lung sections of mice treated with p-MA NPs, Ve-ATI, Al-Mag, or their corresponding parent drugs (MA NPs, ATI, Mag) as controls. (E) </w:t>
      </w:r>
      <w:r>
        <w:rPr>
          <w:rFonts w:ascii="Times New Roman" w:hAnsi="Times New Roman" w:cs="Times New Roman"/>
          <w:color w:val="auto"/>
        </w:rPr>
        <w:t xml:space="preserve">Fluorescence intensity statistics of </w:t>
      </w:r>
      <w:r>
        <w:rPr>
          <w:rFonts w:hint="eastAsia" w:ascii="Times New Roman" w:hAnsi="Times New Roman" w:cs="Times New Roman"/>
          <w:color w:val="auto"/>
        </w:rPr>
        <w:t xml:space="preserve">(D). </w:t>
      </w:r>
      <w:r>
        <w:rPr>
          <w:rFonts w:hint="eastAsia" w:ascii="Times New Roman" w:hAnsi="Times New Roman" w:cs="Times New Roman"/>
          <w:color w:val="auto"/>
          <w:vertAlign w:val="superscript"/>
        </w:rPr>
        <w:t>***</w:t>
      </w:r>
      <w:r>
        <w:rPr>
          <w:rFonts w:hint="eastAsia" w:ascii="Times New Roman" w:hAnsi="Times New Roman" w:cs="Times New Roman"/>
          <w:i/>
          <w:iCs/>
          <w:color w:val="auto"/>
        </w:rPr>
        <w:t xml:space="preserve">p </w:t>
      </w:r>
      <w:r>
        <w:rPr>
          <w:rFonts w:hint="eastAsia" w:ascii="Times New Roman" w:hAnsi="Times New Roman" w:cs="Times New Roman"/>
          <w:color w:val="auto"/>
        </w:rPr>
        <w:t xml:space="preserve">&lt; 0.001, </w:t>
      </w:r>
      <w:r>
        <w:rPr>
          <w:rFonts w:hint="eastAsia" w:ascii="Times New Roman" w:hAnsi="Times New Roman" w:cs="Times New Roman"/>
          <w:color w:val="auto"/>
          <w:vertAlign w:val="superscript"/>
        </w:rPr>
        <w:t>*</w:t>
      </w:r>
      <w:r>
        <w:rPr>
          <w:rFonts w:hint="eastAsia" w:ascii="Times New Roman" w:hAnsi="Times New Roman" w:cs="Times New Roman"/>
          <w:i/>
          <w:iCs/>
          <w:color w:val="auto"/>
        </w:rPr>
        <w:t xml:space="preserve">p </w:t>
      </w:r>
      <w:r>
        <w:rPr>
          <w:rFonts w:hint="eastAsia" w:ascii="Times New Roman" w:hAnsi="Times New Roman" w:cs="Times New Roman"/>
          <w:color w:val="auto"/>
        </w:rPr>
        <w:t>&lt; 0.05</w:t>
      </w:r>
      <w:r>
        <w:rPr>
          <w:rFonts w:hint="eastAsia"/>
          <w:color w:val="auto"/>
        </w:rPr>
        <w:t>,</w:t>
      </w:r>
      <w:r>
        <w:rPr>
          <w:rFonts w:hint="eastAsia" w:ascii="Times New Roman" w:hAnsi="Times New Roman" w:cs="Times New Roman"/>
          <w:color w:val="auto"/>
        </w:rPr>
        <w:t xml:space="preserve"> n</w:t>
      </w:r>
      <w:r>
        <w:rPr>
          <w:rFonts w:ascii="Times New Roman" w:hAnsi="Times New Roman" w:cs="Times New Roman"/>
          <w:color w:val="auto"/>
          <w:sz w:val="24"/>
          <w:szCs w:val="24"/>
        </w:rPr>
        <w:t xml:space="preserve">s, </w:t>
      </w:r>
      <w:r>
        <w:rPr>
          <w:rFonts w:ascii="Times New Roman" w:hAnsi="Times New Roman" w:cs="Times New Roman"/>
          <w:color w:val="auto"/>
        </w:rPr>
        <w:t>not significant</w:t>
      </w:r>
      <w:r>
        <w:rPr>
          <w:rFonts w:hint="eastAsia" w:ascii="Times New Roman" w:hAnsi="Times New Roman" w:cs="Times New Roman"/>
          <w:color w:val="auto"/>
        </w:rPr>
        <w:t xml:space="preserve"> (</w:t>
      </w:r>
      <w:r>
        <w:rPr>
          <w:rFonts w:hint="eastAsia" w:ascii="Times New Roman" w:hAnsi="Times New Roman" w:cs="Times New Roman"/>
          <w:i/>
          <w:iCs/>
          <w:color w:val="auto"/>
        </w:rPr>
        <w:t>n</w:t>
      </w:r>
      <w:r>
        <w:rPr>
          <w:rFonts w:hint="eastAsia" w:ascii="Times New Roman" w:hAnsi="Times New Roman" w:cs="Times New Roman"/>
          <w:color w:val="auto"/>
        </w:rPr>
        <w:t>=3).</w:t>
      </w:r>
      <w:r>
        <w:rPr>
          <w:rFonts w:ascii="Times New Roman" w:hAnsi="Times New Roman" w:cs="Times New Roman"/>
          <w:color w:val="auto"/>
        </w:rPr>
        <w:br w:type="textWrapping"/>
      </w:r>
    </w:p>
    <w:p w14:paraId="0FFCA268">
      <w:pPr>
        <w:rPr>
          <w:rFonts w:ascii="Calibri" w:hAnsi="Calibri" w:cs="Calibri"/>
          <w:b/>
          <w:color w:val="auto"/>
          <w:szCs w:val="21"/>
        </w:rPr>
      </w:pPr>
      <w:r>
        <w:rPr>
          <w:rFonts w:hint="eastAsia" w:ascii="Calibri" w:hAnsi="Calibri" w:cs="Calibri"/>
          <w:b/>
          <w:color w:val="auto"/>
          <w:szCs w:val="21"/>
        </w:rPr>
        <w:t>10. MA NPs improve RVD function in MLE-12 cells</w:t>
      </w:r>
    </w:p>
    <w:p w14:paraId="69EF3217">
      <w:pPr>
        <w:adjustRightInd w:val="0"/>
        <w:contextualSpacing/>
        <w:rPr>
          <w:rFonts w:ascii="Times New Roman" w:hAnsi="Times New Roman" w:cs="Times New Roman"/>
          <w:color w:val="auto"/>
          <w:szCs w:val="21"/>
        </w:rPr>
      </w:pPr>
      <w:r>
        <w:rPr>
          <w:rFonts w:hint="eastAsia" w:ascii="Times New Roman" w:hAnsi="Times New Roman" w:cs="Times New Roman"/>
          <w:color w:val="auto"/>
          <w:szCs w:val="21"/>
        </w:rPr>
        <w:t xml:space="preserve">AQP5 is expressed in alveolar epithelial cells, where it participates in pulmonary water clearance, and its dysfunction is critically involved in the pathogenesis of pulmonary edema [10]. Functionally, AQP5 deficiency leads to impaired regulatory volume decrease (RVD) in response to hypotonic stress, as demonstrated in lung epithelial cells where knockdown of AQP5 significantly reduces cell volume recovery capacity [11]. </w:t>
      </w:r>
      <w:r>
        <w:rPr>
          <w:rFonts w:ascii="Times New Roman" w:hAnsi="Times New Roman" w:cs="Times New Roman"/>
          <w:color w:val="auto"/>
          <w:szCs w:val="21"/>
        </w:rPr>
        <w:t>Since RVD reflects the activity of aquaporins [</w:t>
      </w:r>
      <w:r>
        <w:rPr>
          <w:rFonts w:hint="eastAsia" w:ascii="Times New Roman" w:hAnsi="Times New Roman" w:cs="Times New Roman"/>
          <w:color w:val="auto"/>
          <w:szCs w:val="21"/>
        </w:rPr>
        <w:t>12</w:t>
      </w:r>
      <w:r>
        <w:rPr>
          <w:rFonts w:ascii="Times New Roman" w:hAnsi="Times New Roman" w:cs="Times New Roman"/>
          <w:color w:val="auto"/>
          <w:szCs w:val="21"/>
        </w:rPr>
        <w:t>,</w:t>
      </w:r>
      <w:r>
        <w:rPr>
          <w:rFonts w:hint="eastAsia" w:ascii="Times New Roman" w:hAnsi="Times New Roman" w:cs="Times New Roman"/>
          <w:color w:val="auto"/>
          <w:szCs w:val="21"/>
        </w:rPr>
        <w:t>13</w:t>
      </w:r>
      <w:r>
        <w:rPr>
          <w:rFonts w:ascii="Times New Roman" w:hAnsi="Times New Roman" w:cs="Times New Roman"/>
          <w:color w:val="auto"/>
          <w:szCs w:val="21"/>
        </w:rPr>
        <w:t>], we employed hypotonic stimulation (240 mOsm) to evaluate AQP5 activity following LPS challenge and MA NPs treatment by measuring the cell volume recovery rate (% recovery) and water permeability (Pf).</w:t>
      </w:r>
      <w:r>
        <w:rPr>
          <w:rFonts w:hint="eastAsia" w:ascii="Times New Roman" w:hAnsi="Times New Roman" w:cs="Times New Roman"/>
          <w:color w:val="auto"/>
          <w:szCs w:val="21"/>
        </w:rPr>
        <w:t xml:space="preserve"> Calcein-AM is a volume-sensitive dye. </w:t>
      </w:r>
      <w:r>
        <w:rPr>
          <w:rFonts w:ascii="Times New Roman" w:hAnsi="Times New Roman" w:cs="Times New Roman"/>
          <w:color w:val="auto"/>
          <w:szCs w:val="21"/>
        </w:rPr>
        <w:t>Time-lapse images were captured using a live-cell imaging system (Thunder), and hypotonic solution was added at the 15th second of recording.</w:t>
      </w:r>
      <w:r>
        <w:rPr>
          <w:rFonts w:hint="eastAsia" w:ascii="Times New Roman" w:hAnsi="Times New Roman" w:cs="Times New Roman"/>
          <w:color w:val="auto"/>
          <w:szCs w:val="21"/>
        </w:rPr>
        <w:t xml:space="preserve"> The results showed that LPS treatment severely impaired RVD; under hypotonic conditions, cells swelled and could not recover their normal volume, whereas MA NPs treatment effectively preserved RVD function (Fig. S10).</w:t>
      </w:r>
    </w:p>
    <w:p w14:paraId="1861930B">
      <w:pPr>
        <w:adjustRightInd w:val="0"/>
        <w:contextualSpacing/>
        <w:rPr>
          <w:rFonts w:ascii="Times New Roman" w:hAnsi="Times New Roman" w:cs="Times New Roman"/>
          <w:color w:val="auto"/>
          <w:szCs w:val="21"/>
        </w:rPr>
      </w:pPr>
      <w:r>
        <w:rPr>
          <w:rFonts w:ascii="Times New Roman" w:hAnsi="Times New Roman" w:cs="Times New Roman"/>
          <w:color w:val="auto"/>
          <w:szCs w:val="21"/>
        </w:rPr>
        <w:drawing>
          <wp:inline distT="0" distB="0" distL="0" distR="0">
            <wp:extent cx="2360930" cy="373380"/>
            <wp:effectExtent l="0" t="0" r="0" b="762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a:xfrm>
                      <a:off x="0" y="0"/>
                      <a:ext cx="2393451" cy="378868"/>
                    </a:xfrm>
                    <a:prstGeom prst="rect">
                      <a:avLst/>
                    </a:prstGeom>
                    <a:noFill/>
                  </pic:spPr>
                </pic:pic>
              </a:graphicData>
            </a:graphic>
          </wp:inline>
        </w:drawing>
      </w:r>
      <w:r>
        <w:rPr>
          <w:rFonts w:ascii="Times New Roman" w:hAnsi="Times New Roman" w:cs="Times New Roman"/>
          <w:color w:val="auto"/>
          <w:szCs w:val="21"/>
        </w:rPr>
        <w:drawing>
          <wp:inline distT="0" distB="0" distL="0" distR="0">
            <wp:extent cx="1089660" cy="358775"/>
            <wp:effectExtent l="0" t="0" r="0" b="3175"/>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a:xfrm>
                      <a:off x="0" y="0"/>
                      <a:ext cx="1099359" cy="362509"/>
                    </a:xfrm>
                    <a:prstGeom prst="rect">
                      <a:avLst/>
                    </a:prstGeom>
                    <a:noFill/>
                  </pic:spPr>
                </pic:pic>
              </a:graphicData>
            </a:graphic>
          </wp:inline>
        </w:drawing>
      </w:r>
    </w:p>
    <w:p w14:paraId="7252DC0B">
      <w:pPr>
        <w:adjustRightInd w:val="0"/>
        <w:contextualSpacing/>
        <w:jc w:val="center"/>
        <w:rPr>
          <w:rFonts w:ascii="Times New Roman" w:hAnsi="Times New Roman" w:cs="Times New Roman"/>
          <w:color w:val="auto"/>
          <w:szCs w:val="21"/>
        </w:rPr>
      </w:pPr>
      <w:r>
        <w:rPr>
          <w:rFonts w:ascii="Times New Roman" w:hAnsi="Times New Roman" w:cs="Times New Roman"/>
          <w:color w:val="auto"/>
          <w:szCs w:val="21"/>
        </w:rPr>
        <w:drawing>
          <wp:inline distT="0" distB="0" distL="0" distR="0">
            <wp:extent cx="5309870" cy="1511935"/>
            <wp:effectExtent l="0" t="0" r="0"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a:xfrm>
                      <a:off x="0" y="0"/>
                      <a:ext cx="5310000" cy="1512436"/>
                    </a:xfrm>
                    <a:prstGeom prst="rect">
                      <a:avLst/>
                    </a:prstGeom>
                    <a:noFill/>
                  </pic:spPr>
                </pic:pic>
              </a:graphicData>
            </a:graphic>
          </wp:inline>
        </w:drawing>
      </w:r>
    </w:p>
    <w:p w14:paraId="6FD08409">
      <w:pPr>
        <w:adjustRightInd w:val="0"/>
        <w:contextualSpacing/>
        <w:rPr>
          <w:rFonts w:ascii="Times New Roman" w:hAnsi="Times New Roman" w:cs="Times New Roman"/>
          <w:color w:val="auto"/>
          <w:szCs w:val="21"/>
        </w:rPr>
      </w:pPr>
      <w:r>
        <w:rPr>
          <w:rFonts w:hint="eastAsia" w:ascii="Times New Roman" w:hAnsi="Times New Roman" w:cs="Times New Roman"/>
          <w:color w:val="auto"/>
        </w:rPr>
        <w:t xml:space="preserve">Fig. S10 </w:t>
      </w:r>
      <w:r>
        <w:rPr>
          <w:rFonts w:ascii="Times New Roman" w:hAnsi="Times New Roman" w:cs="Times New Roman"/>
          <w:color w:val="auto"/>
        </w:rPr>
        <w:t>Maintenance of RVD in LPS-treated MLE-12 cells by MA NPs.</w:t>
      </w:r>
      <w:r>
        <w:rPr>
          <w:rFonts w:ascii="Times New Roman" w:hAnsi="Times New Roman" w:cs="Times New Roman"/>
          <w:color w:val="auto"/>
          <w:szCs w:val="21"/>
        </w:rPr>
        <w:t xml:space="preserve"> (A) Time course of cell volume changes. (B) Cell volume recovery rate (%). (C) Osmotic water permeability (Pf) at </w:t>
      </w:r>
      <w:r>
        <w:rPr>
          <w:rFonts w:hint="eastAsia" w:ascii="Times New Roman" w:hAnsi="Times New Roman" w:cs="Times New Roman"/>
          <w:color w:val="auto"/>
          <w:szCs w:val="21"/>
        </w:rPr>
        <w:t>15s</w:t>
      </w:r>
      <w:r>
        <w:rPr>
          <w:rFonts w:ascii="Times New Roman" w:hAnsi="Times New Roman" w:cs="Times New Roman"/>
          <w:color w:val="auto"/>
          <w:szCs w:val="21"/>
        </w:rPr>
        <w:t xml:space="preserve">. </w:t>
      </w:r>
      <w:r>
        <w:rPr>
          <w:rFonts w:ascii="Times New Roman" w:hAnsi="Times New Roman" w:cs="Times New Roman"/>
          <w:color w:val="auto"/>
          <w:szCs w:val="21"/>
          <w:vertAlign w:val="superscript"/>
        </w:rPr>
        <w:t>###</w:t>
      </w:r>
      <w:r>
        <w:rPr>
          <w:rFonts w:ascii="Times New Roman" w:hAnsi="Times New Roman" w:cs="Times New Roman"/>
          <w:i/>
          <w:iCs/>
          <w:color w:val="auto"/>
          <w:szCs w:val="21"/>
        </w:rPr>
        <w:t>p</w:t>
      </w:r>
      <w:r>
        <w:rPr>
          <w:rFonts w:hint="eastAsia" w:ascii="Times New Roman" w:hAnsi="Times New Roman" w:cs="Times New Roman"/>
          <w:i/>
          <w:iCs/>
          <w:color w:val="auto"/>
          <w:szCs w:val="21"/>
        </w:rPr>
        <w:t xml:space="preserve"> </w:t>
      </w:r>
      <w:r>
        <w:rPr>
          <w:rFonts w:ascii="Times New Roman" w:hAnsi="Times New Roman" w:cs="Times New Roman"/>
          <w:color w:val="auto"/>
          <w:szCs w:val="21"/>
        </w:rPr>
        <w:t xml:space="preserve">&lt; 0.001 </w:t>
      </w:r>
      <w:r>
        <w:rPr>
          <w:rFonts w:ascii="Times New Roman" w:hAnsi="Times New Roman" w:cs="Times New Roman"/>
          <w:i/>
          <w:iCs/>
          <w:color w:val="auto"/>
          <w:szCs w:val="21"/>
        </w:rPr>
        <w:t>vs</w:t>
      </w:r>
      <w:r>
        <w:rPr>
          <w:rFonts w:ascii="Times New Roman" w:hAnsi="Times New Roman" w:cs="Times New Roman"/>
          <w:color w:val="auto"/>
          <w:szCs w:val="21"/>
        </w:rPr>
        <w:t xml:space="preserve">. Con group; </w:t>
      </w:r>
      <w:r>
        <w:rPr>
          <w:rFonts w:ascii="Times New Roman" w:hAnsi="Times New Roman" w:cs="Times New Roman"/>
          <w:color w:val="auto"/>
          <w:szCs w:val="21"/>
          <w:vertAlign w:val="superscript"/>
        </w:rPr>
        <w:t>***</w:t>
      </w:r>
      <w:r>
        <w:rPr>
          <w:rFonts w:ascii="Times New Roman" w:hAnsi="Times New Roman" w:cs="Times New Roman"/>
          <w:i/>
          <w:iCs/>
          <w:color w:val="auto"/>
          <w:szCs w:val="21"/>
        </w:rPr>
        <w:t>p</w:t>
      </w:r>
      <w:r>
        <w:rPr>
          <w:rFonts w:hint="eastAsia" w:ascii="Times New Roman" w:hAnsi="Times New Roman" w:cs="Times New Roman"/>
          <w:i/>
          <w:iCs/>
          <w:color w:val="auto"/>
          <w:szCs w:val="21"/>
        </w:rPr>
        <w:t xml:space="preserve"> </w:t>
      </w:r>
      <w:r>
        <w:rPr>
          <w:rFonts w:ascii="Times New Roman" w:hAnsi="Times New Roman" w:cs="Times New Roman"/>
          <w:color w:val="auto"/>
          <w:szCs w:val="21"/>
        </w:rPr>
        <w:t xml:space="preserve">&lt; 0.001, </w:t>
      </w:r>
      <w:r>
        <w:rPr>
          <w:rFonts w:ascii="Times New Roman" w:hAnsi="Times New Roman" w:cs="Times New Roman"/>
          <w:color w:val="auto"/>
          <w:szCs w:val="21"/>
          <w:vertAlign w:val="superscript"/>
        </w:rPr>
        <w:t>**</w:t>
      </w:r>
      <w:r>
        <w:rPr>
          <w:rFonts w:ascii="Times New Roman" w:hAnsi="Times New Roman" w:cs="Times New Roman"/>
          <w:i/>
          <w:iCs/>
          <w:color w:val="auto"/>
          <w:szCs w:val="21"/>
        </w:rPr>
        <w:t>p</w:t>
      </w:r>
      <w:r>
        <w:rPr>
          <w:rFonts w:hint="eastAsia" w:ascii="Times New Roman" w:hAnsi="Times New Roman" w:cs="Times New Roman"/>
          <w:i/>
          <w:iCs/>
          <w:color w:val="auto"/>
          <w:szCs w:val="21"/>
        </w:rPr>
        <w:t xml:space="preserve"> </w:t>
      </w:r>
      <w:r>
        <w:rPr>
          <w:rFonts w:ascii="Times New Roman" w:hAnsi="Times New Roman" w:cs="Times New Roman"/>
          <w:color w:val="auto"/>
          <w:szCs w:val="21"/>
        </w:rPr>
        <w:t xml:space="preserve">&lt; 0.01, </w:t>
      </w:r>
      <w:r>
        <w:rPr>
          <w:rFonts w:ascii="Times New Roman" w:hAnsi="Times New Roman" w:cs="Times New Roman"/>
          <w:color w:val="auto"/>
          <w:szCs w:val="21"/>
          <w:vertAlign w:val="superscript"/>
        </w:rPr>
        <w:t>*</w:t>
      </w:r>
      <w:r>
        <w:rPr>
          <w:rFonts w:ascii="Times New Roman" w:hAnsi="Times New Roman" w:cs="Times New Roman"/>
          <w:i/>
          <w:iCs/>
          <w:color w:val="auto"/>
          <w:szCs w:val="21"/>
        </w:rPr>
        <w:t>p</w:t>
      </w:r>
      <w:r>
        <w:rPr>
          <w:rFonts w:hint="eastAsia" w:ascii="Times New Roman" w:hAnsi="Times New Roman" w:cs="Times New Roman"/>
          <w:i/>
          <w:iCs/>
          <w:color w:val="auto"/>
          <w:szCs w:val="21"/>
        </w:rPr>
        <w:t xml:space="preserve"> </w:t>
      </w:r>
      <w:r>
        <w:rPr>
          <w:rFonts w:ascii="Times New Roman" w:hAnsi="Times New Roman" w:cs="Times New Roman"/>
          <w:color w:val="auto"/>
          <w:szCs w:val="21"/>
        </w:rPr>
        <w:t xml:space="preserve">&lt; 0.05 </w:t>
      </w:r>
      <w:r>
        <w:rPr>
          <w:rFonts w:ascii="Times New Roman" w:hAnsi="Times New Roman" w:cs="Times New Roman"/>
          <w:i/>
          <w:iCs/>
          <w:color w:val="auto"/>
          <w:szCs w:val="21"/>
        </w:rPr>
        <w:t>vs</w:t>
      </w:r>
      <w:r>
        <w:rPr>
          <w:rFonts w:ascii="Times New Roman" w:hAnsi="Times New Roman" w:cs="Times New Roman"/>
          <w:color w:val="auto"/>
          <w:szCs w:val="21"/>
        </w:rPr>
        <w:t>. Mod group (</w:t>
      </w:r>
      <w:r>
        <w:rPr>
          <w:rFonts w:ascii="Times New Roman" w:hAnsi="Times New Roman" w:cs="Times New Roman"/>
          <w:i/>
          <w:iCs/>
          <w:color w:val="auto"/>
          <w:szCs w:val="21"/>
        </w:rPr>
        <w:t>n</w:t>
      </w:r>
      <w:r>
        <w:rPr>
          <w:rFonts w:ascii="Times New Roman" w:hAnsi="Times New Roman" w:cs="Times New Roman"/>
          <w:color w:val="auto"/>
          <w:szCs w:val="21"/>
        </w:rPr>
        <w:t>=3).</w:t>
      </w:r>
    </w:p>
    <w:p w14:paraId="2D6638CB">
      <w:pPr>
        <w:widowControl/>
        <w:jc w:val="left"/>
        <w:rPr>
          <w:rFonts w:ascii="Times New Roman" w:hAnsi="Times New Roman" w:cs="Times New Roman"/>
          <w:color w:val="auto"/>
        </w:rPr>
      </w:pPr>
    </w:p>
    <w:p w14:paraId="459D9066">
      <w:pPr>
        <w:rPr>
          <w:rFonts w:ascii="Calibri" w:hAnsi="Calibri" w:cs="Calibri"/>
          <w:b/>
          <w:color w:val="auto"/>
          <w:szCs w:val="21"/>
        </w:rPr>
      </w:pPr>
      <w:r>
        <w:rPr>
          <w:rFonts w:hint="eastAsia" w:ascii="Calibri" w:hAnsi="Calibri" w:cs="Calibri"/>
          <w:b/>
          <w:color w:val="auto"/>
          <w:szCs w:val="21"/>
        </w:rPr>
        <w:t xml:space="preserve">11. </w:t>
      </w:r>
      <w:r>
        <w:rPr>
          <w:rFonts w:hint="eastAsia" w:ascii="Calibri" w:hAnsi="Calibri" w:cs="Calibri"/>
          <w:b/>
          <w:i/>
          <w:iCs/>
          <w:color w:val="auto"/>
          <w:szCs w:val="21"/>
        </w:rPr>
        <w:t>In vivo</w:t>
      </w:r>
      <w:r>
        <w:rPr>
          <w:rFonts w:hint="eastAsia" w:ascii="Calibri" w:hAnsi="Calibri" w:cs="Calibri"/>
          <w:b/>
          <w:color w:val="auto"/>
          <w:szCs w:val="21"/>
        </w:rPr>
        <w:t xml:space="preserve"> safety study of MA NPs</w:t>
      </w:r>
    </w:p>
    <w:p w14:paraId="48B96BED">
      <w:pPr>
        <w:rPr>
          <w:rFonts w:ascii="Times New Roman" w:hAnsi="Times New Roman" w:cs="Times New Roman"/>
          <w:b/>
          <w:bCs/>
          <w:color w:val="auto"/>
        </w:rPr>
      </w:pPr>
      <w:r>
        <w:rPr>
          <w:rFonts w:hint="eastAsia" w:ascii="Times New Roman" w:hAnsi="Times New Roman" w:cs="Times New Roman"/>
          <w:color w:val="auto"/>
        </w:rPr>
        <w:t>To evaluate the biosafety of MA NPs, mice were randomly divided into three groups: a control group, a low-dose MA NPs group (3.3 mg/kg), and a high-dose MA NPs group (10 mg/kg). To assess acute toxicity under intensive dosing, mice received intraperitoneal administration twice within 24 hours, with the second dose given 8 hours after the first. The control group was administered an equal volume of saline on the same schedule. All mice were sacrificed 24 hours after the initial administration, and major organs and serum were collected for analysis. Organs were embedded in paraffin, sectioned, and stained with H&amp;E.</w:t>
      </w:r>
    </w:p>
    <w:p w14:paraId="0C6E38E5">
      <w:pPr>
        <w:ind w:firstLine="210" w:firstLineChars="100"/>
        <w:rPr>
          <w:rFonts w:ascii="Times New Roman" w:hAnsi="Times New Roman" w:cs="Times New Roman"/>
          <w:color w:val="auto"/>
        </w:rPr>
      </w:pPr>
      <w:r>
        <w:rPr>
          <w:rFonts w:hint="eastAsia" w:ascii="Times New Roman" w:hAnsi="Times New Roman" w:cs="Times New Roman"/>
          <w:color w:val="auto"/>
        </w:rPr>
        <w:t>As shown in Fig. S11A, no significant histopathological differences were observed between the nanoparticle-treated groups and the control group, indicating no overt organ toxicity induced by MA NPs. Serum levels of creatinine (CRE), blood urea nitrogen (BUN), aspartate aminotransferase (AST), and alanine aminotransferase (ALT) were measured using biochemical assay kits. The results demonstrated that MA NPs did not cause significant liver or kidney toxicity (Fig. S11B).</w:t>
      </w:r>
      <w:r>
        <w:rPr>
          <w:rFonts w:ascii="Times New Roman" w:hAnsi="Times New Roman" w:cs="Times New Roman"/>
          <w:color w:val="auto"/>
        </w:rPr>
        <w:t xml:space="preserve"> </w:t>
      </w:r>
    </w:p>
    <w:p w14:paraId="7B895BD7">
      <w:pPr>
        <w:rPr>
          <w:rFonts w:ascii="Times New Roman" w:hAnsi="Times New Roman" w:cs="Times New Roman"/>
          <w:b/>
          <w:bCs/>
          <w:color w:val="auto"/>
        </w:rPr>
      </w:pPr>
    </w:p>
    <w:p w14:paraId="5F953F37">
      <w:pPr>
        <w:rPr>
          <w:rFonts w:ascii="Times New Roman" w:hAnsi="Times New Roman" w:cs="Times New Roman"/>
          <w:b/>
          <w:bCs/>
          <w:color w:val="auto"/>
        </w:rPr>
      </w:pPr>
      <w:r>
        <w:rPr>
          <w:rFonts w:ascii="Times New Roman" w:hAnsi="Times New Roman" w:cs="Times New Roman"/>
          <w:color w:val="auto"/>
        </w:rPr>
        <w:drawing>
          <wp:anchor distT="0" distB="0" distL="114300" distR="114300" simplePos="0" relativeHeight="251659264" behindDoc="0" locked="0" layoutInCell="1" allowOverlap="1">
            <wp:simplePos x="0" y="0"/>
            <wp:positionH relativeFrom="margin">
              <wp:align>right</wp:align>
            </wp:positionH>
            <wp:positionV relativeFrom="paragraph">
              <wp:posOffset>156845</wp:posOffset>
            </wp:positionV>
            <wp:extent cx="5274310" cy="3969385"/>
            <wp:effectExtent l="0" t="0" r="2540" b="0"/>
            <wp:wrapTopAndBottom/>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18"/>
                    <a:stretch>
                      <a:fillRect/>
                    </a:stretch>
                  </pic:blipFill>
                  <pic:spPr>
                    <a:xfrm>
                      <a:off x="0" y="0"/>
                      <a:ext cx="5274310" cy="3969385"/>
                    </a:xfrm>
                    <a:prstGeom prst="rect">
                      <a:avLst/>
                    </a:prstGeom>
                  </pic:spPr>
                </pic:pic>
              </a:graphicData>
            </a:graphic>
          </wp:anchor>
        </w:drawing>
      </w:r>
    </w:p>
    <w:p w14:paraId="7BA70169">
      <w:pPr>
        <w:rPr>
          <w:rFonts w:ascii="Times New Roman" w:hAnsi="Times New Roman" w:cs="Times New Roman"/>
          <w:color w:val="auto"/>
        </w:rPr>
      </w:pPr>
      <w:r>
        <w:rPr>
          <w:rFonts w:hint="eastAsia" w:ascii="Times New Roman" w:hAnsi="Times New Roman" w:cs="Times New Roman"/>
          <w:b/>
          <w:bCs/>
          <w:color w:val="auto"/>
          <w14:ligatures w14:val="standardContextual"/>
        </w:rPr>
        <w:t>Fig. S11</w:t>
      </w:r>
      <w:r>
        <w:rPr>
          <w:rFonts w:hint="eastAsia" w:ascii="Times New Roman" w:hAnsi="Times New Roman" w:cs="Times New Roman"/>
          <w:color w:val="auto"/>
          <w14:ligatures w14:val="standardContextual"/>
        </w:rPr>
        <w:t xml:space="preserve"> </w:t>
      </w:r>
      <w:r>
        <w:rPr>
          <w:rFonts w:hint="eastAsia" w:ascii="Times New Roman" w:hAnsi="Times New Roman" w:cs="Times New Roman"/>
          <w:i/>
          <w:iCs/>
          <w:color w:val="auto"/>
        </w:rPr>
        <w:t>In vivo</w:t>
      </w:r>
      <w:r>
        <w:rPr>
          <w:rFonts w:hint="eastAsia" w:ascii="Times New Roman" w:hAnsi="Times New Roman" w:cs="Times New Roman"/>
          <w:color w:val="auto"/>
        </w:rPr>
        <w:t xml:space="preserve"> safety study of MA NPs. (A) </w:t>
      </w:r>
      <w:bookmarkStart w:id="3" w:name="_Hlk228275853"/>
      <w:r>
        <w:rPr>
          <w:rFonts w:ascii="Times New Roman" w:hAnsi="Times New Roman" w:cs="Times New Roman"/>
          <w:color w:val="auto"/>
        </w:rPr>
        <w:t>H</w:t>
      </w:r>
      <w:r>
        <w:rPr>
          <w:rFonts w:hint="eastAsia" w:ascii="Times New Roman" w:hAnsi="Times New Roman" w:cs="Times New Roman"/>
          <w:color w:val="auto"/>
        </w:rPr>
        <w:t>&amp;</w:t>
      </w:r>
      <w:r>
        <w:rPr>
          <w:rFonts w:ascii="Times New Roman" w:hAnsi="Times New Roman" w:cs="Times New Roman"/>
          <w:color w:val="auto"/>
        </w:rPr>
        <w:t>E staining of major organs</w:t>
      </w:r>
      <w:r>
        <w:rPr>
          <w:rFonts w:hint="eastAsia" w:ascii="Times New Roman" w:hAnsi="Times New Roman" w:cs="Times New Roman"/>
          <w:color w:val="auto"/>
        </w:rPr>
        <w:t xml:space="preserve"> (200×).</w:t>
      </w:r>
      <w:bookmarkEnd w:id="3"/>
      <w:r>
        <w:rPr>
          <w:rFonts w:hint="eastAsia" w:ascii="Times New Roman" w:hAnsi="Times New Roman" w:cs="Times New Roman"/>
          <w:color w:val="auto"/>
        </w:rPr>
        <w:t xml:space="preserve"> (B) </w:t>
      </w:r>
      <w:r>
        <w:rPr>
          <w:rFonts w:ascii="Times New Roman" w:hAnsi="Times New Roman" w:cs="Times New Roman"/>
          <w:color w:val="auto"/>
        </w:rPr>
        <w:t>Detection of serum CRE, BUN, AST, and ALT levels</w:t>
      </w:r>
      <w:r>
        <w:rPr>
          <w:rFonts w:hint="eastAsia" w:ascii="Times New Roman" w:hAnsi="Times New Roman" w:cs="Times New Roman"/>
          <w:color w:val="auto"/>
        </w:rPr>
        <w:t>; n</w:t>
      </w:r>
      <w:r>
        <w:rPr>
          <w:rFonts w:ascii="Times New Roman" w:hAnsi="Times New Roman" w:cs="Times New Roman"/>
          <w:color w:val="auto"/>
        </w:rPr>
        <w:t>s, not significant</w:t>
      </w:r>
      <w:r>
        <w:rPr>
          <w:rFonts w:hint="eastAsia" w:ascii="Times New Roman" w:hAnsi="Times New Roman" w:cs="Times New Roman"/>
          <w:color w:val="auto"/>
        </w:rPr>
        <w:t xml:space="preserve"> (</w:t>
      </w:r>
      <w:r>
        <w:rPr>
          <w:rFonts w:hint="eastAsia" w:ascii="Times New Roman" w:hAnsi="Times New Roman" w:cs="Times New Roman"/>
          <w:i/>
          <w:iCs/>
          <w:color w:val="auto"/>
        </w:rPr>
        <w:t>n</w:t>
      </w:r>
      <w:r>
        <w:rPr>
          <w:rFonts w:hint="eastAsia" w:ascii="Times New Roman" w:hAnsi="Times New Roman" w:cs="Times New Roman"/>
          <w:color w:val="auto"/>
        </w:rPr>
        <w:t>=6).</w:t>
      </w:r>
    </w:p>
    <w:p w14:paraId="50EE1094">
      <w:pPr>
        <w:widowControl/>
        <w:jc w:val="center"/>
        <w:rPr>
          <w:rFonts w:ascii="Times New Roman" w:hAnsi="Times New Roman" w:cs="Times New Roman"/>
          <w:color w:val="auto"/>
          <w:sz w:val="24"/>
          <w:szCs w:val="24"/>
        </w:rPr>
      </w:pPr>
    </w:p>
    <w:p w14:paraId="57FEEC49">
      <w:pPr>
        <w:rPr>
          <w:rFonts w:ascii="Calibri" w:hAnsi="Calibri" w:cs="Calibri"/>
          <w:b/>
          <w:color w:val="auto"/>
          <w:szCs w:val="21"/>
        </w:rPr>
      </w:pPr>
      <w:r>
        <w:rPr>
          <w:rFonts w:hint="eastAsia" w:ascii="Calibri" w:hAnsi="Calibri" w:cs="Calibri"/>
          <w:b/>
          <w:color w:val="auto"/>
          <w:szCs w:val="21"/>
        </w:rPr>
        <w:t xml:space="preserve">12. </w:t>
      </w:r>
      <w:bookmarkStart w:id="4" w:name="_Hlk227915325"/>
      <w:r>
        <w:rPr>
          <w:rFonts w:ascii="Calibri" w:hAnsi="Calibri" w:cs="Calibri"/>
          <w:b/>
          <w:color w:val="auto"/>
          <w:szCs w:val="21"/>
        </w:rPr>
        <w:t xml:space="preserve">MA NPs alleviate </w:t>
      </w:r>
      <w:r>
        <w:rPr>
          <w:rFonts w:hint="eastAsia" w:ascii="Calibri" w:hAnsi="Calibri" w:cs="Calibri"/>
          <w:b/>
          <w:color w:val="auto"/>
          <w:szCs w:val="21"/>
        </w:rPr>
        <w:t xml:space="preserve">hydrochloric </w:t>
      </w:r>
      <w:r>
        <w:rPr>
          <w:rFonts w:ascii="Calibri" w:hAnsi="Calibri" w:cs="Calibri"/>
          <w:b/>
          <w:color w:val="auto"/>
          <w:szCs w:val="21"/>
        </w:rPr>
        <w:t>acid</w:t>
      </w:r>
      <w:r>
        <w:rPr>
          <w:rFonts w:hint="eastAsia" w:ascii="Calibri" w:hAnsi="Calibri" w:cs="Calibri"/>
          <w:b/>
          <w:color w:val="auto"/>
          <w:szCs w:val="21"/>
        </w:rPr>
        <w:t xml:space="preserve"> </w:t>
      </w:r>
      <w:r>
        <w:rPr>
          <w:rFonts w:ascii="Calibri" w:hAnsi="Calibri" w:cs="Calibri"/>
          <w:b/>
          <w:color w:val="auto"/>
          <w:szCs w:val="21"/>
        </w:rPr>
        <w:t>aspiration</w:t>
      </w:r>
      <w:r>
        <w:rPr>
          <w:rFonts w:hint="eastAsia" w:ascii="Calibri" w:hAnsi="Calibri" w:cs="Calibri"/>
          <w:b/>
          <w:color w:val="auto"/>
          <w:szCs w:val="21"/>
        </w:rPr>
        <w:t>-</w:t>
      </w:r>
      <w:r>
        <w:rPr>
          <w:rFonts w:ascii="Calibri" w:hAnsi="Calibri" w:cs="Calibri"/>
          <w:b/>
          <w:color w:val="auto"/>
          <w:szCs w:val="21"/>
        </w:rPr>
        <w:t>induced pulmonary inflammation in mice</w:t>
      </w:r>
      <w:bookmarkEnd w:id="4"/>
    </w:p>
    <w:p w14:paraId="69BB8349">
      <w:pPr>
        <w:widowControl/>
        <w:rPr>
          <w:rFonts w:ascii="Times New Roman" w:hAnsi="Times New Roman" w:cs="Times New Roman"/>
          <w:color w:val="auto"/>
          <w:szCs w:val="21"/>
        </w:rPr>
      </w:pPr>
      <w:r>
        <w:rPr>
          <w:rFonts w:ascii="Times New Roman" w:hAnsi="Times New Roman" w:cs="Times New Roman"/>
          <w:color w:val="auto"/>
          <w:szCs w:val="21"/>
        </w:rPr>
        <w:t xml:space="preserve">To further evaluate therapeutic efficacy, a </w:t>
      </w:r>
      <w:r>
        <w:rPr>
          <w:rFonts w:hint="eastAsia" w:ascii="Times New Roman" w:hAnsi="Times New Roman" w:cs="Times New Roman"/>
          <w:color w:val="auto"/>
          <w:szCs w:val="21"/>
        </w:rPr>
        <w:t>hydrochloric acid (HCl) aspiration-induced</w:t>
      </w:r>
      <w:r>
        <w:rPr>
          <w:rFonts w:ascii="Times New Roman" w:hAnsi="Times New Roman" w:cs="Times New Roman"/>
          <w:color w:val="auto"/>
          <w:szCs w:val="21"/>
        </w:rPr>
        <w:t xml:space="preserve"> lung injury model was established. Mice were randomly assigned to six groups: Con, Mod, Dex (30 mg/kg), MA NPs (40 mg/kg, 20 mg/kg, and 10 mg/kg). </w:t>
      </w:r>
      <w:r>
        <w:rPr>
          <w:rFonts w:hint="eastAsia" w:ascii="Times New Roman" w:hAnsi="Times New Roman" w:cs="Times New Roman"/>
          <w:color w:val="auto"/>
          <w:szCs w:val="21"/>
        </w:rPr>
        <w:t>Acute lung injury was induced by intratracheal instillation of HCl (0.1 M, 1.5 mL/kg), while the Con group received saline as a sham treatment. Drug administration, dose calculation, and the vehicle control of MA NPs were performed as described for the LPS model in main text.</w:t>
      </w:r>
      <w:r>
        <w:rPr>
          <w:rFonts w:ascii="Times New Roman" w:hAnsi="Times New Roman" w:cs="Times New Roman"/>
          <w:color w:val="auto"/>
          <w:szCs w:val="21"/>
        </w:rPr>
        <w:t xml:space="preserve"> For s</w:t>
      </w:r>
      <w:r>
        <w:rPr>
          <w:rFonts w:hint="eastAsia"/>
          <w:color w:val="auto"/>
        </w:rPr>
        <w:t xml:space="preserve"> </w:t>
      </w:r>
      <w:r>
        <w:rPr>
          <w:rFonts w:hint="eastAsia" w:ascii="Times New Roman" w:hAnsi="Times New Roman" w:cs="Times New Roman"/>
          <w:color w:val="auto"/>
          <w:szCs w:val="21"/>
        </w:rPr>
        <w:t>acute phase evaluation</w:t>
      </w:r>
      <w:r>
        <w:rPr>
          <w:rFonts w:ascii="Times New Roman" w:hAnsi="Times New Roman" w:cs="Times New Roman"/>
          <w:color w:val="auto"/>
          <w:szCs w:val="21"/>
        </w:rPr>
        <w:t>, mice were sacrificed at 24 h post‑injury</w:t>
      </w:r>
      <w:r>
        <w:rPr>
          <w:rFonts w:hint="eastAsia" w:ascii="Times New Roman" w:hAnsi="Times New Roman" w:cs="Times New Roman"/>
          <w:color w:val="auto"/>
          <w:szCs w:val="21"/>
        </w:rPr>
        <w:t xml:space="preserve"> (</w:t>
      </w:r>
      <w:r>
        <w:rPr>
          <w:rFonts w:ascii="Times New Roman" w:hAnsi="Times New Roman" w:cs="Times New Roman"/>
          <w:color w:val="auto"/>
          <w:szCs w:val="21"/>
        </w:rPr>
        <w:t>Fig. S</w:t>
      </w:r>
      <w:r>
        <w:rPr>
          <w:rFonts w:hint="eastAsia" w:ascii="Times New Roman" w:hAnsi="Times New Roman" w:cs="Times New Roman"/>
          <w:color w:val="auto"/>
          <w:szCs w:val="21"/>
        </w:rPr>
        <w:t xml:space="preserve">12A). </w:t>
      </w:r>
      <w:r>
        <w:rPr>
          <w:rFonts w:ascii="Times New Roman" w:hAnsi="Times New Roman" w:cs="Times New Roman"/>
          <w:color w:val="auto"/>
          <w:szCs w:val="21"/>
        </w:rPr>
        <w:t xml:space="preserve">At </w:t>
      </w:r>
      <w:r>
        <w:rPr>
          <w:rFonts w:hint="eastAsia" w:ascii="Times New Roman" w:hAnsi="Times New Roman" w:cs="Times New Roman"/>
          <w:color w:val="auto"/>
          <w:szCs w:val="21"/>
        </w:rPr>
        <w:t>the</w:t>
      </w:r>
      <w:r>
        <w:rPr>
          <w:rFonts w:ascii="Times New Roman" w:hAnsi="Times New Roman" w:cs="Times New Roman"/>
          <w:color w:val="auto"/>
          <w:szCs w:val="21"/>
        </w:rPr>
        <w:t xml:space="preserve"> endpoint, lung edema (LW/BW and W/D ratios), BALF total protein and cytokines (TNF‑α, IL‑1β, IL‑6), and pulmonary function parameters </w:t>
      </w:r>
      <w:r>
        <w:rPr>
          <w:rFonts w:hint="eastAsia" w:ascii="Times New Roman" w:hAnsi="Times New Roman" w:cs="Times New Roman"/>
          <w:color w:val="auto"/>
          <w:szCs w:val="21"/>
        </w:rPr>
        <w:t>[</w:t>
      </w:r>
      <w:r>
        <w:rPr>
          <w:rFonts w:ascii="Times New Roman" w:hAnsi="Times New Roman" w:cs="Times New Roman"/>
          <w:color w:val="auto"/>
          <w:szCs w:val="21"/>
        </w:rPr>
        <w:t>forced vital capacity (FVC), dynamic compliance (Cdyn), airway resistance (Re) and lung resistance (RL)</w:t>
      </w:r>
      <w:r>
        <w:rPr>
          <w:rFonts w:hint="eastAsia" w:ascii="Times New Roman" w:hAnsi="Times New Roman" w:cs="Times New Roman"/>
          <w:color w:val="auto"/>
          <w:szCs w:val="21"/>
        </w:rPr>
        <w:t>]</w:t>
      </w:r>
      <w:r>
        <w:rPr>
          <w:rFonts w:ascii="Times New Roman" w:hAnsi="Times New Roman" w:cs="Times New Roman"/>
          <w:color w:val="auto"/>
          <w:szCs w:val="21"/>
        </w:rPr>
        <w:t xml:space="preserve"> we</w:t>
      </w:r>
      <w:r>
        <w:rPr>
          <w:rFonts w:hint="eastAsia" w:ascii="Times New Roman" w:hAnsi="Times New Roman" w:cs="Times New Roman"/>
          <w:color w:val="auto"/>
          <w:szCs w:val="21"/>
        </w:rPr>
        <w:t xml:space="preserve">re assessed as detailed above. Histopathological changes and collagen deposition were evaluated by H&amp;E and Masson's trichrome staining. </w:t>
      </w:r>
    </w:p>
    <w:p w14:paraId="59A86E65">
      <w:pPr>
        <w:widowControl/>
        <w:ind w:firstLine="210" w:firstLineChars="100"/>
        <w:rPr>
          <w:rFonts w:ascii="Times New Roman" w:hAnsi="Times New Roman" w:cs="Times New Roman"/>
          <w:color w:val="auto"/>
          <w:szCs w:val="21"/>
        </w:rPr>
      </w:pPr>
      <w:r>
        <w:rPr>
          <w:rFonts w:ascii="Times New Roman" w:hAnsi="Times New Roman" w:cs="Times New Roman"/>
          <w:color w:val="auto"/>
          <w:szCs w:val="21"/>
        </w:rPr>
        <w:t>As shown in Fig. S</w:t>
      </w:r>
      <w:r>
        <w:rPr>
          <w:rFonts w:hint="eastAsia" w:ascii="Times New Roman" w:hAnsi="Times New Roman" w:cs="Times New Roman"/>
          <w:color w:val="auto"/>
          <w:szCs w:val="21"/>
        </w:rPr>
        <w:t>12</w:t>
      </w:r>
      <w:r>
        <w:rPr>
          <w:rFonts w:ascii="Times New Roman" w:hAnsi="Times New Roman" w:cs="Times New Roman"/>
          <w:color w:val="auto"/>
          <w:szCs w:val="21"/>
        </w:rPr>
        <w:t xml:space="preserve">, compared with the </w:t>
      </w:r>
      <w:r>
        <w:rPr>
          <w:rFonts w:hint="eastAsia" w:ascii="Times New Roman" w:hAnsi="Times New Roman" w:cs="Times New Roman"/>
          <w:color w:val="auto"/>
          <w:szCs w:val="21"/>
        </w:rPr>
        <w:t>C</w:t>
      </w:r>
      <w:r>
        <w:rPr>
          <w:rFonts w:ascii="Times New Roman" w:hAnsi="Times New Roman" w:cs="Times New Roman"/>
          <w:color w:val="auto"/>
          <w:szCs w:val="21"/>
        </w:rPr>
        <w:t xml:space="preserve">on group, the </w:t>
      </w:r>
      <w:r>
        <w:rPr>
          <w:rFonts w:hint="eastAsia" w:ascii="Times New Roman" w:hAnsi="Times New Roman" w:cs="Times New Roman"/>
          <w:color w:val="auto"/>
          <w:szCs w:val="21"/>
        </w:rPr>
        <w:t>M</w:t>
      </w:r>
      <w:r>
        <w:rPr>
          <w:rFonts w:ascii="Times New Roman" w:hAnsi="Times New Roman" w:cs="Times New Roman"/>
          <w:color w:val="auto"/>
          <w:szCs w:val="21"/>
        </w:rPr>
        <w:t xml:space="preserve">od group exhibited significantly increased lung wet/dry (W/D) ratio and lung weight/body weight (LW/BW) ratio, elevated </w:t>
      </w:r>
      <w:r>
        <w:rPr>
          <w:rFonts w:hint="eastAsia" w:ascii="Times New Roman" w:hAnsi="Times New Roman" w:cs="Times New Roman"/>
          <w:color w:val="auto"/>
          <w:szCs w:val="21"/>
        </w:rPr>
        <w:t>bronchoalveolar lavage fluid (BALF)</w:t>
      </w:r>
      <w:r>
        <w:rPr>
          <w:rFonts w:ascii="Times New Roman" w:hAnsi="Times New Roman" w:cs="Times New Roman"/>
          <w:color w:val="auto"/>
          <w:szCs w:val="21"/>
        </w:rPr>
        <w:t xml:space="preserve"> levels of pro‑inflammatory cytokines (TNF‑α, IL‑1β, IL‑6) and total protein, and marked deterioration of lung function parameters </w:t>
      </w:r>
      <w:bookmarkStart w:id="5" w:name="_Hlk227877234"/>
      <w:r>
        <w:rPr>
          <w:rFonts w:hint="eastAsia" w:ascii="Times New Roman" w:hAnsi="Times New Roman" w:cs="Times New Roman"/>
          <w:color w:val="auto"/>
          <w:szCs w:val="21"/>
        </w:rPr>
        <w:t>(</w:t>
      </w:r>
      <w:r>
        <w:rPr>
          <w:rFonts w:ascii="Times New Roman" w:hAnsi="Times New Roman" w:cs="Times New Roman"/>
          <w:color w:val="auto"/>
          <w:szCs w:val="21"/>
        </w:rPr>
        <w:t xml:space="preserve">decreased </w:t>
      </w:r>
      <w:r>
        <w:rPr>
          <w:rFonts w:hint="eastAsia" w:ascii="Times New Roman" w:hAnsi="Times New Roman" w:cs="Times New Roman"/>
          <w:color w:val="auto"/>
          <w:szCs w:val="21"/>
        </w:rPr>
        <w:t>FVC and Cdyn;</w:t>
      </w:r>
      <w:r>
        <w:rPr>
          <w:rFonts w:ascii="Times New Roman" w:hAnsi="Times New Roman" w:cs="Times New Roman"/>
          <w:color w:val="auto"/>
          <w:szCs w:val="21"/>
        </w:rPr>
        <w:t xml:space="preserve"> increased R</w:t>
      </w:r>
      <w:r>
        <w:rPr>
          <w:rFonts w:ascii="Times New Roman" w:hAnsi="Times New Roman" w:cs="Times New Roman"/>
          <w:color w:val="auto"/>
          <w:szCs w:val="21"/>
          <w:vertAlign w:val="subscript"/>
        </w:rPr>
        <w:t>e</w:t>
      </w:r>
      <w:r>
        <w:rPr>
          <w:rFonts w:ascii="Times New Roman" w:hAnsi="Times New Roman" w:cs="Times New Roman"/>
          <w:color w:val="auto"/>
          <w:szCs w:val="21"/>
        </w:rPr>
        <w:t xml:space="preserve"> and R</w:t>
      </w:r>
      <w:r>
        <w:rPr>
          <w:rFonts w:ascii="Times New Roman" w:hAnsi="Times New Roman" w:cs="Times New Roman"/>
          <w:color w:val="auto"/>
          <w:szCs w:val="21"/>
          <w:vertAlign w:val="subscript"/>
        </w:rPr>
        <w:t>L</w:t>
      </w:r>
      <w:r>
        <w:rPr>
          <w:rFonts w:hint="eastAsia" w:ascii="Times New Roman" w:hAnsi="Times New Roman" w:cs="Times New Roman"/>
          <w:color w:val="auto"/>
          <w:szCs w:val="21"/>
        </w:rPr>
        <w:t>)</w:t>
      </w:r>
      <w:bookmarkEnd w:id="5"/>
      <w:r>
        <w:rPr>
          <w:rFonts w:ascii="Times New Roman" w:hAnsi="Times New Roman" w:cs="Times New Roman"/>
          <w:color w:val="auto"/>
          <w:szCs w:val="21"/>
        </w:rPr>
        <w:t xml:space="preserve">. H&amp;E staining revealed alveolar wall thickening, edema, and inflammatory infiltration, while Masson staining showed no obvious collagen deposition, consistent with acute‑phase pathology. In contrast, treatment with MA NPs dose‑dependently reversed all these alterations: the </w:t>
      </w:r>
      <w:r>
        <w:rPr>
          <w:rFonts w:hint="eastAsia" w:ascii="Times New Roman" w:hAnsi="Times New Roman" w:cs="Times New Roman"/>
          <w:color w:val="auto"/>
          <w:szCs w:val="21"/>
        </w:rPr>
        <w:t xml:space="preserve">W/D and LW/BW ratios were significantly reduced </w:t>
      </w:r>
      <w:r>
        <w:rPr>
          <w:rFonts w:ascii="Times New Roman" w:hAnsi="Times New Roman" w:cs="Times New Roman"/>
          <w:color w:val="auto"/>
          <w:szCs w:val="21"/>
        </w:rPr>
        <w:t>(</w:t>
      </w:r>
      <w:r>
        <w:rPr>
          <w:rFonts w:hint="eastAsia" w:ascii="Times New Roman" w:hAnsi="Times New Roman" w:cs="Times New Roman"/>
          <w:color w:val="auto"/>
          <w:szCs w:val="21"/>
        </w:rPr>
        <w:t>Fig.S12B, C), BALF cytokine and total protein levels were decreased (Fig.S12J</w:t>
      </w:r>
      <w:r>
        <w:rPr>
          <w:rFonts w:ascii="Times New Roman" w:hAnsi="Times New Roman" w:cs="Times New Roman"/>
          <w:b/>
          <w:bCs/>
          <w:color w:val="auto"/>
          <w:szCs w:val="21"/>
        </w:rPr>
        <w:t>–</w:t>
      </w:r>
      <w:r>
        <w:rPr>
          <w:rFonts w:hint="eastAsia" w:ascii="Times New Roman" w:hAnsi="Times New Roman" w:cs="Times New Roman"/>
          <w:color w:val="auto"/>
          <w:szCs w:val="21"/>
        </w:rPr>
        <w:t>M), lung function parameters were substantially restored (Fig.S12F</w:t>
      </w:r>
      <w:r>
        <w:rPr>
          <w:rFonts w:ascii="Times New Roman" w:hAnsi="Times New Roman" w:cs="Times New Roman"/>
          <w:color w:val="auto"/>
          <w:szCs w:val="21"/>
        </w:rPr>
        <w:t>–</w:t>
      </w:r>
      <w:r>
        <w:rPr>
          <w:rFonts w:hint="eastAsia" w:ascii="Times New Roman" w:hAnsi="Times New Roman" w:cs="Times New Roman"/>
          <w:color w:val="auto"/>
          <w:szCs w:val="21"/>
        </w:rPr>
        <w:t>I), and H&amp;E staining showed alleviated lung tissue injury (Fig.S12 D). Masson's trichrome staining revealed no significant difference in collagen deposition among the groups (Fig. S12D, E). Thes</w:t>
      </w:r>
      <w:r>
        <w:rPr>
          <w:rFonts w:ascii="Times New Roman" w:hAnsi="Times New Roman" w:cs="Times New Roman"/>
          <w:color w:val="auto"/>
          <w:szCs w:val="21"/>
        </w:rPr>
        <w:t xml:space="preserve">e results indicate that MA NPs effectively suppress inflammation, reduce vascular leakage and pulmonary edema, and protect respiratory mechanics during the acute phase of </w:t>
      </w:r>
      <w:r>
        <w:rPr>
          <w:rFonts w:hint="eastAsia" w:ascii="Times New Roman" w:hAnsi="Times New Roman" w:cs="Times New Roman"/>
          <w:color w:val="auto"/>
          <w:szCs w:val="21"/>
        </w:rPr>
        <w:t>HCl</w:t>
      </w:r>
      <w:r>
        <w:rPr>
          <w:rFonts w:ascii="Times New Roman" w:hAnsi="Times New Roman" w:cs="Times New Roman"/>
          <w:color w:val="auto"/>
          <w:szCs w:val="21"/>
        </w:rPr>
        <w:t>‑induced lung injury.</w:t>
      </w:r>
    </w:p>
    <w:p w14:paraId="2DA00198">
      <w:pPr>
        <w:widowControl/>
        <w:rPr>
          <w:rFonts w:ascii="Times New Roman" w:hAnsi="Times New Roman" w:cs="Times New Roman"/>
          <w:color w:val="auto"/>
          <w:szCs w:val="21"/>
        </w:rPr>
      </w:pPr>
      <w:r>
        <w:rPr>
          <w:rFonts w:ascii="Times New Roman" w:hAnsi="Times New Roman" w:cs="Times New Roman"/>
          <w:color w:val="auto"/>
          <w:szCs w:val="21"/>
        </w:rPr>
        <w:t>In addition, the biosafety of MA NPs at 20 and 40 mg/kg was preliminarily assessed using a one‑week i.p. injection regimen</w:t>
      </w:r>
      <w:r>
        <w:rPr>
          <w:rFonts w:hint="eastAsia" w:ascii="Times New Roman" w:hAnsi="Times New Roman" w:cs="Times New Roman"/>
          <w:color w:val="auto"/>
          <w:szCs w:val="21"/>
        </w:rPr>
        <w:t xml:space="preserve"> (once daily for 7 days). No obvious histopathological abnormalities were observed in major organs (heart, liver, spleen, lung, kidney) after H&amp;E staining (Fig. S12N). Notably, the safety of MA NPs at 10 mg/kg had already been confirmed in the previous </w:t>
      </w:r>
      <w:r>
        <w:rPr>
          <w:rFonts w:hint="eastAsia" w:ascii="Times New Roman" w:hAnsi="Times New Roman" w:cs="Times New Roman"/>
          <w:i/>
          <w:iCs/>
          <w:color w:val="auto"/>
          <w:szCs w:val="21"/>
        </w:rPr>
        <w:t>in vivo</w:t>
      </w:r>
      <w:r>
        <w:rPr>
          <w:rFonts w:hint="eastAsia" w:ascii="Times New Roman" w:hAnsi="Times New Roman" w:cs="Times New Roman"/>
          <w:color w:val="auto"/>
          <w:szCs w:val="21"/>
        </w:rPr>
        <w:t xml:space="preserve"> efficacy study (Fig. S11A). Together, these data indicate that MA NPs are well tolerated up to 40 mg/kg under the tested dosing regimen.</w:t>
      </w:r>
    </w:p>
    <w:p w14:paraId="6E69E315">
      <w:pPr>
        <w:widowControl/>
        <w:jc w:val="center"/>
        <w:rPr>
          <w:rFonts w:ascii="Times New Roman" w:hAnsi="Times New Roman" w:cs="Times New Roman"/>
          <w:color w:val="auto"/>
          <w:sz w:val="24"/>
          <w:szCs w:val="24"/>
        </w:rPr>
      </w:pPr>
      <w:r>
        <w:rPr>
          <w:rFonts w:ascii="Times New Roman" w:hAnsi="Times New Roman" w:cs="Times New Roman"/>
          <w:color w:val="auto"/>
          <w:sz w:val="24"/>
          <w:szCs w:val="24"/>
        </w:rPr>
        <w:drawing>
          <wp:inline distT="0" distB="0" distL="0" distR="0">
            <wp:extent cx="5026660" cy="72390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9"/>
                    <a:srcRect l="4695"/>
                    <a:stretch>
                      <a:fillRect/>
                    </a:stretch>
                  </pic:blipFill>
                  <pic:spPr>
                    <a:xfrm>
                      <a:off x="0" y="0"/>
                      <a:ext cx="5026660" cy="7239000"/>
                    </a:xfrm>
                    <a:prstGeom prst="rect">
                      <a:avLst/>
                    </a:prstGeom>
                    <a:ln>
                      <a:noFill/>
                    </a:ln>
                  </pic:spPr>
                </pic:pic>
              </a:graphicData>
            </a:graphic>
          </wp:inline>
        </w:drawing>
      </w:r>
    </w:p>
    <w:p w14:paraId="6F3985AD">
      <w:pPr>
        <w:widowControl/>
        <w:jc w:val="left"/>
        <w:rPr>
          <w:rFonts w:ascii="Times New Roman" w:hAnsi="Times New Roman" w:cs="Times New Roman"/>
          <w:color w:val="auto"/>
          <w:szCs w:val="21"/>
        </w:rPr>
      </w:pPr>
      <w:r>
        <w:rPr>
          <w:rFonts w:ascii="Times New Roman" w:hAnsi="Times New Roman" w:cs="Times New Roman"/>
          <w:b/>
          <w:bCs/>
          <w:color w:val="auto"/>
          <w:szCs w:val="21"/>
        </w:rPr>
        <w:t xml:space="preserve">Fig. </w:t>
      </w:r>
      <w:r>
        <w:rPr>
          <w:rFonts w:hint="eastAsia" w:ascii="Times New Roman" w:hAnsi="Times New Roman" w:cs="Times New Roman"/>
          <w:b/>
          <w:bCs/>
          <w:color w:val="auto"/>
          <w:szCs w:val="21"/>
        </w:rPr>
        <w:t>S12</w:t>
      </w:r>
      <w:r>
        <w:rPr>
          <w:rFonts w:ascii="Times New Roman" w:hAnsi="Times New Roman" w:cs="Times New Roman"/>
          <w:color w:val="auto"/>
          <w:szCs w:val="21"/>
        </w:rPr>
        <w:t xml:space="preserve"> </w:t>
      </w:r>
      <w:bookmarkStart w:id="6" w:name="_Hlk227417086"/>
      <w:r>
        <w:rPr>
          <w:rFonts w:ascii="Times New Roman" w:hAnsi="Times New Roman" w:cs="Times New Roman"/>
          <w:color w:val="auto"/>
          <w:szCs w:val="21"/>
        </w:rPr>
        <w:t xml:space="preserve">MA NPs alleviate </w:t>
      </w:r>
      <w:r>
        <w:rPr>
          <w:rFonts w:hint="eastAsia" w:ascii="Times New Roman" w:hAnsi="Times New Roman" w:cs="Times New Roman"/>
          <w:color w:val="auto"/>
          <w:szCs w:val="21"/>
        </w:rPr>
        <w:t>hydrochloric acid aspiration-induced</w:t>
      </w:r>
      <w:r>
        <w:rPr>
          <w:rFonts w:ascii="Times New Roman" w:hAnsi="Times New Roman" w:cs="Times New Roman"/>
          <w:color w:val="auto"/>
          <w:szCs w:val="21"/>
        </w:rPr>
        <w:t xml:space="preserve"> pulmonary inflammation in mice during acute phase. (A) Treatment timeline</w:t>
      </w:r>
      <w:r>
        <w:rPr>
          <w:rFonts w:hint="eastAsia" w:ascii="Times New Roman" w:hAnsi="Times New Roman" w:cs="Times New Roman"/>
          <w:color w:val="auto"/>
          <w:szCs w:val="21"/>
        </w:rPr>
        <w:t xml:space="preserve"> for 24 h</w:t>
      </w:r>
      <w:r>
        <w:rPr>
          <w:rFonts w:ascii="Times New Roman" w:hAnsi="Times New Roman" w:cs="Times New Roman"/>
          <w:color w:val="auto"/>
          <w:szCs w:val="21"/>
        </w:rPr>
        <w:t xml:space="preserve">. (B) LW/BW ratio. (C) W/D ratio. (D) Representative H&amp;E-stained and Masson’s trichrome-stained lung sections. </w:t>
      </w:r>
      <w:bookmarkStart w:id="7" w:name="_Hlk228276713"/>
      <w:bookmarkStart w:id="8" w:name="_Hlk228276479"/>
      <w:r>
        <w:rPr>
          <w:rFonts w:hint="eastAsia" w:ascii="Times New Roman" w:hAnsi="Times New Roman" w:cs="Times New Roman"/>
          <w:color w:val="auto"/>
          <w:szCs w:val="21"/>
        </w:rPr>
        <w:t>(E)</w:t>
      </w:r>
      <w:r>
        <w:rPr>
          <w:rFonts w:hint="eastAsia"/>
          <w:color w:val="auto"/>
        </w:rPr>
        <w:t xml:space="preserve"> </w:t>
      </w:r>
      <w:r>
        <w:rPr>
          <w:rFonts w:hint="eastAsia" w:ascii="Times New Roman" w:hAnsi="Times New Roman" w:cs="Times New Roman"/>
          <w:color w:val="auto"/>
          <w:szCs w:val="21"/>
        </w:rPr>
        <w:t xml:space="preserve">Relative collagen area (Masson’s trichrome staining, normalized to Con group). </w:t>
      </w:r>
      <w:r>
        <w:rPr>
          <w:rFonts w:ascii="Times New Roman" w:hAnsi="Times New Roman" w:cs="Times New Roman"/>
          <w:color w:val="auto"/>
          <w:szCs w:val="21"/>
        </w:rPr>
        <w:t>(</w:t>
      </w:r>
      <w:r>
        <w:rPr>
          <w:rFonts w:hint="eastAsia" w:ascii="Times New Roman" w:hAnsi="Times New Roman" w:cs="Times New Roman"/>
          <w:color w:val="auto"/>
          <w:szCs w:val="21"/>
        </w:rPr>
        <w:t>F</w:t>
      </w:r>
      <w:r>
        <w:rPr>
          <w:rFonts w:ascii="Times New Roman" w:hAnsi="Times New Roman" w:cs="Times New Roman"/>
          <w:color w:val="auto"/>
          <w:szCs w:val="21"/>
        </w:rPr>
        <w:t>–</w:t>
      </w:r>
      <w:r>
        <w:rPr>
          <w:rFonts w:hint="eastAsia" w:ascii="Times New Roman" w:hAnsi="Times New Roman" w:cs="Times New Roman"/>
          <w:color w:val="auto"/>
          <w:szCs w:val="21"/>
        </w:rPr>
        <w:t>I</w:t>
      </w:r>
      <w:r>
        <w:rPr>
          <w:rFonts w:ascii="Times New Roman" w:hAnsi="Times New Roman" w:cs="Times New Roman"/>
          <w:color w:val="auto"/>
          <w:szCs w:val="21"/>
        </w:rPr>
        <w:t>) Parameters of lung function (FVC, R</w:t>
      </w:r>
      <w:r>
        <w:rPr>
          <w:rFonts w:ascii="Times New Roman" w:hAnsi="Times New Roman" w:cs="Times New Roman"/>
          <w:color w:val="auto"/>
          <w:szCs w:val="21"/>
          <w:vertAlign w:val="subscript"/>
        </w:rPr>
        <w:t>e</w:t>
      </w:r>
      <w:r>
        <w:rPr>
          <w:rFonts w:ascii="Times New Roman" w:hAnsi="Times New Roman" w:cs="Times New Roman"/>
          <w:color w:val="auto"/>
          <w:szCs w:val="21"/>
        </w:rPr>
        <w:t>, R</w:t>
      </w:r>
      <w:r>
        <w:rPr>
          <w:rFonts w:ascii="Times New Roman" w:hAnsi="Times New Roman" w:cs="Times New Roman"/>
          <w:color w:val="auto"/>
          <w:szCs w:val="21"/>
          <w:vertAlign w:val="subscript"/>
        </w:rPr>
        <w:t>L</w:t>
      </w:r>
      <w:r>
        <w:rPr>
          <w:rFonts w:ascii="Times New Roman" w:hAnsi="Times New Roman" w:cs="Times New Roman"/>
          <w:color w:val="auto"/>
          <w:szCs w:val="21"/>
        </w:rPr>
        <w:t xml:space="preserve"> and Cdyn). (</w:t>
      </w:r>
      <w:r>
        <w:rPr>
          <w:rFonts w:hint="eastAsia" w:ascii="Times New Roman" w:hAnsi="Times New Roman" w:cs="Times New Roman"/>
          <w:color w:val="auto"/>
          <w:szCs w:val="21"/>
        </w:rPr>
        <w:t>J</w:t>
      </w:r>
      <w:r>
        <w:rPr>
          <w:rFonts w:ascii="Times New Roman" w:hAnsi="Times New Roman" w:cs="Times New Roman"/>
          <w:color w:val="auto"/>
          <w:szCs w:val="21"/>
        </w:rPr>
        <w:t>–</w:t>
      </w:r>
      <w:r>
        <w:rPr>
          <w:rFonts w:hint="eastAsia" w:ascii="Times New Roman" w:hAnsi="Times New Roman" w:cs="Times New Roman"/>
          <w:color w:val="auto"/>
          <w:szCs w:val="21"/>
        </w:rPr>
        <w:t>M</w:t>
      </w:r>
      <w:r>
        <w:rPr>
          <w:rFonts w:ascii="Times New Roman" w:hAnsi="Times New Roman" w:cs="Times New Roman"/>
          <w:color w:val="auto"/>
          <w:szCs w:val="21"/>
        </w:rPr>
        <w:t>) TNF-α, IL-1β, and IL-6 levels in BALF.</w:t>
      </w:r>
      <w:bookmarkEnd w:id="7"/>
      <w:r>
        <w:rPr>
          <w:rFonts w:ascii="Times New Roman" w:hAnsi="Times New Roman" w:cs="Times New Roman"/>
          <w:color w:val="auto"/>
          <w:szCs w:val="21"/>
        </w:rPr>
        <w:t xml:space="preserve"> </w:t>
      </w:r>
      <w:bookmarkEnd w:id="8"/>
      <w:r>
        <w:rPr>
          <w:rFonts w:ascii="Times New Roman" w:hAnsi="Times New Roman" w:cs="Times New Roman"/>
          <w:color w:val="auto"/>
          <w:szCs w:val="21"/>
        </w:rPr>
        <w:t>(</w:t>
      </w:r>
      <w:r>
        <w:rPr>
          <w:rFonts w:hint="eastAsia" w:ascii="Times New Roman" w:hAnsi="Times New Roman" w:cs="Times New Roman"/>
          <w:color w:val="auto"/>
          <w:szCs w:val="21"/>
        </w:rPr>
        <w:t>N</w:t>
      </w:r>
      <w:r>
        <w:rPr>
          <w:rFonts w:ascii="Times New Roman" w:hAnsi="Times New Roman" w:cs="Times New Roman"/>
          <w:color w:val="auto"/>
          <w:szCs w:val="21"/>
        </w:rPr>
        <w:t xml:space="preserve">) </w:t>
      </w:r>
      <w:r>
        <w:rPr>
          <w:rFonts w:hint="eastAsia" w:ascii="Times New Roman" w:hAnsi="Times New Roman" w:cs="Times New Roman"/>
          <w:color w:val="auto"/>
          <w:szCs w:val="21"/>
        </w:rPr>
        <w:t xml:space="preserve">H&amp;E staining of major organs (200×). </w:t>
      </w:r>
      <w:r>
        <w:rPr>
          <w:rFonts w:hint="eastAsia" w:ascii="Times New Roman" w:hAnsi="Times New Roman" w:cs="Times New Roman"/>
          <w:color w:val="auto"/>
          <w:szCs w:val="21"/>
          <w:vertAlign w:val="superscript"/>
        </w:rPr>
        <w:t>###</w:t>
      </w:r>
      <w:r>
        <w:rPr>
          <w:rFonts w:hint="eastAsia" w:ascii="Times New Roman" w:hAnsi="Times New Roman" w:cs="Times New Roman"/>
          <w:i/>
          <w:iCs/>
          <w:color w:val="auto"/>
          <w:szCs w:val="21"/>
        </w:rPr>
        <w:t>p</w:t>
      </w:r>
      <w:r>
        <w:rPr>
          <w:rFonts w:hint="eastAsia" w:ascii="Times New Roman" w:hAnsi="Times New Roman" w:cs="Times New Roman"/>
          <w:color w:val="auto"/>
          <w:szCs w:val="21"/>
        </w:rPr>
        <w:t xml:space="preserve"> &lt; 0.001 </w:t>
      </w:r>
      <w:r>
        <w:rPr>
          <w:rFonts w:hint="eastAsia" w:ascii="Times New Roman" w:hAnsi="Times New Roman" w:cs="Times New Roman"/>
          <w:i/>
          <w:iCs/>
          <w:color w:val="auto"/>
          <w:szCs w:val="21"/>
        </w:rPr>
        <w:t>vs.</w:t>
      </w:r>
      <w:r>
        <w:rPr>
          <w:rFonts w:hint="eastAsia" w:ascii="Times New Roman" w:hAnsi="Times New Roman" w:cs="Times New Roman"/>
          <w:color w:val="auto"/>
          <w:szCs w:val="21"/>
        </w:rPr>
        <w:t xml:space="preserve"> Con group;</w:t>
      </w:r>
      <w:bookmarkEnd w:id="6"/>
      <w:r>
        <w:rPr>
          <w:rFonts w:hint="eastAsia" w:ascii="Times New Roman" w:hAnsi="Times New Roman" w:cs="Times New Roman"/>
          <w:color w:val="auto"/>
          <w:szCs w:val="21"/>
        </w:rPr>
        <w:t xml:space="preserve"> </w:t>
      </w:r>
      <w:r>
        <w:rPr>
          <w:rFonts w:hint="eastAsia" w:ascii="Times New Roman" w:hAnsi="Times New Roman" w:cs="Times New Roman"/>
          <w:color w:val="auto"/>
          <w:szCs w:val="21"/>
          <w:vertAlign w:val="superscript"/>
        </w:rPr>
        <w:t>***</w:t>
      </w:r>
      <w:r>
        <w:rPr>
          <w:rFonts w:hint="eastAsia" w:ascii="Times New Roman" w:hAnsi="Times New Roman" w:cs="Times New Roman"/>
          <w:i/>
          <w:iCs/>
          <w:color w:val="auto"/>
          <w:szCs w:val="21"/>
        </w:rPr>
        <w:t>p</w:t>
      </w:r>
      <w:r>
        <w:rPr>
          <w:rFonts w:hint="eastAsia" w:ascii="Times New Roman" w:hAnsi="Times New Roman" w:cs="Times New Roman"/>
          <w:color w:val="auto"/>
          <w:szCs w:val="21"/>
        </w:rPr>
        <w:t xml:space="preserve"> &lt; 0.001, </w:t>
      </w:r>
      <w:r>
        <w:rPr>
          <w:rFonts w:hint="eastAsia" w:ascii="Times New Roman" w:hAnsi="Times New Roman" w:cs="Times New Roman"/>
          <w:color w:val="auto"/>
          <w:szCs w:val="21"/>
          <w:vertAlign w:val="superscript"/>
        </w:rPr>
        <w:t>**</w:t>
      </w:r>
      <w:r>
        <w:rPr>
          <w:rFonts w:hint="eastAsia" w:ascii="Times New Roman" w:hAnsi="Times New Roman" w:cs="Times New Roman"/>
          <w:i/>
          <w:iCs/>
          <w:color w:val="auto"/>
          <w:szCs w:val="21"/>
        </w:rPr>
        <w:t>p</w:t>
      </w:r>
      <w:r>
        <w:rPr>
          <w:rFonts w:hint="eastAsia" w:ascii="Times New Roman" w:hAnsi="Times New Roman" w:cs="Times New Roman"/>
          <w:color w:val="auto"/>
          <w:szCs w:val="21"/>
        </w:rPr>
        <w:t xml:space="preserve"> &lt; 0.01, </w:t>
      </w:r>
      <w:r>
        <w:rPr>
          <w:rFonts w:hint="eastAsia" w:ascii="Times New Roman" w:hAnsi="Times New Roman" w:cs="Times New Roman"/>
          <w:color w:val="auto"/>
          <w:szCs w:val="21"/>
          <w:vertAlign w:val="superscript"/>
        </w:rPr>
        <w:t>*</w:t>
      </w:r>
      <w:r>
        <w:rPr>
          <w:rFonts w:hint="eastAsia" w:ascii="Times New Roman" w:hAnsi="Times New Roman" w:cs="Times New Roman"/>
          <w:i/>
          <w:iCs/>
          <w:color w:val="auto"/>
          <w:szCs w:val="21"/>
        </w:rPr>
        <w:t>p</w:t>
      </w:r>
      <w:r>
        <w:rPr>
          <w:rFonts w:hint="eastAsia" w:ascii="Times New Roman" w:hAnsi="Times New Roman" w:cs="Times New Roman"/>
          <w:color w:val="auto"/>
          <w:szCs w:val="21"/>
        </w:rPr>
        <w:t xml:space="preserve"> &lt; 0.05 </w:t>
      </w:r>
      <w:r>
        <w:rPr>
          <w:rFonts w:hint="eastAsia" w:ascii="Times New Roman" w:hAnsi="Times New Roman" w:cs="Times New Roman"/>
          <w:i/>
          <w:iCs/>
          <w:color w:val="auto"/>
          <w:szCs w:val="21"/>
        </w:rPr>
        <w:t>vs</w:t>
      </w:r>
      <w:r>
        <w:rPr>
          <w:rFonts w:hint="eastAsia" w:ascii="Times New Roman" w:hAnsi="Times New Roman" w:cs="Times New Roman"/>
          <w:color w:val="auto"/>
          <w:szCs w:val="21"/>
        </w:rPr>
        <w:t>. Mod group (</w:t>
      </w:r>
      <w:r>
        <w:rPr>
          <w:rFonts w:hint="eastAsia" w:ascii="Times New Roman" w:hAnsi="Times New Roman" w:cs="Times New Roman"/>
          <w:i/>
          <w:iCs/>
          <w:color w:val="auto"/>
          <w:szCs w:val="21"/>
        </w:rPr>
        <w:t>n</w:t>
      </w:r>
      <w:r>
        <w:rPr>
          <w:rFonts w:hint="eastAsia" w:ascii="Times New Roman" w:hAnsi="Times New Roman" w:cs="Times New Roman"/>
          <w:color w:val="auto"/>
          <w:szCs w:val="21"/>
        </w:rPr>
        <w:t>=6).</w:t>
      </w:r>
      <w:r>
        <w:rPr>
          <w:rFonts w:ascii="Times New Roman" w:hAnsi="Times New Roman" w:cs="Times New Roman"/>
          <w:color w:val="auto"/>
          <w:sz w:val="24"/>
          <w:szCs w:val="24"/>
        </w:rPr>
        <w:br w:type="page"/>
      </w:r>
    </w:p>
    <w:p w14:paraId="0CCA312A">
      <w:pPr>
        <w:pStyle w:val="48"/>
        <w:rPr>
          <w:rFonts w:ascii="Times New Roman" w:hAnsi="Times New Roman" w:cs="Times New Roman"/>
          <w:color w:val="auto"/>
          <w:sz w:val="21"/>
          <w:szCs w:val="21"/>
        </w:rPr>
      </w:pPr>
      <w:r>
        <w:rPr>
          <w:rFonts w:ascii="Times New Roman" w:hAnsi="Times New Roman" w:cs="Times New Roman"/>
          <w:b/>
          <w:bCs/>
          <w:color w:val="auto"/>
        </w:rPr>
        <w:t>References:</w:t>
      </w:r>
      <w:r>
        <w:rPr>
          <w:rFonts w:ascii="Times New Roman" w:hAnsi="Times New Roman" w:cs="Times New Roman"/>
          <w:b/>
          <w:bCs/>
          <w:color w:val="auto"/>
        </w:rPr>
        <w:br w:type="textWrapping"/>
      </w:r>
      <w:r>
        <w:rPr>
          <w:rFonts w:hint="eastAsia" w:ascii="Times New Roman" w:hAnsi="Times New Roman" w:cs="Times New Roman"/>
          <w:color w:val="auto"/>
          <w:sz w:val="21"/>
          <w:szCs w:val="21"/>
        </w:rPr>
        <w:t>1</w:t>
      </w:r>
      <w:r>
        <w:rPr>
          <w:rFonts w:ascii="Times New Roman" w:hAnsi="Times New Roman" w:cs="Times New Roman"/>
          <w:color w:val="auto"/>
          <w:sz w:val="21"/>
          <w:szCs w:val="21"/>
        </w:rPr>
        <w:t>.</w:t>
      </w:r>
      <w:r>
        <w:rPr>
          <w:rFonts w:ascii="Times New Roman" w:hAnsi="Times New Roman" w:cs="Times New Roman"/>
          <w:color w:val="auto"/>
          <w:sz w:val="21"/>
          <w:szCs w:val="21"/>
        </w:rPr>
        <w:tab/>
      </w:r>
      <w:r>
        <w:rPr>
          <w:rFonts w:ascii="Times New Roman" w:hAnsi="Times New Roman" w:cs="Times New Roman"/>
          <w:color w:val="auto"/>
          <w:sz w:val="21"/>
          <w:szCs w:val="21"/>
        </w:rPr>
        <w:t>Szapiel SV, Elson NA, Fulmer JD, Hunninghake GW, Crystal RG. Bleomycin-induced interstitial pulmonary disease in the nude, athymic mouse. Am Rev Respir Dis. 1979;120(4):893-9.</w:t>
      </w:r>
    </w:p>
    <w:p w14:paraId="43CCE0B7">
      <w:pPr>
        <w:pStyle w:val="48"/>
        <w:rPr>
          <w:rFonts w:ascii="Times New Roman" w:hAnsi="Times New Roman" w:cs="Times New Roman"/>
          <w:color w:val="auto"/>
          <w:sz w:val="21"/>
          <w:szCs w:val="21"/>
        </w:rPr>
      </w:pPr>
      <w:r>
        <w:rPr>
          <w:rFonts w:hint="eastAsia" w:ascii="Times New Roman" w:hAnsi="Times New Roman" w:cs="Times New Roman"/>
          <w:color w:val="auto"/>
          <w:sz w:val="21"/>
          <w:szCs w:val="21"/>
        </w:rPr>
        <w:t>2</w:t>
      </w:r>
      <w:r>
        <w:rPr>
          <w:rFonts w:ascii="Times New Roman" w:hAnsi="Times New Roman" w:cs="Times New Roman"/>
          <w:color w:val="auto"/>
          <w:sz w:val="21"/>
          <w:szCs w:val="21"/>
        </w:rPr>
        <w:t>.</w:t>
      </w:r>
      <w:r>
        <w:rPr>
          <w:rFonts w:ascii="Times New Roman" w:hAnsi="Times New Roman" w:cs="Times New Roman"/>
          <w:color w:val="auto"/>
          <w:sz w:val="21"/>
          <w:szCs w:val="21"/>
        </w:rPr>
        <w:tab/>
      </w:r>
      <w:r>
        <w:rPr>
          <w:rFonts w:ascii="Times New Roman" w:hAnsi="Times New Roman" w:cs="Times New Roman"/>
          <w:color w:val="auto"/>
          <w:sz w:val="21"/>
          <w:szCs w:val="21"/>
        </w:rPr>
        <w:t>Ashcroft T, Simpson JM, Timbrell V. Simple method of estimating severity of pulmonary fibrosis on a numerical scale. J Clin Pathol. 1988;41(4):467-70.</w:t>
      </w:r>
    </w:p>
    <w:p w14:paraId="25D598C2">
      <w:pPr>
        <w:adjustRightInd w:val="0"/>
        <w:contextualSpacing/>
        <w:rPr>
          <w:rFonts w:ascii="Times New Roman" w:hAnsi="Times New Roman" w:cs="Times New Roman"/>
          <w:color w:val="auto"/>
        </w:rPr>
      </w:pPr>
      <w:r>
        <w:rPr>
          <w:rFonts w:hint="eastAsia" w:ascii="Times New Roman" w:hAnsi="Times New Roman" w:cs="Times New Roman"/>
          <w:color w:val="auto"/>
        </w:rPr>
        <w:t>3.</w:t>
      </w:r>
      <w:r>
        <w:rPr>
          <w:rFonts w:ascii="Times New Roman" w:hAnsi="Times New Roman" w:cs="Times New Roman"/>
          <w:color w:val="auto"/>
        </w:rPr>
        <w:tab/>
      </w:r>
      <w:r>
        <w:rPr>
          <w:rFonts w:ascii="Times New Roman" w:hAnsi="Times New Roman" w:cs="Times New Roman"/>
          <w:color w:val="auto"/>
        </w:rPr>
        <w:t>Lin B, Lin P, Zhang X, Liao Y, Yu Y, Xu X, Wang X. Carrier-free, hyaluronic acid-modified self-assembled doxorubicin and chlorin e6 nanoparticles enhance combined chemo- and photodynamic therapy in vivo. Int J Nanomedicine. 2024;19:14105-14124.</w:t>
      </w:r>
    </w:p>
    <w:p w14:paraId="0E5220DF">
      <w:pPr>
        <w:adjustRightInd w:val="0"/>
        <w:contextualSpacing/>
        <w:rPr>
          <w:rFonts w:ascii="Times New Roman" w:hAnsi="Times New Roman" w:cs="Times New Roman"/>
          <w:color w:val="auto"/>
        </w:rPr>
      </w:pPr>
      <w:r>
        <w:rPr>
          <w:rFonts w:hint="eastAsia" w:ascii="Times New Roman" w:hAnsi="Times New Roman" w:cs="Times New Roman"/>
          <w:color w:val="auto"/>
        </w:rPr>
        <w:t>4.</w:t>
      </w:r>
      <w:r>
        <w:rPr>
          <w:rFonts w:ascii="Times New Roman" w:hAnsi="Times New Roman" w:cs="Times New Roman"/>
          <w:color w:val="auto"/>
        </w:rPr>
        <w:tab/>
      </w:r>
      <w:r>
        <w:rPr>
          <w:rFonts w:ascii="Times New Roman" w:hAnsi="Times New Roman" w:cs="Times New Roman"/>
          <w:color w:val="auto"/>
        </w:rPr>
        <w:t>Chen S, Huang H, Li Q, Cai J, Miao Z, Xie P, Tang S, He D. Carrier-free nanoparticles based on self-assembly of 5-FU and copper-genistein complexes for the combined treatment of hepatocellular carcinoma. Drug Deliv Transl Res. 2025;15(4):1299-1316.</w:t>
      </w:r>
    </w:p>
    <w:p w14:paraId="7FC3CF0B">
      <w:pPr>
        <w:rPr>
          <w:rFonts w:ascii="Times New Roman" w:hAnsi="Times New Roman" w:cs="Times New Roman"/>
          <w:color w:val="auto"/>
        </w:rPr>
      </w:pPr>
      <w:r>
        <w:rPr>
          <w:rFonts w:hint="eastAsia" w:ascii="Times New Roman" w:hAnsi="Times New Roman" w:cs="Times New Roman"/>
          <w:color w:val="auto"/>
        </w:rPr>
        <w:t>5.</w:t>
      </w:r>
      <w:r>
        <w:rPr>
          <w:rFonts w:ascii="Times New Roman" w:hAnsi="Times New Roman" w:cs="Times New Roman"/>
          <w:color w:val="auto"/>
        </w:rPr>
        <w:tab/>
      </w:r>
      <w:r>
        <w:rPr>
          <w:rFonts w:ascii="Times New Roman" w:hAnsi="Times New Roman" w:cs="Times New Roman"/>
          <w:color w:val="auto"/>
        </w:rPr>
        <w:t>Liu Y, Yang G, Jin S, Xu L, Zhao CX. Development of high‑drug‑loading nanoparticles. Chempluschem. 2020;85(9):2143-2157.</w:t>
      </w:r>
    </w:p>
    <w:p w14:paraId="15EAD681">
      <w:pPr>
        <w:rPr>
          <w:rFonts w:ascii="Times New Roman" w:hAnsi="Times New Roman" w:eastAsia="宋体" w:cs="Times New Roman"/>
          <w:color w:val="auto"/>
          <w:spacing w:val="2"/>
          <w:szCs w:val="21"/>
        </w:rPr>
      </w:pPr>
      <w:r>
        <w:rPr>
          <w:rFonts w:hint="eastAsia" w:ascii="Times New Roman" w:hAnsi="Times New Roman" w:eastAsia="宋体" w:cs="Times New Roman"/>
          <w:color w:val="auto"/>
          <w:spacing w:val="2"/>
          <w:szCs w:val="21"/>
        </w:rPr>
        <w:t>6.</w:t>
      </w:r>
      <w:r>
        <w:rPr>
          <w:rFonts w:ascii="Times New Roman" w:hAnsi="Times New Roman" w:eastAsia="宋体" w:cs="Times New Roman"/>
          <w:color w:val="auto"/>
          <w:spacing w:val="2"/>
          <w:szCs w:val="21"/>
        </w:rPr>
        <w:tab/>
      </w:r>
      <w:r>
        <w:rPr>
          <w:rFonts w:ascii="Times New Roman" w:hAnsi="Times New Roman" w:eastAsia="宋体" w:cs="Times New Roman"/>
          <w:color w:val="auto"/>
          <w:spacing w:val="2"/>
          <w:szCs w:val="21"/>
        </w:rPr>
        <w:t>Behzadi S, Serpooshan V, Sakhtianchi R, et al. Protein corona change the drug release profile of nanocarriers: the “overlooked” factor at the nanobio interface. </w:t>
      </w:r>
      <w:r>
        <w:rPr>
          <w:rFonts w:ascii="Times New Roman" w:hAnsi="Times New Roman" w:eastAsia="宋体" w:cs="Times New Roman"/>
          <w:i/>
          <w:iCs/>
          <w:color w:val="auto"/>
          <w:spacing w:val="2"/>
          <w:szCs w:val="21"/>
        </w:rPr>
        <w:t>Colloids Surf B Biointerfaces</w:t>
      </w:r>
      <w:r>
        <w:rPr>
          <w:rFonts w:ascii="Times New Roman" w:hAnsi="Times New Roman" w:eastAsia="宋体" w:cs="Times New Roman"/>
          <w:color w:val="auto"/>
          <w:spacing w:val="2"/>
          <w:szCs w:val="21"/>
        </w:rPr>
        <w:t>. 2014;123:143-149.</w:t>
      </w:r>
    </w:p>
    <w:p w14:paraId="6D33CFED">
      <w:pPr>
        <w:rPr>
          <w:rFonts w:ascii="Times New Roman" w:hAnsi="Times New Roman" w:eastAsia="宋体" w:cs="Times New Roman"/>
          <w:color w:val="auto"/>
          <w:spacing w:val="2"/>
          <w:szCs w:val="21"/>
        </w:rPr>
      </w:pPr>
      <w:r>
        <w:rPr>
          <w:rFonts w:hint="eastAsia" w:ascii="Times New Roman" w:hAnsi="Times New Roman" w:eastAsia="宋体" w:cs="Times New Roman"/>
          <w:color w:val="auto"/>
          <w:spacing w:val="2"/>
          <w:szCs w:val="21"/>
        </w:rPr>
        <w:t>7.</w:t>
      </w:r>
      <w:r>
        <w:rPr>
          <w:rFonts w:ascii="Times New Roman" w:hAnsi="Times New Roman" w:eastAsia="宋体" w:cs="Times New Roman"/>
          <w:color w:val="auto"/>
          <w:spacing w:val="2"/>
          <w:szCs w:val="21"/>
        </w:rPr>
        <w:tab/>
      </w:r>
      <w:r>
        <w:rPr>
          <w:rFonts w:hint="eastAsia" w:ascii="Times New Roman" w:hAnsi="Times New Roman" w:eastAsia="宋体" w:cs="Times New Roman"/>
          <w:color w:val="auto"/>
          <w:spacing w:val="2"/>
          <w:szCs w:val="21"/>
        </w:rPr>
        <w:t>R</w:t>
      </w:r>
      <w:r>
        <w:rPr>
          <w:rFonts w:ascii="Times New Roman" w:hAnsi="Times New Roman" w:eastAsia="宋体" w:cs="Times New Roman"/>
          <w:color w:val="auto"/>
          <w:spacing w:val="2"/>
          <w:szCs w:val="21"/>
        </w:rPr>
        <w:t>ichter-Bisson ZW, Hedberg YS. Revisiting the Vroman effect: Mechanisms of competitive protein exchange on surfaces. Colloids Surf B Biointerfaces. 2025;255:114927.</w:t>
      </w:r>
    </w:p>
    <w:p w14:paraId="77BCB8B8">
      <w:pPr>
        <w:rPr>
          <w:rFonts w:ascii="Times New Roman" w:hAnsi="Times New Roman" w:eastAsia="宋体" w:cs="Times New Roman"/>
          <w:color w:val="auto"/>
          <w:spacing w:val="2"/>
          <w:szCs w:val="21"/>
        </w:rPr>
      </w:pPr>
      <w:r>
        <w:rPr>
          <w:rFonts w:hint="eastAsia" w:ascii="Times New Roman" w:hAnsi="Times New Roman" w:eastAsia="宋体" w:cs="Times New Roman"/>
          <w:color w:val="auto"/>
          <w:spacing w:val="2"/>
          <w:szCs w:val="21"/>
        </w:rPr>
        <w:t>8.</w:t>
      </w:r>
      <w:r>
        <w:rPr>
          <w:rFonts w:ascii="Times New Roman" w:hAnsi="Times New Roman" w:eastAsia="宋体" w:cs="Times New Roman"/>
          <w:color w:val="auto"/>
          <w:spacing w:val="2"/>
          <w:szCs w:val="21"/>
        </w:rPr>
        <w:tab/>
      </w:r>
      <w:r>
        <w:rPr>
          <w:rFonts w:ascii="Times New Roman" w:hAnsi="Times New Roman" w:eastAsia="宋体" w:cs="Times New Roman"/>
          <w:color w:val="auto"/>
          <w:spacing w:val="2"/>
          <w:szCs w:val="21"/>
        </w:rPr>
        <w:t>Zhdanov VP. Formation of a protein corona around nanoparticles. Curr Opin Colloid Interface Sci. 2019;41:95-103.</w:t>
      </w:r>
    </w:p>
    <w:p w14:paraId="1E077457">
      <w:pPr>
        <w:rPr>
          <w:rFonts w:ascii="Times New Roman" w:hAnsi="Times New Roman" w:eastAsia="宋体" w:cs="Times New Roman"/>
          <w:color w:val="auto"/>
          <w:spacing w:val="2"/>
          <w:szCs w:val="21"/>
        </w:rPr>
      </w:pPr>
      <w:r>
        <w:rPr>
          <w:rFonts w:hint="eastAsia" w:ascii="Times New Roman" w:hAnsi="Times New Roman" w:eastAsia="宋体" w:cs="Times New Roman"/>
          <w:color w:val="auto"/>
          <w:spacing w:val="2"/>
          <w:szCs w:val="21"/>
        </w:rPr>
        <w:t>9.</w:t>
      </w:r>
      <w:r>
        <w:rPr>
          <w:rFonts w:ascii="Times New Roman" w:hAnsi="Times New Roman" w:eastAsia="宋体" w:cs="Times New Roman"/>
          <w:color w:val="auto"/>
          <w:spacing w:val="2"/>
          <w:szCs w:val="21"/>
        </w:rPr>
        <w:tab/>
      </w:r>
      <w:r>
        <w:rPr>
          <w:rFonts w:ascii="Times New Roman" w:hAnsi="Times New Roman" w:eastAsia="宋体" w:cs="Times New Roman"/>
          <w:color w:val="auto"/>
          <w:spacing w:val="2"/>
          <w:szCs w:val="21"/>
        </w:rPr>
        <w:t>Tenzer S, Docter D, Kuharev J, et al. Rapid formation of plasma protein corona critically affects nanoparticle pathophysiology. Nat Nanotechnol. 2013;8(10):772-781.</w:t>
      </w:r>
    </w:p>
    <w:p w14:paraId="1F06ED12">
      <w:pPr>
        <w:rPr>
          <w:rFonts w:ascii="Times New Roman" w:hAnsi="Times New Roman" w:eastAsia="等线" w:cs="Times New Roman"/>
          <w:color w:val="auto"/>
          <w:szCs w:val="21"/>
          <w14:ligatures w14:val="standardContextual"/>
        </w:rPr>
      </w:pPr>
      <w:r>
        <w:rPr>
          <w:rFonts w:hint="eastAsia" w:ascii="Times New Roman" w:hAnsi="Times New Roman" w:cs="Times New Roman"/>
          <w:color w:val="auto"/>
          <w:szCs w:val="21"/>
        </w:rPr>
        <w:t>10.</w:t>
      </w:r>
      <w:r>
        <w:rPr>
          <w:rFonts w:ascii="Times New Roman" w:hAnsi="Times New Roman" w:cs="Times New Roman"/>
          <w:color w:val="auto"/>
          <w:szCs w:val="21"/>
        </w:rPr>
        <w:tab/>
      </w:r>
      <w:bookmarkStart w:id="9" w:name="_Hlk227691148"/>
      <w:r>
        <w:rPr>
          <w:rFonts w:hint="eastAsia" w:ascii="Times New Roman" w:hAnsi="Times New Roman" w:eastAsia="等线" w:cs="Times New Roman"/>
          <w:color w:val="auto"/>
          <w:szCs w:val="21"/>
          <w14:ligatures w14:val="standardContextual"/>
        </w:rPr>
        <w:t>Wu M, Miao Z, Liu F, Dai S, Li Y, Zhou T, et al. Aquaporins: a novel perspective in the treatment of lung diseases. Inflammation Research. 2025;74:151.</w:t>
      </w:r>
      <w:bookmarkEnd w:id="9"/>
    </w:p>
    <w:p w14:paraId="67C19F9B">
      <w:pPr>
        <w:pStyle w:val="48"/>
        <w:rPr>
          <w:rFonts w:ascii="Times New Roman" w:hAnsi="Times New Roman" w:cs="Times New Roman"/>
          <w:color w:val="auto"/>
          <w:sz w:val="21"/>
          <w:szCs w:val="21"/>
        </w:rPr>
      </w:pPr>
      <w:r>
        <w:rPr>
          <w:rFonts w:hint="eastAsia" w:ascii="Times New Roman" w:hAnsi="Times New Roman" w:cs="Times New Roman"/>
          <w:color w:val="auto"/>
          <w:sz w:val="21"/>
          <w:szCs w:val="21"/>
        </w:rPr>
        <w:t>11.</w:t>
      </w:r>
      <w:r>
        <w:rPr>
          <w:rFonts w:ascii="Times New Roman" w:hAnsi="Times New Roman" w:cs="Times New Roman"/>
          <w:color w:val="auto"/>
          <w:sz w:val="21"/>
          <w:szCs w:val="21"/>
        </w:rPr>
        <w:tab/>
      </w:r>
      <w:bookmarkStart w:id="10" w:name="_Hlk227691156"/>
      <w:r>
        <w:rPr>
          <w:rFonts w:ascii="Times New Roman" w:hAnsi="Times New Roman" w:cs="Times New Roman"/>
          <w:color w:val="auto"/>
          <w:sz w:val="21"/>
          <w:szCs w:val="21"/>
        </w:rPr>
        <w:t xml:space="preserve">Chen Z, Zhang Z, Gu Y, Bai C. Impaired migration and cell volume regulation in aquaporin </w:t>
      </w:r>
      <w:r>
        <w:rPr>
          <w:rFonts w:ascii="Times New Roman" w:hAnsi="Times New Roman" w:cs="Times New Roman"/>
          <w:color w:val="auto"/>
          <w:sz w:val="21"/>
          <w:szCs w:val="21"/>
        </w:rPr>
        <w:noBreakHyphen/>
      </w:r>
      <w:r>
        <w:rPr>
          <w:rFonts w:ascii="Times New Roman" w:hAnsi="Times New Roman" w:cs="Times New Roman"/>
          <w:color w:val="auto"/>
          <w:sz w:val="21"/>
          <w:szCs w:val="21"/>
        </w:rPr>
        <w:t>deficient SPC</w:t>
      </w:r>
      <w:r>
        <w:rPr>
          <w:rFonts w:ascii="Times New Roman" w:hAnsi="Times New Roman" w:cs="Times New Roman"/>
          <w:color w:val="auto"/>
          <w:sz w:val="21"/>
          <w:szCs w:val="21"/>
        </w:rPr>
        <w:noBreakHyphen/>
      </w:r>
      <w:r>
        <w:rPr>
          <w:rFonts w:ascii="Times New Roman" w:hAnsi="Times New Roman" w:cs="Times New Roman"/>
          <w:color w:val="auto"/>
          <w:sz w:val="21"/>
          <w:szCs w:val="21"/>
        </w:rPr>
        <w:t>A1 cells. </w:t>
      </w:r>
      <w:r>
        <w:rPr>
          <w:rFonts w:ascii="Times New Roman" w:hAnsi="Times New Roman" w:cs="Times New Roman"/>
          <w:i/>
          <w:iCs/>
          <w:color w:val="auto"/>
          <w:sz w:val="21"/>
          <w:szCs w:val="21"/>
        </w:rPr>
        <w:t>Respiratory Physiology &amp; Neurobiology</w:t>
      </w:r>
      <w:r>
        <w:rPr>
          <w:rFonts w:ascii="Times New Roman" w:hAnsi="Times New Roman" w:cs="Times New Roman"/>
          <w:color w:val="auto"/>
          <w:sz w:val="21"/>
          <w:szCs w:val="21"/>
        </w:rPr>
        <w:t>. 2011;176(3):110</w:t>
      </w:r>
      <w:r>
        <w:rPr>
          <w:rFonts w:hint="eastAsia" w:ascii="Times New Roman" w:hAnsi="Times New Roman" w:cs="Times New Roman"/>
          <w:color w:val="auto"/>
          <w:sz w:val="21"/>
          <w:szCs w:val="21"/>
        </w:rPr>
        <w:t>-</w:t>
      </w:r>
      <w:r>
        <w:rPr>
          <w:rFonts w:ascii="Times New Roman" w:hAnsi="Times New Roman" w:cs="Times New Roman"/>
          <w:color w:val="auto"/>
          <w:sz w:val="21"/>
          <w:szCs w:val="21"/>
        </w:rPr>
        <w:t>117.</w:t>
      </w:r>
      <w:bookmarkEnd w:id="10"/>
      <w:r>
        <w:rPr>
          <w:rFonts w:hint="eastAsia" w:ascii="Times New Roman" w:hAnsi="Times New Roman" w:cs="Times New Roman"/>
          <w:color w:val="auto"/>
          <w:sz w:val="21"/>
          <w:szCs w:val="21"/>
        </w:rPr>
        <w:t>5.</w:t>
      </w:r>
    </w:p>
    <w:p w14:paraId="0A14F5DF">
      <w:pPr>
        <w:pStyle w:val="48"/>
        <w:rPr>
          <w:rFonts w:ascii="Times New Roman" w:hAnsi="Times New Roman" w:cs="Times New Roman"/>
          <w:color w:val="auto"/>
          <w:sz w:val="21"/>
          <w:szCs w:val="21"/>
        </w:rPr>
      </w:pPr>
      <w:r>
        <w:rPr>
          <w:rFonts w:hint="eastAsia" w:ascii="Times New Roman" w:hAnsi="Times New Roman" w:cs="Times New Roman"/>
          <w:color w:val="auto"/>
          <w:sz w:val="21"/>
          <w:szCs w:val="21"/>
        </w:rPr>
        <w:t>12</w:t>
      </w:r>
      <w:r>
        <w:rPr>
          <w:rFonts w:ascii="Times New Roman" w:hAnsi="Times New Roman" w:cs="Times New Roman"/>
          <w:color w:val="auto"/>
          <w:sz w:val="21"/>
          <w:szCs w:val="21"/>
        </w:rPr>
        <w:tab/>
      </w:r>
      <w:r>
        <w:rPr>
          <w:rFonts w:ascii="Times New Roman" w:hAnsi="Times New Roman" w:cs="Times New Roman"/>
          <w:color w:val="auto"/>
          <w:sz w:val="21"/>
          <w:szCs w:val="21"/>
        </w:rPr>
        <w:t>Liu X, Bandyopadhyay BC, Nakamoto T, Singh B, Liedtke W, Melvin JE, et al. A role for AQP5 in activation of TRPV4 by hypotonicity: concerted involvement of AQP5 and TRPV4 in regulation of cell volume recovery. J Biol Chem. 2006;281(22):15485-95.</w:t>
      </w:r>
    </w:p>
    <w:p w14:paraId="61292974">
      <w:pPr>
        <w:pStyle w:val="48"/>
        <w:rPr>
          <w:rFonts w:ascii="Times New Roman" w:hAnsi="Times New Roman" w:cs="Times New Roman"/>
          <w:color w:val="auto"/>
          <w:sz w:val="21"/>
          <w:szCs w:val="21"/>
        </w:rPr>
      </w:pPr>
      <w:r>
        <w:rPr>
          <w:rFonts w:hint="eastAsia" w:ascii="Times New Roman" w:hAnsi="Times New Roman" w:cs="Times New Roman"/>
          <w:color w:val="auto"/>
          <w:sz w:val="21"/>
          <w:szCs w:val="21"/>
        </w:rPr>
        <w:t>13.</w:t>
      </w:r>
      <w:r>
        <w:rPr>
          <w:rFonts w:ascii="Times New Roman" w:hAnsi="Times New Roman" w:cs="Times New Roman"/>
          <w:color w:val="auto"/>
          <w:sz w:val="21"/>
          <w:szCs w:val="21"/>
        </w:rPr>
        <w:tab/>
      </w:r>
      <w:r>
        <w:rPr>
          <w:rFonts w:ascii="Times New Roman" w:hAnsi="Times New Roman" w:cs="Times New Roman"/>
          <w:color w:val="auto"/>
          <w:sz w:val="21"/>
          <w:szCs w:val="21"/>
        </w:rPr>
        <w:t>Mola MG, Sparaneo A, Li Y, et al. The speed of swelling kinetics modulates cell volume regulation and calcium signaling in astrocytes: A different point of view on the role of aquaporins. Glia. 2016;64(1):139-54.</w:t>
      </w:r>
    </w:p>
    <w:p w14:paraId="03281EE3">
      <w:pPr>
        <w:rPr>
          <w:rFonts w:ascii="Times New Roman" w:hAnsi="Times New Roman" w:eastAsia="宋体" w:cs="Times New Roman"/>
          <w:color w:val="auto"/>
          <w:spacing w:val="2"/>
          <w:szCs w:val="21"/>
        </w:rPr>
      </w:pPr>
    </w:p>
    <w:p w14:paraId="3535927A">
      <w:pPr>
        <w:pStyle w:val="48"/>
        <w:rPr>
          <w:rFonts w:ascii="Times New Roman" w:hAnsi="Times New Roman" w:cs="Times New Roman"/>
          <w:color w:val="auto"/>
          <w:sz w:val="21"/>
          <w:szCs w:val="21"/>
        </w:rPr>
      </w:pPr>
    </w:p>
    <w:bookmarkEnd w:id="11"/>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MS Gothic">
    <w:panose1 w:val="020B0609070205080204"/>
    <w:charset w:val="80"/>
    <w:family w:val="modern"/>
    <w:pitch w:val="default"/>
    <w:sig w:usb0="E00002FF" w:usb1="6AC7FDFB" w:usb2="08000012" w:usb3="00000000" w:csb0="4002009F" w:csb1="DFD7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B1D441D"/>
    <w:multiLevelType w:val="multilevel"/>
    <w:tmpl w:val="2B1D441D"/>
    <w:lvl w:ilvl="0" w:tentative="0">
      <w:start w:val="1"/>
      <w:numFmt w:val="decimal"/>
      <w:lvlText w:val="%1."/>
      <w:lvlJc w:val="left"/>
      <w:pPr>
        <w:ind w:left="360" w:hanging="36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4763"/>
    <w:rsid w:val="00023B82"/>
    <w:rsid w:val="00024300"/>
    <w:rsid w:val="00057C17"/>
    <w:rsid w:val="00095373"/>
    <w:rsid w:val="00096466"/>
    <w:rsid w:val="00097D53"/>
    <w:rsid w:val="000A19B3"/>
    <w:rsid w:val="000A6298"/>
    <w:rsid w:val="000E0A61"/>
    <w:rsid w:val="000F57B0"/>
    <w:rsid w:val="00105824"/>
    <w:rsid w:val="00122A17"/>
    <w:rsid w:val="00131783"/>
    <w:rsid w:val="00167322"/>
    <w:rsid w:val="00167D9A"/>
    <w:rsid w:val="00172D62"/>
    <w:rsid w:val="001858EB"/>
    <w:rsid w:val="001B66C2"/>
    <w:rsid w:val="001D0B10"/>
    <w:rsid w:val="001F227B"/>
    <w:rsid w:val="001F7618"/>
    <w:rsid w:val="002317F2"/>
    <w:rsid w:val="002372B1"/>
    <w:rsid w:val="00237F59"/>
    <w:rsid w:val="00246C97"/>
    <w:rsid w:val="00275B73"/>
    <w:rsid w:val="00281517"/>
    <w:rsid w:val="00281BAA"/>
    <w:rsid w:val="002965BF"/>
    <w:rsid w:val="002B2AEC"/>
    <w:rsid w:val="002B5138"/>
    <w:rsid w:val="002C5AE4"/>
    <w:rsid w:val="002D1921"/>
    <w:rsid w:val="002D5B48"/>
    <w:rsid w:val="002E165D"/>
    <w:rsid w:val="002E2C34"/>
    <w:rsid w:val="00305659"/>
    <w:rsid w:val="00307D39"/>
    <w:rsid w:val="003174B9"/>
    <w:rsid w:val="003533F1"/>
    <w:rsid w:val="00353E2A"/>
    <w:rsid w:val="00362816"/>
    <w:rsid w:val="00365759"/>
    <w:rsid w:val="003659A0"/>
    <w:rsid w:val="00385C64"/>
    <w:rsid w:val="003A6FAE"/>
    <w:rsid w:val="003C1111"/>
    <w:rsid w:val="003C11C6"/>
    <w:rsid w:val="003C1760"/>
    <w:rsid w:val="003C3FBB"/>
    <w:rsid w:val="003C798E"/>
    <w:rsid w:val="003E74B7"/>
    <w:rsid w:val="003E7C01"/>
    <w:rsid w:val="004041B9"/>
    <w:rsid w:val="00406775"/>
    <w:rsid w:val="00406907"/>
    <w:rsid w:val="00420E13"/>
    <w:rsid w:val="00421A82"/>
    <w:rsid w:val="00450B5E"/>
    <w:rsid w:val="00461E40"/>
    <w:rsid w:val="00466E0F"/>
    <w:rsid w:val="00481DED"/>
    <w:rsid w:val="00492F81"/>
    <w:rsid w:val="00494086"/>
    <w:rsid w:val="004F001F"/>
    <w:rsid w:val="004F13B5"/>
    <w:rsid w:val="004F6D4F"/>
    <w:rsid w:val="00506E5D"/>
    <w:rsid w:val="00512BC7"/>
    <w:rsid w:val="00514DBB"/>
    <w:rsid w:val="005662D1"/>
    <w:rsid w:val="00566F84"/>
    <w:rsid w:val="00583521"/>
    <w:rsid w:val="00596A9B"/>
    <w:rsid w:val="005A1515"/>
    <w:rsid w:val="005A4E22"/>
    <w:rsid w:val="005A66F9"/>
    <w:rsid w:val="005B2C7E"/>
    <w:rsid w:val="005C05C2"/>
    <w:rsid w:val="005C6F96"/>
    <w:rsid w:val="005D4170"/>
    <w:rsid w:val="005E74B3"/>
    <w:rsid w:val="00601C39"/>
    <w:rsid w:val="00605EB6"/>
    <w:rsid w:val="00630067"/>
    <w:rsid w:val="00634F90"/>
    <w:rsid w:val="00653F5E"/>
    <w:rsid w:val="00654394"/>
    <w:rsid w:val="00681D3C"/>
    <w:rsid w:val="006A4CBE"/>
    <w:rsid w:val="006B7080"/>
    <w:rsid w:val="006E20F1"/>
    <w:rsid w:val="006E535F"/>
    <w:rsid w:val="006E5A80"/>
    <w:rsid w:val="006F2A91"/>
    <w:rsid w:val="00715503"/>
    <w:rsid w:val="007179B9"/>
    <w:rsid w:val="00720EA7"/>
    <w:rsid w:val="00734B6E"/>
    <w:rsid w:val="00736797"/>
    <w:rsid w:val="00751AC9"/>
    <w:rsid w:val="007523BF"/>
    <w:rsid w:val="00760BF0"/>
    <w:rsid w:val="00777E03"/>
    <w:rsid w:val="0078211E"/>
    <w:rsid w:val="00792D57"/>
    <w:rsid w:val="00797C96"/>
    <w:rsid w:val="007A72FC"/>
    <w:rsid w:val="007E7E52"/>
    <w:rsid w:val="007F39AA"/>
    <w:rsid w:val="008013C4"/>
    <w:rsid w:val="0080582B"/>
    <w:rsid w:val="00813768"/>
    <w:rsid w:val="00826A0B"/>
    <w:rsid w:val="008457A2"/>
    <w:rsid w:val="00854CAE"/>
    <w:rsid w:val="00861CD7"/>
    <w:rsid w:val="008704F6"/>
    <w:rsid w:val="00880871"/>
    <w:rsid w:val="008A3401"/>
    <w:rsid w:val="008B365E"/>
    <w:rsid w:val="008C30C2"/>
    <w:rsid w:val="008C3DFA"/>
    <w:rsid w:val="008D683A"/>
    <w:rsid w:val="008E17C4"/>
    <w:rsid w:val="00903825"/>
    <w:rsid w:val="009126A6"/>
    <w:rsid w:val="00937FF2"/>
    <w:rsid w:val="009531C9"/>
    <w:rsid w:val="0095356D"/>
    <w:rsid w:val="0095637D"/>
    <w:rsid w:val="009625F1"/>
    <w:rsid w:val="00970EC5"/>
    <w:rsid w:val="009818FF"/>
    <w:rsid w:val="00993340"/>
    <w:rsid w:val="00994A0B"/>
    <w:rsid w:val="009A2366"/>
    <w:rsid w:val="009A6E53"/>
    <w:rsid w:val="009B255B"/>
    <w:rsid w:val="009C1304"/>
    <w:rsid w:val="009C5952"/>
    <w:rsid w:val="009E5730"/>
    <w:rsid w:val="009F2AC5"/>
    <w:rsid w:val="00A06A85"/>
    <w:rsid w:val="00A0772B"/>
    <w:rsid w:val="00A13D17"/>
    <w:rsid w:val="00A147EA"/>
    <w:rsid w:val="00A152CF"/>
    <w:rsid w:val="00A40F50"/>
    <w:rsid w:val="00A54763"/>
    <w:rsid w:val="00A56747"/>
    <w:rsid w:val="00A5776F"/>
    <w:rsid w:val="00A85FEC"/>
    <w:rsid w:val="00A86C7E"/>
    <w:rsid w:val="00A91D3D"/>
    <w:rsid w:val="00A9665B"/>
    <w:rsid w:val="00AA0562"/>
    <w:rsid w:val="00AA49CE"/>
    <w:rsid w:val="00AA7698"/>
    <w:rsid w:val="00AD0DEA"/>
    <w:rsid w:val="00AD1E94"/>
    <w:rsid w:val="00AD5445"/>
    <w:rsid w:val="00AF34A7"/>
    <w:rsid w:val="00B27AB0"/>
    <w:rsid w:val="00B32239"/>
    <w:rsid w:val="00B43430"/>
    <w:rsid w:val="00B44FB9"/>
    <w:rsid w:val="00B4677E"/>
    <w:rsid w:val="00B64EF3"/>
    <w:rsid w:val="00B659F3"/>
    <w:rsid w:val="00B73C0F"/>
    <w:rsid w:val="00B77F14"/>
    <w:rsid w:val="00BC01ED"/>
    <w:rsid w:val="00BD25C3"/>
    <w:rsid w:val="00BD5FF3"/>
    <w:rsid w:val="00BD6BE7"/>
    <w:rsid w:val="00BF6B49"/>
    <w:rsid w:val="00C11D13"/>
    <w:rsid w:val="00C16722"/>
    <w:rsid w:val="00C170F6"/>
    <w:rsid w:val="00C227E4"/>
    <w:rsid w:val="00C23FAA"/>
    <w:rsid w:val="00C360FA"/>
    <w:rsid w:val="00C43CBD"/>
    <w:rsid w:val="00C62B70"/>
    <w:rsid w:val="00C74BEC"/>
    <w:rsid w:val="00C77C8C"/>
    <w:rsid w:val="00C9183B"/>
    <w:rsid w:val="00CA2BAF"/>
    <w:rsid w:val="00CC414D"/>
    <w:rsid w:val="00CD6505"/>
    <w:rsid w:val="00CE6E76"/>
    <w:rsid w:val="00CF51D5"/>
    <w:rsid w:val="00D026F3"/>
    <w:rsid w:val="00D037DA"/>
    <w:rsid w:val="00D30856"/>
    <w:rsid w:val="00D4252D"/>
    <w:rsid w:val="00D626FB"/>
    <w:rsid w:val="00D62840"/>
    <w:rsid w:val="00D6373E"/>
    <w:rsid w:val="00D741E9"/>
    <w:rsid w:val="00DA0B3B"/>
    <w:rsid w:val="00DB77D1"/>
    <w:rsid w:val="00DC7D39"/>
    <w:rsid w:val="00DD6E65"/>
    <w:rsid w:val="00DE547E"/>
    <w:rsid w:val="00E073E2"/>
    <w:rsid w:val="00E21410"/>
    <w:rsid w:val="00E22AF5"/>
    <w:rsid w:val="00E262F8"/>
    <w:rsid w:val="00E277F5"/>
    <w:rsid w:val="00E4360A"/>
    <w:rsid w:val="00E4751D"/>
    <w:rsid w:val="00E57726"/>
    <w:rsid w:val="00E632BF"/>
    <w:rsid w:val="00E73C91"/>
    <w:rsid w:val="00E74408"/>
    <w:rsid w:val="00EA3622"/>
    <w:rsid w:val="00EA3714"/>
    <w:rsid w:val="00EE028F"/>
    <w:rsid w:val="00EF2A40"/>
    <w:rsid w:val="00EF397F"/>
    <w:rsid w:val="00F12F1E"/>
    <w:rsid w:val="00F14C30"/>
    <w:rsid w:val="00F27CB0"/>
    <w:rsid w:val="00F4280C"/>
    <w:rsid w:val="00F5070B"/>
    <w:rsid w:val="00FA03B6"/>
    <w:rsid w:val="00FA525A"/>
    <w:rsid w:val="00FB0759"/>
    <w:rsid w:val="00FB37F2"/>
    <w:rsid w:val="00FB4FBD"/>
    <w:rsid w:val="00FC20D3"/>
    <w:rsid w:val="00FD1CC6"/>
    <w:rsid w:val="00FE6AE2"/>
    <w:rsid w:val="00FF18D4"/>
    <w:rsid w:val="00FF1B2A"/>
    <w:rsid w:val="02CA5022"/>
    <w:rsid w:val="054B6BFA"/>
    <w:rsid w:val="1581065A"/>
    <w:rsid w:val="201D2677"/>
    <w:rsid w:val="205D3FAF"/>
    <w:rsid w:val="2B6111BC"/>
    <w:rsid w:val="33024A12"/>
    <w:rsid w:val="390C7591"/>
    <w:rsid w:val="3E844651"/>
    <w:rsid w:val="3F055FB6"/>
    <w:rsid w:val="49933EE9"/>
    <w:rsid w:val="4FB243B2"/>
    <w:rsid w:val="576544FF"/>
    <w:rsid w:val="5F3D3E0B"/>
    <w:rsid w:val="615709C9"/>
    <w:rsid w:val="6171096B"/>
    <w:rsid w:val="61C96487"/>
    <w:rsid w:val="64012DA1"/>
    <w:rsid w:val="6620079B"/>
    <w:rsid w:val="66E718C0"/>
    <w:rsid w:val="767609D3"/>
    <w:rsid w:val="79433CB4"/>
    <w:rsid w:val="7B961F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3"/>
    <w:qFormat/>
    <w:uiPriority w:val="9"/>
    <w:pPr>
      <w:keepNext/>
      <w:keepLines/>
      <w:spacing w:before="480" w:after="80"/>
      <w:outlineLvl w:val="0"/>
    </w:pPr>
    <w:rPr>
      <w:rFonts w:asciiTheme="majorHAnsi" w:hAnsiTheme="majorHAnsi" w:eastAsiaTheme="majorEastAsia" w:cstheme="majorBidi"/>
      <w:color w:val="104862" w:themeColor="accent1" w:themeShade="BF"/>
      <w:sz w:val="48"/>
      <w:szCs w:val="48"/>
      <w14:ligatures w14:val="standardContextual"/>
    </w:rPr>
  </w:style>
  <w:style w:type="paragraph" w:styleId="3">
    <w:name w:val="heading 2"/>
    <w:basedOn w:val="1"/>
    <w:next w:val="1"/>
    <w:link w:val="24"/>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14:ligatures w14:val="standardContextual"/>
    </w:rPr>
  </w:style>
  <w:style w:type="paragraph" w:styleId="4">
    <w:name w:val="heading 3"/>
    <w:basedOn w:val="1"/>
    <w:next w:val="1"/>
    <w:link w:val="25"/>
    <w:semiHidden/>
    <w:unhideWhenUsed/>
    <w:qFormat/>
    <w:uiPriority w:val="9"/>
    <w:pPr>
      <w:keepNext/>
      <w:keepLines/>
      <w:spacing w:before="160" w:after="80"/>
      <w:outlineLvl w:val="2"/>
    </w:pPr>
    <w:rPr>
      <w:rFonts w:asciiTheme="majorHAnsi" w:hAnsiTheme="majorHAnsi" w:eastAsiaTheme="majorEastAsia" w:cstheme="majorBidi"/>
      <w:color w:val="104862" w:themeColor="accent1" w:themeShade="BF"/>
      <w:sz w:val="32"/>
      <w:szCs w:val="32"/>
      <w14:ligatures w14:val="standardContextual"/>
    </w:rPr>
  </w:style>
  <w:style w:type="paragraph" w:styleId="5">
    <w:name w:val="heading 4"/>
    <w:basedOn w:val="1"/>
    <w:next w:val="1"/>
    <w:link w:val="26"/>
    <w:semiHidden/>
    <w:unhideWhenUsed/>
    <w:qFormat/>
    <w:uiPriority w:val="9"/>
    <w:pPr>
      <w:keepNext/>
      <w:keepLines/>
      <w:spacing w:before="80" w:after="40"/>
      <w:outlineLvl w:val="3"/>
    </w:pPr>
    <w:rPr>
      <w:rFonts w:cstheme="majorBidi"/>
      <w:color w:val="104862" w:themeColor="accent1" w:themeShade="BF"/>
      <w:sz w:val="28"/>
      <w:szCs w:val="28"/>
      <w14:ligatures w14:val="standardContextual"/>
    </w:rPr>
  </w:style>
  <w:style w:type="paragraph" w:styleId="6">
    <w:name w:val="heading 5"/>
    <w:basedOn w:val="1"/>
    <w:next w:val="1"/>
    <w:link w:val="27"/>
    <w:semiHidden/>
    <w:unhideWhenUsed/>
    <w:qFormat/>
    <w:uiPriority w:val="9"/>
    <w:pPr>
      <w:keepNext/>
      <w:keepLines/>
      <w:spacing w:before="80" w:after="40"/>
      <w:outlineLvl w:val="4"/>
    </w:pPr>
    <w:rPr>
      <w:rFonts w:cstheme="majorBidi"/>
      <w:color w:val="104862" w:themeColor="accent1" w:themeShade="BF"/>
      <w:sz w:val="24"/>
      <w:szCs w:val="24"/>
      <w14:ligatures w14:val="standardContextual"/>
    </w:rPr>
  </w:style>
  <w:style w:type="paragraph" w:styleId="7">
    <w:name w:val="heading 6"/>
    <w:basedOn w:val="1"/>
    <w:next w:val="1"/>
    <w:link w:val="28"/>
    <w:semiHidden/>
    <w:unhideWhenUsed/>
    <w:qFormat/>
    <w:uiPriority w:val="9"/>
    <w:pPr>
      <w:keepNext/>
      <w:keepLines/>
      <w:spacing w:before="40"/>
      <w:outlineLvl w:val="5"/>
    </w:pPr>
    <w:rPr>
      <w:rFonts w:cstheme="majorBidi"/>
      <w:b/>
      <w:bCs/>
      <w:color w:val="104862" w:themeColor="accent1" w:themeShade="BF"/>
      <w:sz w:val="22"/>
      <w14:ligatures w14:val="standardContextual"/>
    </w:rPr>
  </w:style>
  <w:style w:type="paragraph" w:styleId="8">
    <w:name w:val="heading 7"/>
    <w:basedOn w:val="1"/>
    <w:next w:val="1"/>
    <w:link w:val="29"/>
    <w:semiHidden/>
    <w:unhideWhenUsed/>
    <w:qFormat/>
    <w:uiPriority w:val="9"/>
    <w:pPr>
      <w:keepNext/>
      <w:keepLines/>
      <w:spacing w:before="40"/>
      <w:outlineLvl w:val="6"/>
    </w:pPr>
    <w:rPr>
      <w:rFonts w:cstheme="majorBidi"/>
      <w:b/>
      <w:bCs/>
      <w:color w:val="595959" w:themeColor="text1" w:themeTint="A6"/>
      <w:sz w:val="22"/>
      <w14:textFill>
        <w14:solidFill>
          <w14:schemeClr w14:val="tx1">
            <w14:lumMod w14:val="65000"/>
            <w14:lumOff w14:val="35000"/>
          </w14:schemeClr>
        </w14:solidFill>
      </w14:textFill>
      <w14:ligatures w14:val="standardContextual"/>
    </w:rPr>
  </w:style>
  <w:style w:type="paragraph" w:styleId="9">
    <w:name w:val="heading 8"/>
    <w:basedOn w:val="1"/>
    <w:next w:val="1"/>
    <w:link w:val="30"/>
    <w:semiHidden/>
    <w:unhideWhenUsed/>
    <w:qFormat/>
    <w:uiPriority w:val="9"/>
    <w:pPr>
      <w:keepNext/>
      <w:keepLines/>
      <w:outlineLvl w:val="7"/>
    </w:pPr>
    <w:rPr>
      <w:rFonts w:cstheme="majorBidi"/>
      <w:color w:val="595959" w:themeColor="text1" w:themeTint="A6"/>
      <w:sz w:val="22"/>
      <w14:textFill>
        <w14:solidFill>
          <w14:schemeClr w14:val="tx1">
            <w14:lumMod w14:val="65000"/>
            <w14:lumOff w14:val="35000"/>
          </w14:schemeClr>
        </w14:solidFill>
      </w14:textFill>
      <w14:ligatures w14:val="standardContextual"/>
    </w:rPr>
  </w:style>
  <w:style w:type="paragraph" w:styleId="10">
    <w:name w:val="heading 9"/>
    <w:basedOn w:val="1"/>
    <w:next w:val="1"/>
    <w:link w:val="31"/>
    <w:semiHidden/>
    <w:unhideWhenUsed/>
    <w:qFormat/>
    <w:uiPriority w:val="9"/>
    <w:pPr>
      <w:keepNext/>
      <w:keepLines/>
      <w:outlineLvl w:val="8"/>
    </w:pPr>
    <w:rPr>
      <w:rFonts w:eastAsiaTheme="majorEastAsia" w:cstheme="majorBidi"/>
      <w:color w:val="595959" w:themeColor="text1" w:themeTint="A6"/>
      <w:sz w:val="22"/>
      <w14:textFill>
        <w14:solidFill>
          <w14:schemeClr w14:val="tx1">
            <w14:lumMod w14:val="65000"/>
            <w14:lumOff w14:val="35000"/>
          </w14:schemeClr>
        </w14:solidFill>
      </w14:textFill>
      <w14:ligatures w14:val="standardContextual"/>
    </w:rPr>
  </w:style>
  <w:style w:type="character" w:default="1" w:styleId="21">
    <w:name w:val="Default Paragraph Font"/>
    <w:semiHidden/>
    <w:unhideWhenUsed/>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11">
    <w:name w:val="annotation text"/>
    <w:basedOn w:val="1"/>
    <w:link w:val="44"/>
    <w:unhideWhenUsed/>
    <w:qFormat/>
    <w:uiPriority w:val="99"/>
    <w:pPr>
      <w:jc w:val="left"/>
    </w:pPr>
  </w:style>
  <w:style w:type="paragraph" w:styleId="12">
    <w:name w:val="Balloon Text"/>
    <w:basedOn w:val="1"/>
    <w:link w:val="51"/>
    <w:semiHidden/>
    <w:unhideWhenUsed/>
    <w:qFormat/>
    <w:uiPriority w:val="99"/>
    <w:rPr>
      <w:sz w:val="18"/>
      <w:szCs w:val="18"/>
    </w:rPr>
  </w:style>
  <w:style w:type="paragraph" w:styleId="13">
    <w:name w:val="footer"/>
    <w:basedOn w:val="1"/>
    <w:link w:val="42"/>
    <w:unhideWhenUsed/>
    <w:qFormat/>
    <w:uiPriority w:val="99"/>
    <w:pPr>
      <w:tabs>
        <w:tab w:val="center" w:pos="4153"/>
        <w:tab w:val="right" w:pos="8306"/>
      </w:tabs>
      <w:snapToGrid w:val="0"/>
      <w:jc w:val="left"/>
    </w:pPr>
    <w:rPr>
      <w:sz w:val="18"/>
      <w:szCs w:val="18"/>
      <w14:ligatures w14:val="standardContextual"/>
    </w:rPr>
  </w:style>
  <w:style w:type="paragraph" w:styleId="14">
    <w:name w:val="header"/>
    <w:basedOn w:val="1"/>
    <w:link w:val="41"/>
    <w:unhideWhenUsed/>
    <w:qFormat/>
    <w:uiPriority w:val="99"/>
    <w:pPr>
      <w:tabs>
        <w:tab w:val="center" w:pos="4153"/>
        <w:tab w:val="right" w:pos="8306"/>
      </w:tabs>
      <w:snapToGrid w:val="0"/>
      <w:jc w:val="center"/>
    </w:pPr>
    <w:rPr>
      <w:sz w:val="18"/>
      <w:szCs w:val="18"/>
      <w14:ligatures w14:val="standardContextual"/>
    </w:rPr>
  </w:style>
  <w:style w:type="paragraph" w:styleId="15">
    <w:name w:val="Subtitle"/>
    <w:basedOn w:val="1"/>
    <w:next w:val="1"/>
    <w:link w:val="33"/>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14:ligatures w14:val="standardContextual"/>
    </w:rPr>
  </w:style>
  <w:style w:type="paragraph" w:styleId="16">
    <w:name w:val="Normal (Web)"/>
    <w:basedOn w:val="1"/>
    <w:semiHidden/>
    <w:unhideWhenUsed/>
    <w:qFormat/>
    <w:uiPriority w:val="99"/>
    <w:rPr>
      <w:rFonts w:ascii="Times New Roman" w:hAnsi="Times New Roman" w:cs="Times New Roman"/>
      <w:sz w:val="24"/>
      <w:szCs w:val="24"/>
    </w:rPr>
  </w:style>
  <w:style w:type="paragraph" w:styleId="17">
    <w:name w:val="Title"/>
    <w:basedOn w:val="1"/>
    <w:next w:val="1"/>
    <w:link w:val="32"/>
    <w:qFormat/>
    <w:uiPriority w:val="10"/>
    <w:pPr>
      <w:spacing w:after="80"/>
      <w:contextualSpacing/>
      <w:jc w:val="center"/>
    </w:pPr>
    <w:rPr>
      <w:rFonts w:asciiTheme="majorHAnsi" w:hAnsiTheme="majorHAnsi" w:eastAsiaTheme="majorEastAsia" w:cstheme="majorBidi"/>
      <w:spacing w:val="-10"/>
      <w:kern w:val="28"/>
      <w:sz w:val="56"/>
      <w:szCs w:val="56"/>
      <w14:ligatures w14:val="standardContextual"/>
    </w:rPr>
  </w:style>
  <w:style w:type="paragraph" w:styleId="18">
    <w:name w:val="annotation subject"/>
    <w:basedOn w:val="11"/>
    <w:next w:val="11"/>
    <w:link w:val="45"/>
    <w:semiHidden/>
    <w:unhideWhenUsed/>
    <w:qFormat/>
    <w:uiPriority w:val="99"/>
    <w:rPr>
      <w:b/>
      <w:bCs/>
    </w:rPr>
  </w:style>
  <w:style w:type="table" w:styleId="20">
    <w:name w:val="Table Grid"/>
    <w:basedOn w:val="1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2">
    <w:name w:val="annotation reference"/>
    <w:basedOn w:val="21"/>
    <w:unhideWhenUsed/>
    <w:qFormat/>
    <w:uiPriority w:val="99"/>
    <w:rPr>
      <w:sz w:val="21"/>
      <w:szCs w:val="21"/>
    </w:rPr>
  </w:style>
  <w:style w:type="character" w:customStyle="1" w:styleId="23">
    <w:name w:val="标题 1 字符"/>
    <w:basedOn w:val="21"/>
    <w:link w:val="2"/>
    <w:qFormat/>
    <w:uiPriority w:val="9"/>
    <w:rPr>
      <w:rFonts w:asciiTheme="majorHAnsi" w:hAnsiTheme="majorHAnsi" w:eastAsiaTheme="majorEastAsia" w:cstheme="majorBidi"/>
      <w:color w:val="104862" w:themeColor="accent1" w:themeShade="BF"/>
      <w:sz w:val="48"/>
      <w:szCs w:val="48"/>
    </w:rPr>
  </w:style>
  <w:style w:type="character" w:customStyle="1" w:styleId="24">
    <w:name w:val="标题 2 字符"/>
    <w:basedOn w:val="21"/>
    <w:link w:val="3"/>
    <w:semiHidden/>
    <w:qFormat/>
    <w:uiPriority w:val="9"/>
    <w:rPr>
      <w:rFonts w:asciiTheme="majorHAnsi" w:hAnsiTheme="majorHAnsi" w:eastAsiaTheme="majorEastAsia" w:cstheme="majorBidi"/>
      <w:color w:val="104862" w:themeColor="accent1" w:themeShade="BF"/>
      <w:sz w:val="40"/>
      <w:szCs w:val="40"/>
    </w:rPr>
  </w:style>
  <w:style w:type="character" w:customStyle="1" w:styleId="25">
    <w:name w:val="标题 3 字符"/>
    <w:basedOn w:val="21"/>
    <w:link w:val="4"/>
    <w:semiHidden/>
    <w:qFormat/>
    <w:uiPriority w:val="9"/>
    <w:rPr>
      <w:rFonts w:asciiTheme="majorHAnsi" w:hAnsiTheme="majorHAnsi" w:eastAsiaTheme="majorEastAsia" w:cstheme="majorBidi"/>
      <w:color w:val="104862" w:themeColor="accent1" w:themeShade="BF"/>
      <w:sz w:val="32"/>
      <w:szCs w:val="32"/>
    </w:rPr>
  </w:style>
  <w:style w:type="character" w:customStyle="1" w:styleId="26">
    <w:name w:val="标题 4 字符"/>
    <w:basedOn w:val="21"/>
    <w:link w:val="5"/>
    <w:semiHidden/>
    <w:qFormat/>
    <w:uiPriority w:val="9"/>
    <w:rPr>
      <w:rFonts w:cstheme="majorBidi"/>
      <w:color w:val="104862" w:themeColor="accent1" w:themeShade="BF"/>
      <w:sz w:val="28"/>
      <w:szCs w:val="28"/>
    </w:rPr>
  </w:style>
  <w:style w:type="character" w:customStyle="1" w:styleId="27">
    <w:name w:val="标题 5 字符"/>
    <w:basedOn w:val="21"/>
    <w:link w:val="6"/>
    <w:semiHidden/>
    <w:qFormat/>
    <w:uiPriority w:val="9"/>
    <w:rPr>
      <w:rFonts w:cstheme="majorBidi"/>
      <w:color w:val="104862" w:themeColor="accent1" w:themeShade="BF"/>
      <w:sz w:val="24"/>
      <w:szCs w:val="24"/>
    </w:rPr>
  </w:style>
  <w:style w:type="character" w:customStyle="1" w:styleId="28">
    <w:name w:val="标题 6 字符"/>
    <w:basedOn w:val="21"/>
    <w:link w:val="7"/>
    <w:semiHidden/>
    <w:qFormat/>
    <w:uiPriority w:val="9"/>
    <w:rPr>
      <w:rFonts w:cstheme="majorBidi"/>
      <w:b/>
      <w:bCs/>
      <w:color w:val="104862" w:themeColor="accent1" w:themeShade="BF"/>
    </w:rPr>
  </w:style>
  <w:style w:type="character" w:customStyle="1" w:styleId="29">
    <w:name w:val="标题 7 字符"/>
    <w:basedOn w:val="21"/>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30">
    <w:name w:val="标题 8 字符"/>
    <w:basedOn w:val="21"/>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31">
    <w:name w:val="标题 9 字符"/>
    <w:basedOn w:val="21"/>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32">
    <w:name w:val="标题 字符"/>
    <w:basedOn w:val="21"/>
    <w:link w:val="17"/>
    <w:qFormat/>
    <w:uiPriority w:val="10"/>
    <w:rPr>
      <w:rFonts w:asciiTheme="majorHAnsi" w:hAnsiTheme="majorHAnsi" w:eastAsiaTheme="majorEastAsia" w:cstheme="majorBidi"/>
      <w:spacing w:val="-10"/>
      <w:kern w:val="28"/>
      <w:sz w:val="56"/>
      <w:szCs w:val="56"/>
    </w:rPr>
  </w:style>
  <w:style w:type="character" w:customStyle="1" w:styleId="33">
    <w:name w:val="副标题 字符"/>
    <w:basedOn w:val="21"/>
    <w:link w:val="15"/>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4">
    <w:name w:val="Quote"/>
    <w:basedOn w:val="1"/>
    <w:next w:val="1"/>
    <w:link w:val="35"/>
    <w:qFormat/>
    <w:uiPriority w:val="29"/>
    <w:pPr>
      <w:spacing w:before="160" w:after="160"/>
      <w:jc w:val="center"/>
    </w:pPr>
    <w:rPr>
      <w:i/>
      <w:iCs/>
      <w:color w:val="404040" w:themeColor="text1" w:themeTint="BF"/>
      <w:sz w:val="22"/>
      <w14:textFill>
        <w14:solidFill>
          <w14:schemeClr w14:val="tx1">
            <w14:lumMod w14:val="75000"/>
            <w14:lumOff w14:val="25000"/>
          </w14:schemeClr>
        </w14:solidFill>
      </w14:textFill>
      <w14:ligatures w14:val="standardContextual"/>
    </w:rPr>
  </w:style>
  <w:style w:type="character" w:customStyle="1" w:styleId="35">
    <w:name w:val="引用 字符"/>
    <w:basedOn w:val="21"/>
    <w:link w:val="34"/>
    <w:qFormat/>
    <w:uiPriority w:val="29"/>
    <w:rPr>
      <w:i/>
      <w:iCs/>
      <w:color w:val="404040" w:themeColor="text1" w:themeTint="BF"/>
      <w14:textFill>
        <w14:solidFill>
          <w14:schemeClr w14:val="tx1">
            <w14:lumMod w14:val="75000"/>
            <w14:lumOff w14:val="25000"/>
          </w14:schemeClr>
        </w14:solidFill>
      </w14:textFill>
    </w:rPr>
  </w:style>
  <w:style w:type="paragraph" w:styleId="36">
    <w:name w:val="List Paragraph"/>
    <w:basedOn w:val="1"/>
    <w:qFormat/>
    <w:uiPriority w:val="34"/>
    <w:pPr>
      <w:ind w:left="720"/>
      <w:contextualSpacing/>
    </w:pPr>
    <w:rPr>
      <w:sz w:val="22"/>
      <w14:ligatures w14:val="standardContextual"/>
    </w:rPr>
  </w:style>
  <w:style w:type="character" w:customStyle="1" w:styleId="37">
    <w:name w:val="明显强调1"/>
    <w:basedOn w:val="21"/>
    <w:qFormat/>
    <w:uiPriority w:val="21"/>
    <w:rPr>
      <w:i/>
      <w:iCs/>
      <w:color w:val="104862" w:themeColor="accent1" w:themeShade="BF"/>
    </w:rPr>
  </w:style>
  <w:style w:type="paragraph" w:styleId="38">
    <w:name w:val="Intense Quote"/>
    <w:basedOn w:val="1"/>
    <w:next w:val="1"/>
    <w:link w:val="39"/>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sz w:val="22"/>
      <w14:ligatures w14:val="standardContextual"/>
    </w:rPr>
  </w:style>
  <w:style w:type="character" w:customStyle="1" w:styleId="39">
    <w:name w:val="明显引用 字符"/>
    <w:basedOn w:val="21"/>
    <w:link w:val="38"/>
    <w:qFormat/>
    <w:uiPriority w:val="30"/>
    <w:rPr>
      <w:i/>
      <w:iCs/>
      <w:color w:val="104862" w:themeColor="accent1" w:themeShade="BF"/>
    </w:rPr>
  </w:style>
  <w:style w:type="character" w:customStyle="1" w:styleId="40">
    <w:name w:val="明显参考1"/>
    <w:basedOn w:val="21"/>
    <w:qFormat/>
    <w:uiPriority w:val="32"/>
    <w:rPr>
      <w:b/>
      <w:bCs/>
      <w:smallCaps/>
      <w:color w:val="104862" w:themeColor="accent1" w:themeShade="BF"/>
      <w:spacing w:val="5"/>
    </w:rPr>
  </w:style>
  <w:style w:type="character" w:customStyle="1" w:styleId="41">
    <w:name w:val="页眉 字符"/>
    <w:basedOn w:val="21"/>
    <w:link w:val="14"/>
    <w:qFormat/>
    <w:uiPriority w:val="99"/>
    <w:rPr>
      <w:sz w:val="18"/>
      <w:szCs w:val="18"/>
    </w:rPr>
  </w:style>
  <w:style w:type="character" w:customStyle="1" w:styleId="42">
    <w:name w:val="页脚 字符"/>
    <w:basedOn w:val="21"/>
    <w:link w:val="13"/>
    <w:qFormat/>
    <w:uiPriority w:val="99"/>
    <w:rPr>
      <w:sz w:val="18"/>
      <w:szCs w:val="18"/>
    </w:rPr>
  </w:style>
  <w:style w:type="paragraph" w:customStyle="1" w:styleId="43">
    <w:name w:val="修订1"/>
    <w:hidden/>
    <w:unhideWhenUsed/>
    <w:qFormat/>
    <w:uiPriority w:val="99"/>
    <w:rPr>
      <w:rFonts w:asciiTheme="minorHAnsi" w:hAnsiTheme="minorHAnsi" w:eastAsiaTheme="minorEastAsia" w:cstheme="minorBidi"/>
      <w:kern w:val="2"/>
      <w:sz w:val="21"/>
      <w:szCs w:val="22"/>
      <w:lang w:val="en-US" w:eastAsia="zh-CN" w:bidi="ar-SA"/>
    </w:rPr>
  </w:style>
  <w:style w:type="character" w:customStyle="1" w:styleId="44">
    <w:name w:val="批注文字 字符"/>
    <w:basedOn w:val="21"/>
    <w:link w:val="11"/>
    <w:qFormat/>
    <w:uiPriority w:val="99"/>
    <w:rPr>
      <w:kern w:val="2"/>
      <w:sz w:val="21"/>
      <w:szCs w:val="22"/>
    </w:rPr>
  </w:style>
  <w:style w:type="character" w:customStyle="1" w:styleId="45">
    <w:name w:val="批注主题 字符"/>
    <w:basedOn w:val="44"/>
    <w:link w:val="18"/>
    <w:semiHidden/>
    <w:qFormat/>
    <w:uiPriority w:val="99"/>
    <w:rPr>
      <w:b/>
      <w:bCs/>
      <w:kern w:val="2"/>
      <w:sz w:val="21"/>
      <w:szCs w:val="22"/>
    </w:rPr>
  </w:style>
  <w:style w:type="paragraph" w:customStyle="1" w:styleId="46">
    <w:name w:val="修订2"/>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47">
    <w:name w:val="修订3"/>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48">
    <w:name w:val="EndNote Bibliography"/>
    <w:basedOn w:val="1"/>
    <w:link w:val="49"/>
    <w:qFormat/>
    <w:uiPriority w:val="0"/>
    <w:pPr>
      <w:jc w:val="left"/>
    </w:pPr>
    <w:rPr>
      <w:rFonts w:ascii="等线" w:hAnsi="等线" w:eastAsia="等线" w:cs="等线"/>
      <w:sz w:val="22"/>
      <w14:ligatures w14:val="standardContextual"/>
    </w:rPr>
  </w:style>
  <w:style w:type="character" w:customStyle="1" w:styleId="49">
    <w:name w:val="EndNote Bibliography 字符"/>
    <w:basedOn w:val="21"/>
    <w:link w:val="48"/>
    <w:qFormat/>
    <w:uiPriority w:val="0"/>
    <w:rPr>
      <w:rFonts w:ascii="等线" w:hAnsi="等线" w:eastAsia="等线" w:cs="等线"/>
      <w:kern w:val="2"/>
      <w:sz w:val="22"/>
      <w:szCs w:val="22"/>
      <w14:ligatures w14:val="standardContextual"/>
    </w:rPr>
  </w:style>
  <w:style w:type="paragraph" w:customStyle="1" w:styleId="50">
    <w:name w:val="修订4"/>
    <w:hidden/>
    <w:unhideWhenUsed/>
    <w:qFormat/>
    <w:uiPriority w:val="99"/>
    <w:rPr>
      <w:rFonts w:asciiTheme="minorHAnsi" w:hAnsiTheme="minorHAnsi" w:eastAsiaTheme="minorEastAsia" w:cstheme="minorBidi"/>
      <w:kern w:val="2"/>
      <w:sz w:val="21"/>
      <w:szCs w:val="22"/>
      <w:lang w:val="en-US" w:eastAsia="zh-CN" w:bidi="ar-SA"/>
    </w:rPr>
  </w:style>
  <w:style w:type="character" w:customStyle="1" w:styleId="51">
    <w:name w:val="批注框文本 字符"/>
    <w:basedOn w:val="21"/>
    <w:link w:val="12"/>
    <w:semiHidden/>
    <w:qFormat/>
    <w:uiPriority w:val="99"/>
    <w:rPr>
      <w:kern w:val="2"/>
      <w:sz w:val="18"/>
      <w:szCs w:val="18"/>
    </w:rPr>
  </w:style>
  <w:style w:type="paragraph" w:customStyle="1" w:styleId="52">
    <w:name w:val="Revision"/>
    <w:hidden/>
    <w:unhideWhenUsed/>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tiff"/><Relationship Id="rId3" Type="http://schemas.openxmlformats.org/officeDocument/2006/relationships/theme" Target="theme/theme1.xml"/><Relationship Id="rId21" Type="http://schemas.openxmlformats.org/officeDocument/2006/relationships/fontTable" Target="fontTable.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image" Target="media/image16.png"/><Relationship Id="rId18" Type="http://schemas.openxmlformats.org/officeDocument/2006/relationships/image" Target="media/image15.png"/><Relationship Id="rId17" Type="http://schemas.openxmlformats.org/officeDocument/2006/relationships/image" Target="media/image14.png"/><Relationship Id="rId16" Type="http://schemas.openxmlformats.org/officeDocument/2006/relationships/image" Target="media/image13.png"/><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tiff"/><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17</Pages>
  <Words>1356</Words>
  <Characters>7153</Characters>
  <Lines>190</Lines>
  <Paragraphs>53</Paragraphs>
  <TotalTime>25</TotalTime>
  <ScaleCrop>false</ScaleCrop>
  <LinksUpToDate>false</LinksUpToDate>
  <CharactersWithSpaces>8475</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2026-04-27T12:53:00Z</dcterms:created>
  <dc:creator>瑾 闫</dc:creator>
  <cp:lastModifiedBy>高洁</cp:lastModifiedBy>
  <dcterms:modified xsi:type="dcterms:W3CDTF">2026-04-28T15:48:09Z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eyJoZGlkIjoiMTlmZTAxODAwNGQzNjRlYjliNTI1MGQzM2IxNGRhNDciLCJ1c2VySWQiOiIxNzQzNjU1MDAwIn0=</vt:lpwstr>
  </property>
  <property fmtid="{D5CDD505-2E9C-101B-9397-08002B2CF9AE}" pid="3" name="KSOProductBuildVer">
    <vt:lpwstr>2052-12.1.0.23125</vt:lpwstr>
  </property>
  <property fmtid="{D5CDD505-2E9C-101B-9397-08002B2CF9AE}" pid="4" name="ICV">
    <vt:lpwstr>FC9A5EEB0CD241B199D0011549EF1E03_13</vt:lpwstr>
  </property>
</Properties>
</file>